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6"/>
        </w:pBdr>
        <w:spacing w:after="40"/>
      </w:pPr>
      <w:r>
        <w:rPr>
          <w:b/>
          <w:bCs/>
          <w:caps/>
          <w:color w:val="2E5496"/>
          <w:sz w:val="18"/>
          <w:szCs w:val="18"/>
        </w:rPr>
        <w:t xml:space="preserve">Technical Approach #2 of 4</w:t>
      </w:r>
    </w:p>
    <w:p>
      <w:pPr>
        <w:spacing w:after="40" w:before="160"/>
      </w:pPr>
      <w:r>
        <w:rPr>
          <w:b/>
          <w:bCs/>
          <w:color w:val="1F3864"/>
          <w:sz w:val="40"/>
          <w:szCs w:val="40"/>
        </w:rPr>
        <w:t xml:space="preserve">Technical Approach #2 — Hybrid Edge-Cloud (Tactical Gateways + Cloud Core)</w:t>
      </w:r>
    </w:p>
    <w:p>
      <w:pPr>
        <w:spacing w:after="200"/>
      </w:pPr>
      <w:r>
        <w:rPr>
          <w:i/>
          <w:iCs/>
          <w:color w:val="595959"/>
          <w:sz w:val="22"/>
          <w:szCs w:val="22"/>
        </w:rPr>
        <w:t xml:space="preserve">Candidate solution for the TESA-DIP requirement</w:t>
      </w:r>
    </w:p>
    <w:p>
      <w:pPr>
        <w:pBdr>
          <w:top w:val="single" w:color="C55A11" w:sz="6" w:space="6"/>
          <w:bottom w:val="single" w:color="C55A11" w:sz="6" w:space="6"/>
          <w:left w:val="single" w:color="C55A11" w:sz="6" w:space="6"/>
          <w:right w:val="single" w:color="C55A11" w:sz="6" w:space="6"/>
        </w:pBdr>
        <w:shd w:fill="FDE9D9" w:val="clear"/>
        <w:spacing w:after="240"/>
      </w:pPr>
      <w:r>
        <w:rPr>
          <w:b/>
          <w:bCs/>
          <w:color w:val="C55A11"/>
          <w:sz w:val="18"/>
          <w:szCs w:val="18"/>
        </w:rPr>
        <w:t xml:space="preserve">NOTIONAL TRAINING SCENARIO — UNCLASSIFIED. </w:t>
      </w:r>
      <w:r>
        <w:rPr>
          <w:color w:val="843C0C"/>
          <w:sz w:val="18"/>
          <w:szCs w:val="18"/>
        </w:rPr>
        <w:t xml:space="preserve">Fictional content created solely for instructor-led Microsoft 365 Copilot training. This document does not represent any actual SOCOM program, requirement, system, vendor, or capability, and contains no real operational data. Names, numbers, and technical details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Document type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Vendor / team technical approach (subject of evaluation)</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Evaluated against</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TESA-DIP Approved Capability Requirement, Baseline v1.0</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Architecture posture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Modular hybrid: tactical-edge gateway nodes plus an enterprise cloud core</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Submission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Approach #2 — notional submission for training</w:t>
            </w:r>
          </w:p>
        </w:tc>
      </w:tr>
    </w:tbl>
    <w:p>
      <w:pPr>
        <w:spacing w:after="120" w:line="264"/>
      </w:pPr>
      <w:r>
        <w:t xml:space="preserve"/>
      </w:r>
    </w:p>
    <w:p>
      <w:pPr>
        <w:pStyle w:val="Heading1"/>
      </w:pPr>
      <w:r>
        <w:t xml:space="preserve">Solution Overview</w:t>
      </w:r>
    </w:p>
    <w:p>
      <w:pPr>
        <w:spacing w:after="120" w:line="264"/>
      </w:pPr>
      <w:r>
        <w:t xml:space="preserve">This proposal recommends a modular hybrid architecture that combines tactical-edge gateway nodes at operating locations with a managed enterprise cloud core.</w:t>
      </w:r>
    </w:p>
    <w:p>
      <w:pPr>
        <w:spacing w:after="120" w:line="264"/>
      </w:pPr>
      <w:r>
        <w:t xml:space="preserve">The design emphasizes resilience in DDIL conditions and integration with existing fielded equipment, while still supporting scalable ingestion and enterprise-wide analytics.</w:t>
      </w:r>
    </w:p>
    <w:p>
      <w:pPr>
        <w:pStyle w:val="Heading1"/>
      </w:pPr>
      <w:r>
        <w:t xml:space="preserve">Proposed Architecture</w:t>
      </w:r>
    </w:p>
    <w:p>
      <w:pPr>
        <w:pStyle w:val="ListParagraph"/>
        <w:numPr>
          <w:ilvl w:val="0"/>
          <w:numId w:val="2"/>
        </w:numPr>
        <w:spacing w:after="60" w:line="256"/>
      </w:pPr>
      <w:r>
        <w:t xml:space="preserve">Tactical-edge gateway nodes at each location collect and normalize data, run local analytics, present a local COP, and raise local alerts.</w:t>
      </w:r>
    </w:p>
    <w:p>
      <w:pPr>
        <w:pStyle w:val="ListParagraph"/>
        <w:numPr>
          <w:ilvl w:val="0"/>
          <w:numId w:val="2"/>
        </w:numPr>
        <w:spacing w:after="60" w:line="256"/>
      </w:pPr>
      <w:r>
        <w:t xml:space="preserve">Edge nodes buffer data locally during disconnection and synchronize to the cloud core when connectivity is restored, reconciling without data loss.</w:t>
      </w:r>
    </w:p>
    <w:p>
      <w:pPr>
        <w:pStyle w:val="ListParagraph"/>
        <w:numPr>
          <w:ilvl w:val="0"/>
          <w:numId w:val="2"/>
        </w:numPr>
        <w:spacing w:after="60" w:line="256"/>
      </w:pPr>
      <w:r>
        <w:t xml:space="preserve">The enterprise cloud core performs cross-site aggregation, long-term time-series storage, and enterprise-wide correlation and analytics.</w:t>
      </w:r>
    </w:p>
    <w:p>
      <w:pPr>
        <w:pStyle w:val="ListParagraph"/>
        <w:numPr>
          <w:ilvl w:val="0"/>
          <w:numId w:val="2"/>
        </w:numPr>
        <w:spacing w:after="60" w:line="256"/>
      </w:pPr>
      <w:r>
        <w:t xml:space="preserve">Processing is hybrid: streaming at the edge for real-time awareness, with scheduled and streaming jobs at the core for enterprise analytics.</w:t>
      </w:r>
    </w:p>
    <w:p>
      <w:pPr>
        <w:pStyle w:val="ListParagraph"/>
        <w:numPr>
          <w:ilvl w:val="0"/>
          <w:numId w:val="2"/>
        </w:numPr>
        <w:spacing w:after="60" w:line="256"/>
      </w:pPr>
      <w:r>
        <w:t xml:space="preserve">Secure API endpoints at the core integrate with C2, logistics/readiness, and intelligence systems.</w:t>
      </w:r>
    </w:p>
    <w:p>
      <w:pPr>
        <w:pStyle w:val="Heading2"/>
      </w:pPr>
      <w:r>
        <w:t xml:space="preserve">Implementation Plan</w:t>
      </w:r>
    </w:p>
    <w:p>
      <w:pPr>
        <w:pStyle w:val="ListParagraph"/>
        <w:numPr>
          <w:ilvl w:val="0"/>
          <w:numId w:val="2"/>
        </w:numPr>
        <w:spacing w:after="60" w:line="256"/>
      </w:pPr>
      <w:r>
        <w:t xml:space="preserve">Phase 1: Architecture design, RMF planning, and infrastructure provisioning.</w:t>
      </w:r>
    </w:p>
    <w:p>
      <w:pPr>
        <w:pStyle w:val="ListParagraph"/>
        <w:numPr>
          <w:ilvl w:val="0"/>
          <w:numId w:val="2"/>
        </w:numPr>
        <w:spacing w:after="60" w:line="256"/>
      </w:pPr>
      <w:r>
        <w:t xml:space="preserve">Phase 2: Development of ingestion and normalization pipelines.</w:t>
      </w:r>
    </w:p>
    <w:p>
      <w:pPr>
        <w:pStyle w:val="ListParagraph"/>
        <w:numPr>
          <w:ilvl w:val="0"/>
          <w:numId w:val="2"/>
        </w:numPr>
        <w:spacing w:after="60" w:line="256"/>
      </w:pPr>
      <w:r>
        <w:t xml:space="preserve">Phase 3: Implementation of analytics, alerting, and COP/dashboard layers.</w:t>
      </w:r>
    </w:p>
    <w:p>
      <w:pPr>
        <w:pStyle w:val="ListParagraph"/>
        <w:numPr>
          <w:ilvl w:val="0"/>
          <w:numId w:val="2"/>
        </w:numPr>
        <w:spacing w:after="60" w:line="256"/>
      </w:pPr>
      <w:r>
        <w:t xml:space="preserve">Phase 4: Integration with C2, logistics/readiness, and intelligence systems.</w:t>
      </w:r>
    </w:p>
    <w:p>
      <w:pPr>
        <w:pStyle w:val="ListParagraph"/>
        <w:numPr>
          <w:ilvl w:val="0"/>
          <w:numId w:val="2"/>
        </w:numPr>
        <w:spacing w:after="60" w:line="256"/>
      </w:pPr>
      <w:r>
        <w:t xml:space="preserve">Phase 5: Pilot deployment (pilot task force / three sites), then portfolio rollout.</w:t>
      </w:r>
    </w:p>
    <w:p>
      <w:pPr>
        <w:pStyle w:val="Heading2"/>
      </w:pPr>
      <w:r>
        <w:t xml:space="preserve">Operational Considerations</w:t>
      </w:r>
    </w:p>
    <w:p>
      <w:pPr>
        <w:pStyle w:val="ListParagraph"/>
        <w:numPr>
          <w:ilvl w:val="0"/>
          <w:numId w:val="2"/>
        </w:numPr>
        <w:spacing w:after="60" w:line="256"/>
      </w:pPr>
      <w:r>
        <w:t xml:space="preserve">Monitoring and observability are built into the architecture.</w:t>
      </w:r>
    </w:p>
    <w:p>
      <w:pPr>
        <w:pStyle w:val="ListParagraph"/>
        <w:numPr>
          <w:ilvl w:val="0"/>
          <w:numId w:val="2"/>
        </w:numPr>
        <w:spacing w:after="60" w:line="256"/>
      </w:pPr>
      <w:r>
        <w:t xml:space="preserve">CI/CD (DevSecOps) pipelines automate testing, security scanning, and deployment.</w:t>
      </w:r>
    </w:p>
    <w:p>
      <w:pPr>
        <w:pStyle w:val="ListParagraph"/>
        <w:numPr>
          <w:ilvl w:val="0"/>
          <w:numId w:val="2"/>
        </w:numPr>
        <w:spacing w:after="60" w:line="256"/>
      </w:pPr>
      <w:r>
        <w:t xml:space="preserve">Infrastructure is managed using infrastructure-as-code tooling.</w:t>
      </w:r>
    </w:p>
    <w:p>
      <w:pPr>
        <w:pStyle w:val="Heading1"/>
      </w:pPr>
      <w:r>
        <w:t xml:space="preserve">Security &amp; Authorization Posture</w:t>
      </w:r>
    </w:p>
    <w:p>
      <w:pPr>
        <w:pStyle w:val="ListParagraph"/>
        <w:numPr>
          <w:ilvl w:val="0"/>
          <w:numId w:val="2"/>
        </w:numPr>
        <w:spacing w:after="60" w:line="256"/>
      </w:pPr>
      <w:r>
        <w:t xml:space="preserve">Edge nodes are hardened to applicable STIGs, reducing per-node attack surface; data encrypted in transit and at rest.</w:t>
      </w:r>
    </w:p>
    <w:p>
      <w:pPr>
        <w:pStyle w:val="ListParagraph"/>
        <w:numPr>
          <w:ilvl w:val="0"/>
          <w:numId w:val="2"/>
        </w:numPr>
        <w:spacing w:after="60" w:line="256"/>
      </w:pPr>
      <w:r>
        <w:t xml:space="preserve">Identity federates with ICAM (Entra ID for Government); RBAC/ABAC enforced at edge and core.</w:t>
      </w:r>
    </w:p>
    <w:p>
      <w:pPr>
        <w:pStyle w:val="ListParagraph"/>
        <w:numPr>
          <w:ilvl w:val="0"/>
          <w:numId w:val="2"/>
        </w:numPr>
        <w:spacing w:after="60" w:line="256"/>
      </w:pPr>
      <w:r>
        <w:t xml:space="preserve">Designed for IL5 with a defined RMF/ATO path; a repeatable edge-node baseline supports continuous authorization.</w:t>
      </w:r>
    </w:p>
    <w:p>
      <w:pPr>
        <w:pStyle w:val="Heading1"/>
      </w:pPr>
      <w:r>
        <w:t xml:space="preserve">DDIL / Disconnected Operation</w:t>
      </w:r>
    </w:p>
    <w:p>
      <w:pPr>
        <w:spacing w:after="120" w:line="264"/>
      </w:pPr>
      <w:r>
        <w:t xml:space="preserve">Edge nodes continue collection, local analytics, alerting, and COP display with no dependency on continuous connectivity. On reconnection, nodes automatically reconcile buffered data with the core without operator intervention. Loss of connectivity reduces enterprise-wide correlation but does not disable local situational awareness.</w:t>
      </w:r>
    </w:p>
    <w:p>
      <w:pPr>
        <w:pStyle w:val="Heading1"/>
      </w:pPr>
      <w:r>
        <w:t xml:space="preserve">Risks and Limitations</w:t>
      </w:r>
    </w:p>
    <w:p>
      <w:pPr>
        <w:pStyle w:val="ListParagraph"/>
        <w:numPr>
          <w:ilvl w:val="0"/>
          <w:numId w:val="2"/>
        </w:numPr>
        <w:spacing w:after="60" w:line="256"/>
      </w:pPr>
      <w:r>
        <w:t xml:space="preserve">Enterprise-wide real-time correlation is reduced during disconnection; the core reflects an eventually consistent picture until edge nodes resynchronize.</w:t>
      </w:r>
    </w:p>
    <w:p>
      <w:pPr>
        <w:pStyle w:val="ListParagraph"/>
        <w:numPr>
          <w:ilvl w:val="0"/>
          <w:numId w:val="2"/>
        </w:numPr>
        <w:spacing w:after="60" w:line="256"/>
      </w:pPr>
      <w:r>
        <w:t xml:space="preserve">Some components may require manual scaling under peak ingestion loads.</w:t>
      </w:r>
    </w:p>
    <w:p>
      <w:pPr>
        <w:pStyle w:val="ListParagraph"/>
        <w:numPr>
          <w:ilvl w:val="0"/>
          <w:numId w:val="2"/>
        </w:numPr>
        <w:spacing w:after="60" w:line="256"/>
      </w:pPr>
      <w:r>
        <w:t xml:space="preserve">Edge hardware introduces deployment, sustainment, and logistics considerations beyond a pure cloud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808080"/>
        <w:sz w:val="15"/>
        <w:szCs w:val="15"/>
      </w:rPr>
      <w:t xml:space="preserve">Microsoft 365 Copilot Training — Source-Selection Evaluation Use Case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55A11"/>
        <w:sz w:val="14"/>
        <w:szCs w:val="14"/>
      </w:rPr>
      <w:t xml:space="preserve">NOTIONAL TRAINING SCENARIO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2026-06-26T12:51:01.041Z</dcterms:created>
  <dcterms:modified xsi:type="dcterms:W3CDTF">2026-06-26T12:51:01.041Z</dcterms:modified>
</cp:coreProperties>
</file>

<file path=docProps/custom.xml><?xml version="1.0" encoding="utf-8"?>
<Properties xmlns="http://schemas.openxmlformats.org/officeDocument/2006/custom-properties" xmlns:vt="http://schemas.openxmlformats.org/officeDocument/2006/docPropsVTypes"/>
</file>