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18" w:space="6"/>
        </w:pBdr>
        <w:spacing w:after="40"/>
      </w:pPr>
      <w:r>
        <w:rPr>
          <w:b/>
          <w:bCs/>
          <w:caps/>
          <w:color w:val="2E5496"/>
          <w:sz w:val="18"/>
          <w:szCs w:val="18"/>
        </w:rPr>
        <w:t xml:space="preserve">Technical Approach #4 of 4</w:t>
      </w:r>
    </w:p>
    <w:p>
      <w:pPr>
        <w:spacing w:after="40" w:before="160"/>
      </w:pPr>
      <w:r>
        <w:rPr>
          <w:b/>
          <w:bCs/>
          <w:color w:val="1F3864"/>
          <w:sz w:val="40"/>
          <w:szCs w:val="40"/>
        </w:rPr>
        <w:t xml:space="preserve">Technical Approach #4 — Minimal Monitoring Prototype (Quick-Look)</w:t>
      </w:r>
    </w:p>
    <w:p>
      <w:pPr>
        <w:spacing w:after="200"/>
      </w:pPr>
      <w:r>
        <w:rPr>
          <w:i/>
          <w:iCs/>
          <w:color w:val="595959"/>
          <w:sz w:val="22"/>
          <w:szCs w:val="22"/>
        </w:rPr>
        <w:t xml:space="preserve">Candidate solution for the TESA-DIP requirement</w:t>
      </w:r>
    </w:p>
    <w:p>
      <w:pPr>
        <w:pBdr>
          <w:top w:val="single" w:color="C55A11" w:sz="6" w:space="6"/>
          <w:bottom w:val="single" w:color="C55A11" w:sz="6" w:space="6"/>
          <w:left w:val="single" w:color="C55A11" w:sz="6" w:space="6"/>
          <w:right w:val="single" w:color="C55A11" w:sz="6" w:space="6"/>
        </w:pBdr>
        <w:shd w:fill="FDE9D9" w:val="clear"/>
        <w:spacing w:after="240"/>
      </w:pPr>
      <w:r>
        <w:rPr>
          <w:b/>
          <w:bCs/>
          <w:color w:val="C55A11"/>
          <w:sz w:val="18"/>
          <w:szCs w:val="18"/>
        </w:rPr>
        <w:t xml:space="preserve">NOTIONAL TRAINING SCENARIO — UNCLASSIFIED. </w:t>
      </w:r>
      <w:r>
        <w:rPr>
          <w:color w:val="843C0C"/>
          <w:sz w:val="18"/>
          <w:szCs w:val="18"/>
        </w:rPr>
        <w:t xml:space="preserve">Fictional content created solely for instructor-led Microsoft 365 Copilot training. This document does not represent any actual SOCOM program, requirement, system, vendor, or capability, and contains no real operational data. Names, numbers, and technical details are illustrative.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b/>
                <w:bCs/>
                <w:sz w:val="19"/>
                <w:szCs w:val="19"/>
              </w:rPr>
              <w:t xml:space="preserve">Document type</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9"/>
                <w:szCs w:val="19"/>
              </w:rPr>
              <w:t xml:space="preserve">Vendor / team technical approach (subject of evaluation)</w:t>
            </w:r>
          </w:p>
        </w:tc>
      </w:tr>
      <w:tr>
        <w:tc>
          <w:tcPr>
            <w:tcW w:type="dxa" w:w="27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b/>
                <w:bCs/>
                <w:sz w:val="19"/>
                <w:szCs w:val="19"/>
              </w:rPr>
              <w:t xml:space="preserve">Evaluated against</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9"/>
                <w:szCs w:val="19"/>
              </w:rPr>
              <w:t xml:space="preserve">TESA-DIP Approved Capability Requirement, Baseline v1.0</w:t>
            </w:r>
          </w:p>
        </w:tc>
      </w:tr>
      <w:tr>
        <w:tc>
          <w:tcPr>
            <w:tcW w:type="dxa" w:w="27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b/>
                <w:bCs/>
                <w:sz w:val="19"/>
                <w:szCs w:val="19"/>
              </w:rPr>
              <w:t xml:space="preserve">Architecture posture</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9"/>
                <w:szCs w:val="19"/>
              </w:rPr>
              <w:t xml:space="preserve">Single-node minimal prototype; prioritizes speed and low cost over scale and security</w:t>
            </w:r>
          </w:p>
        </w:tc>
      </w:tr>
      <w:tr>
        <w:tc>
          <w:tcPr>
            <w:tcW w:type="dxa" w:w="27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b/>
                <w:bCs/>
                <w:sz w:val="19"/>
                <w:szCs w:val="19"/>
              </w:rPr>
              <w:t xml:space="preserve">Submission</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9"/>
                <w:szCs w:val="19"/>
              </w:rPr>
              <w:t xml:space="preserve">Approach #4 — notional submission for training</w:t>
            </w:r>
          </w:p>
        </w:tc>
      </w:tr>
    </w:tbl>
    <w:p>
      <w:pPr>
        <w:spacing w:after="120" w:line="264"/>
      </w:pPr>
      <w:r>
        <w:t xml:space="preserve"/>
      </w:r>
    </w:p>
    <w:p>
      <w:pPr>
        <w:pStyle w:val="Heading1"/>
      </w:pPr>
      <w:r>
        <w:t xml:space="preserve">Solution Overview</w:t>
      </w:r>
    </w:p>
    <w:p>
      <w:pPr>
        <w:spacing w:after="120" w:line="264"/>
      </w:pPr>
      <w:r>
        <w:t xml:space="preserve">This proposal focuses on rapidly delivering a basic monitoring capability using minimal infrastructure. The design prioritizes simplicity, speed, and low cost rather than long-term scalability or security.</w:t>
      </w:r>
    </w:p>
    <w:p>
      <w:pPr>
        <w:pStyle w:val="Heading1"/>
      </w:pPr>
      <w:r>
        <w:t xml:space="preserve">Proposed Architecture</w:t>
      </w:r>
    </w:p>
    <w:p>
      <w:pPr>
        <w:pStyle w:val="ListParagraph"/>
        <w:numPr>
          <w:ilvl w:val="0"/>
          <w:numId w:val="2"/>
        </w:numPr>
        <w:spacing w:after="60" w:line="256"/>
      </w:pPr>
      <w:r>
        <w:t xml:space="preserve">A single-server application collects data from devices using polling mechanisms.</w:t>
      </w:r>
    </w:p>
    <w:p>
      <w:pPr>
        <w:pStyle w:val="ListParagraph"/>
        <w:numPr>
          <w:ilvl w:val="0"/>
          <w:numId w:val="2"/>
        </w:numPr>
        <w:spacing w:after="60" w:line="256"/>
      </w:pPr>
      <w:r>
        <w:t xml:space="preserve">Records are stored in a basic database schema.</w:t>
      </w:r>
    </w:p>
    <w:p>
      <w:pPr>
        <w:pStyle w:val="ListParagraph"/>
        <w:numPr>
          <w:ilvl w:val="0"/>
          <w:numId w:val="2"/>
        </w:numPr>
        <w:spacing w:after="60" w:line="256"/>
      </w:pPr>
      <w:r>
        <w:t xml:space="preserve">A lightweight dashboard provides simple status visualizations.</w:t>
      </w:r>
    </w:p>
    <w:p>
      <w:pPr>
        <w:pStyle w:val="Heading2"/>
      </w:pPr>
      <w:r>
        <w:t xml:space="preserve">Implementation Plan</w:t>
      </w:r>
    </w:p>
    <w:p>
      <w:pPr>
        <w:pStyle w:val="ListParagraph"/>
        <w:numPr>
          <w:ilvl w:val="0"/>
          <w:numId w:val="2"/>
        </w:numPr>
        <w:spacing w:after="60" w:line="256"/>
      </w:pPr>
      <w:r>
        <w:t xml:space="preserve">Phase 1: Architecture design, RMF planning, and infrastructure provisioning.</w:t>
      </w:r>
    </w:p>
    <w:p>
      <w:pPr>
        <w:pStyle w:val="ListParagraph"/>
        <w:numPr>
          <w:ilvl w:val="0"/>
          <w:numId w:val="2"/>
        </w:numPr>
        <w:spacing w:after="60" w:line="256"/>
      </w:pPr>
      <w:r>
        <w:t xml:space="preserve">Phase 2: Development of ingestion and normalization pipelines.</w:t>
      </w:r>
    </w:p>
    <w:p>
      <w:pPr>
        <w:pStyle w:val="ListParagraph"/>
        <w:numPr>
          <w:ilvl w:val="0"/>
          <w:numId w:val="2"/>
        </w:numPr>
        <w:spacing w:after="60" w:line="256"/>
      </w:pPr>
      <w:r>
        <w:t xml:space="preserve">Phase 3: Implementation of analytics, alerting, and COP/dashboard layers.</w:t>
      </w:r>
    </w:p>
    <w:p>
      <w:pPr>
        <w:pStyle w:val="ListParagraph"/>
        <w:numPr>
          <w:ilvl w:val="0"/>
          <w:numId w:val="2"/>
        </w:numPr>
        <w:spacing w:after="60" w:line="256"/>
      </w:pPr>
      <w:r>
        <w:t xml:space="preserve">Phase 4: Integration with C2, logistics/readiness, and intelligence systems.</w:t>
      </w:r>
    </w:p>
    <w:p>
      <w:pPr>
        <w:pStyle w:val="ListParagraph"/>
        <w:numPr>
          <w:ilvl w:val="0"/>
          <w:numId w:val="2"/>
        </w:numPr>
        <w:spacing w:after="60" w:line="256"/>
      </w:pPr>
      <w:r>
        <w:t xml:space="preserve">Phase 5: Pilot deployment (pilot task force / three sites), then portfolio rollout.</w:t>
      </w:r>
    </w:p>
    <w:p>
      <w:pPr>
        <w:pStyle w:val="Heading2"/>
      </w:pPr>
      <w:r>
        <w:t xml:space="preserve">Operational Considerations</w:t>
      </w:r>
    </w:p>
    <w:p>
      <w:pPr>
        <w:pStyle w:val="ListParagraph"/>
        <w:numPr>
          <w:ilvl w:val="0"/>
          <w:numId w:val="2"/>
        </w:numPr>
        <w:spacing w:after="60" w:line="256"/>
      </w:pPr>
      <w:r>
        <w:t xml:space="preserve">Monitoring and observability are built into the architecture.</w:t>
      </w:r>
    </w:p>
    <w:p>
      <w:pPr>
        <w:pStyle w:val="ListParagraph"/>
        <w:numPr>
          <w:ilvl w:val="0"/>
          <w:numId w:val="2"/>
        </w:numPr>
        <w:spacing w:after="60" w:line="256"/>
      </w:pPr>
      <w:r>
        <w:t xml:space="preserve">CI/CD (DevSecOps) pipelines automate testing, security scanning, and deployment.</w:t>
      </w:r>
    </w:p>
    <w:p>
      <w:pPr>
        <w:pStyle w:val="ListParagraph"/>
        <w:numPr>
          <w:ilvl w:val="0"/>
          <w:numId w:val="2"/>
        </w:numPr>
        <w:spacing w:after="60" w:line="256"/>
      </w:pPr>
      <w:r>
        <w:t xml:space="preserve">Infrastructure is managed using infrastructure-as-code tooling.</w:t>
      </w:r>
    </w:p>
    <w:p>
      <w:pPr>
        <w:pStyle w:val="Heading1"/>
      </w:pPr>
      <w:r>
        <w:t xml:space="preserve">Security &amp; Authorization Posture</w:t>
      </w:r>
    </w:p>
    <w:p>
      <w:pPr>
        <w:pStyle w:val="ListParagraph"/>
        <w:numPr>
          <w:ilvl w:val="0"/>
          <w:numId w:val="2"/>
        </w:numPr>
        <w:spacing w:after="60" w:line="256"/>
      </w:pPr>
      <w:r>
        <w:t xml:space="preserve">Security controls are minimal and would require significant hardening before any RMF/ATO submission.</w:t>
      </w:r>
    </w:p>
    <w:p>
      <w:pPr>
        <w:pStyle w:val="ListParagraph"/>
        <w:numPr>
          <w:ilvl w:val="0"/>
          <w:numId w:val="2"/>
        </w:numPr>
        <w:spacing w:after="60" w:line="256"/>
      </w:pPr>
      <w:r>
        <w:t xml:space="preserve">As designed, the prototype is unlikely to meet IL5 / Zero Trust / STIG requirements without substantial rework.</w:t>
      </w:r>
    </w:p>
    <w:p>
      <w:pPr>
        <w:pStyle w:val="Heading1"/>
      </w:pPr>
      <w:r>
        <w:t xml:space="preserve">DDIL / Disconnected Operation</w:t>
      </w:r>
    </w:p>
    <w:p>
      <w:pPr>
        <w:spacing w:after="120" w:line="264"/>
      </w:pPr>
      <w:r>
        <w:t xml:space="preserve">The prototype provides no edge resilience and no disconnected operation. It does not address NFR-2 / DDIL-1.</w:t>
      </w:r>
    </w:p>
    <w:p>
      <w:pPr>
        <w:pStyle w:val="Heading1"/>
      </w:pPr>
      <w:r>
        <w:t xml:space="preserve">Risks and Limitations</w:t>
      </w:r>
    </w:p>
    <w:p>
      <w:pPr>
        <w:pStyle w:val="ListParagraph"/>
        <w:numPr>
          <w:ilvl w:val="0"/>
          <w:numId w:val="2"/>
        </w:numPr>
        <w:spacing w:after="60" w:line="256"/>
      </w:pPr>
      <w:r>
        <w:t xml:space="preserve">The architecture does not support large-scale ingestion or high availability.</w:t>
      </w:r>
    </w:p>
    <w:p>
      <w:pPr>
        <w:pStyle w:val="ListParagraph"/>
        <w:numPr>
          <w:ilvl w:val="0"/>
          <w:numId w:val="2"/>
        </w:numPr>
        <w:spacing w:after="60" w:line="256"/>
      </w:pPr>
      <w:r>
        <w:t xml:space="preserve">Security controls are minimal and would require significant improvement before operational deployment.</w:t>
      </w:r>
    </w:p>
    <w:p>
      <w:pPr>
        <w:pStyle w:val="ListParagraph"/>
        <w:numPr>
          <w:ilvl w:val="0"/>
          <w:numId w:val="2"/>
        </w:numPr>
        <w:spacing w:after="60" w:line="256"/>
      </w:pPr>
      <w:r>
        <w:t xml:space="preserve">Suitable only as a rapid experiment or quick-look to validate user experience and requirements, not as a fielded solution.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6"/>
      </w:pBdr>
      <w:jc w:val="center"/>
    </w:pPr>
    <w:r>
      <w:rPr>
        <w:color w:val="808080"/>
        <w:sz w:val="15"/>
        <w:szCs w:val="15"/>
      </w:rPr>
      <w:t xml:space="preserve">Microsoft 365 Copilot Training — Source-Selection Evaluation Use Case   |   Page </w:t>
    </w:r>
    <w:r>
      <w:rPr>
        <w:color w:val="808080"/>
        <w:sz w:val="15"/>
        <w:szCs w:val="15"/>
      </w:rPr>
      <w:fldChar w:fldCharType="begin"/>
      <w:instrText xml:space="preserve">PAGE</w:instrText>
      <w:fldChar w:fldCharType="separate"/>
      <w:fldChar w:fldCharType="end"/>
    </w:r>
    <w:r>
      <w:rPr>
        <w:color w:val="808080"/>
        <w:sz w:val="15"/>
        <w:szCs w:val="15"/>
      </w:rPr>
      <w:t xml:space="preserve"> of </w:t>
    </w:r>
    <w:r>
      <w:rPr>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C55A11"/>
        <w:sz w:val="14"/>
        <w:szCs w:val="14"/>
      </w:rPr>
      <w:t xml:space="preserve">NOTIONAL TRAINING SCENARIO — UNCLASSIFIED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2026-06-26T12:51:01.049Z</dcterms:created>
  <dcterms:modified xsi:type="dcterms:W3CDTF">2026-06-26T12:51:01.049Z</dcterms:modified>
</cp:coreProperties>
</file>

<file path=docProps/custom.xml><?xml version="1.0" encoding="utf-8"?>
<Properties xmlns="http://schemas.openxmlformats.org/officeDocument/2006/custom-properties" xmlns:vt="http://schemas.openxmlformats.org/officeDocument/2006/docPropsVTypes"/>
</file>