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8A5A2B"/>
          <w:sz w:val="30"/>
          <w:szCs w:val="30"/>
        </w:rPr>
        <w:t xml:space="preserve">FRAMEWORK</w:t>
      </w:r>
    </w:p>
    <w:p>
      <w:pPr>
        <w:spacing w:after="400"/>
        <w:jc w:val="center"/>
      </w:pPr>
      <w:r>
        <w:rPr>
          <w:b/>
          <w:bCs/>
          <w:color w:val="2E5339"/>
          <w:sz w:val="56"/>
          <w:szCs w:val="56"/>
        </w:rPr>
        <w:t xml:space="preserve">Tara, een Hondenleven</w:t>
      </w:r>
    </w:p>
    <w:p>
      <w:pPr>
        <w:spacing w:after="100"/>
        <w:jc w:val="center"/>
      </w:pPr>
      <w:r>
        <w:rPr>
          <w:i/>
          <w:iCs/>
          <w:sz w:val="26"/>
          <w:szCs w:val="26"/>
        </w:rPr>
        <w:t xml:space="preserve">Het geheime onderzoeksrapport van een hond</w:t>
      </w:r>
    </w:p>
    <w:p>
      <w:pPr>
        <w:spacing w:after="1200"/>
        <w:jc w:val="center"/>
      </w:pPr>
      <w:r>
        <w:rPr>
          <w:color w:val="666666"/>
          <w:sz w:val="20"/>
          <w:szCs w:val="20"/>
        </w:rPr>
        <w:t xml:space="preserve">Definitieve versie, samengesteld uit alle bestaande documenten en aangevuld tot een compleet fundament voor het boek.</w:t>
      </w:r>
    </w:p>
    <w:p>
      <w:pPr>
        <w:pStyle w:val="Heading1"/>
        <w:spacing w:after="240" w:before="480"/>
      </w:pPr>
      <w:r>
        <w:t xml:space="preserve">0. Verantwoording</w:t>
      </w:r>
    </w:p>
    <w:p>
      <w:pPr>
        <w:spacing w:after="160" w:line="300"/>
      </w:pPr>
      <w:r>
        <w:t xml:space="preserve">Dit document vervangt geen van de eerdere stukken, het bundelt ze. Het boekconcept (“De Labrador als Psycholoog”), de twee uitbreidingsdocumenten en alle scènes en onderzoeksideeën die daarin verspreid stonden, zijn hier samengevoegd, gecontroleerd op tegenspraak, aangevuld waar er gaten zaten, en gesnoeid waar iets de toon van het boek zou verzwakken.</w:t>
      </w:r>
    </w:p>
    <w:p>
      <w:pPr>
        <w:spacing w:after="160" w:line="300"/>
      </w:pPr>
      <w:r>
        <w:t xml:space="preserve">Deze versie verwerkt drie grote wijzigingen. De hond heeft een naam en een geslacht gekregen: Tara, een vrouwelijke Labrador. Het boek krijgt een echte openingsboog: het verhaal begint nu bij haar geboorte in een nest van negen pups, volgt het verdwijnen van haar broertjes en zusjes vanaf acht weken, haar eerste autorit, en haar aankomst bij een nieuw baasje, voordat de vertrouwde onderzoeksstructuur van start gaat. En de titel is gewijzigd naar Tara, een Hondenleven, met vijf alternatieven in sectie 1.</w:t>
      </w:r>
    </w:p>
    <w:p>
      <w:pPr>
        <w:spacing w:after="160" w:line="300"/>
      </w:pPr>
      <w:r>
        <w:t xml:space="preserve">Verder ontbraken in de eerdere versie nog de originele scènes uit het allereerste boekconcept (het etentje, de dronken gast, de trucjes), die nu een vaste plek hebben gekregen, en een uitgebreide gids over experimentele satire en de “humoristische thriller” uit een van de documenten is bewust niet overgenomen. Sectie 10 legt uit waarom.</w:t>
      </w:r>
    </w:p>
    <w:p>
      <w:pPr>
        <w:pStyle w:val="Heading1"/>
        <w:spacing w:after="240" w:before="480"/>
      </w:pPr>
      <w:r>
        <w:t xml:space="preserve">1. Het boek in het kort</w:t>
      </w:r>
    </w:p>
    <w:p>
      <w:pPr>
        <w:pStyle w:val="Heading2"/>
        <w:spacing w:after="160" w:before="360"/>
      </w:pPr>
      <w:r>
        <w:t xml:space="preserve">Genre en toon</w:t>
      </w:r>
    </w:p>
    <w:p>
      <w:pPr>
        <w:spacing w:after="160" w:line="300"/>
      </w:pPr>
      <w:r>
        <w:t xml:space="preserve">Warme satire met filosofische ondertoon, verteld vanuit het perspectief van Tara, een Labrador die de mens observeert. Geen cynisme, geen kille spot. Tara houdt van haar mensen; ze bekritiseert niet, ze beschrijft. De humor ontstaat uit het contrast tussen haar droge, pseudowetenschappelijke toon en de simpele, herkenbare werkelijkheid die ze beschrijft.</w:t>
      </w:r>
    </w:p>
    <w:p>
      <w:pPr>
        <w:pStyle w:val="Heading2"/>
        <w:spacing w:after="160" w:before="360"/>
      </w:pPr>
      <w:r>
        <w:t xml:space="preserve">Lengte en doelgroep</w:t>
      </w:r>
    </w:p>
    <w:p>
      <w:pPr>
        <w:spacing w:after="160" w:line="300"/>
      </w:pPr>
      <w:r>
        <w:t xml:space="preserve">Streeflengte 180 tot 220 bladzijden, opgebouwd uit 23 hoofdstukken plus een epiloog. De eerste vier hoofdstukken zijn korter en zuiver verhalend; de rest volgt de vaste onderzoeksstructuur. Doelgroep is breed: hondenliefhebbers, maar ook lezers van luchtige psychologie en menselijke-natuurbespiegeling.</w:t>
      </w:r>
    </w:p>
    <w:p>
      <w:pPr>
        <w:pStyle w:val="Heading2"/>
        <w:spacing w:after="160" w:before="360"/>
      </w:pPr>
      <w:r>
        <w:t xml:space="preserve">Titel</w:t>
      </w:r>
    </w:p>
    <w:p>
      <w:pPr>
        <w:spacing w:after="160" w:line="300"/>
      </w:pPr>
      <w:r>
        <w:t xml:space="preserve">Werktitel: Tara, een Hondenleven. Ondertitel: Het geheime onderzoeksrapport van een hond. Deze titel vervangt de eerdere werktitel De Observerende Labrador; die blijft wel de naam van het onderliggende concept en mag terugkomen als reeksnaam of als titel van het inleidende hoofdstuk.</w:t>
      </w:r>
    </w:p>
    <w:p>
      <w:pPr>
        <w:spacing w:after="160" w:line="300"/>
      </w:pPr>
      <w:r>
        <w:t xml:space="preserve">Vijf alternatieve titels, ter overweging:</w:t>
      </w:r>
    </w:p>
    <w:p>
      <w:pPr>
        <w:pStyle w:val="ListParagraph"/>
        <w:numPr>
          <w:ilvl w:val="0"/>
          <w:numId w:val="1"/>
        </w:numPr>
        <w:spacing w:after="100" w:line="280"/>
      </w:pPr>
      <w:r>
        <w:t xml:space="preserve">Het Leven van Tara, sober en direct, legt de nadruk op de volledige levensloop.</w:t>
      </w:r>
    </w:p>
    <w:p>
      <w:pPr>
        <w:pStyle w:val="ListParagraph"/>
        <w:numPr>
          <w:ilvl w:val="0"/>
          <w:numId w:val="1"/>
        </w:numPr>
        <w:spacing w:after="100" w:line="280"/>
      </w:pPr>
      <w:r>
        <w:t xml:space="preserve">Tara Kijkt naar Mensen, benadrukt het observerende, buitenstaander-perspectief.</w:t>
      </w:r>
    </w:p>
    <w:p>
      <w:pPr>
        <w:pStyle w:val="ListParagraph"/>
        <w:numPr>
          <w:ilvl w:val="0"/>
          <w:numId w:val="1"/>
        </w:numPr>
        <w:spacing w:after="100" w:line="280"/>
      </w:pPr>
      <w:r>
        <w:t xml:space="preserve">Wat Tara Zag, kort en raadselachtig, goed voor een omslag met veel witruimte.</w:t>
      </w:r>
    </w:p>
    <w:p>
      <w:pPr>
        <w:pStyle w:val="ListParagraph"/>
        <w:numPr>
          <w:ilvl w:val="0"/>
          <w:numId w:val="1"/>
        </w:numPr>
        <w:spacing w:after="100" w:line="280"/>
      </w:pPr>
      <w:r>
        <w:t xml:space="preserve">Tara: Het Geheime Onderzoeksrapport van een Hond, plaatst de wetenschappelijke premisse al in de titel zelf.</w:t>
      </w:r>
    </w:p>
    <w:p>
      <w:pPr>
        <w:pStyle w:val="ListParagraph"/>
        <w:numPr>
          <w:ilvl w:val="0"/>
          <w:numId w:val="1"/>
        </w:numPr>
        <w:spacing w:after="100" w:line="280"/>
      </w:pPr>
      <w:r>
        <w:t xml:space="preserve">Acht Pups, Eén Mensenleven, literair en beeldend, verwijst direct naar de openingsscène en de kern van het boek: van een nest vol broertjes en zusjes naar één levenslang onderzoek naar de mens.</w:t>
      </w:r>
    </w:p>
    <w:p>
      <w:pPr>
        <w:pStyle w:val="Heading2"/>
        <w:spacing w:after="160" w:before="360"/>
      </w:pPr>
      <w:r>
        <w:t xml:space="preserve">Centrale premisse</w:t>
      </w:r>
    </w:p>
    <w:p>
      <w:pPr>
        <w:spacing w:after="160" w:line="300"/>
      </w:pPr>
      <w:r>
        <w:t xml:space="preserve">Mensen denken dat zij honden bestuderen. Maar honden bestuderen al duizenden jaren mensen, en zijn daar veel beter in geworden. Tara ziet zichzelf, eenmaal oud genoeg om na te denken, niet als huisdier, maar als gedragswetenschapper die toevallig samenwoont met een fascinerend en soms onbegrijpelijk wezen: de mens. Haar levenswerk heeft een titel, die ze nooit hardop kan zeggen, maar die door het hele boek meeklinkt: “Een vergelijkende gedragsstudie van Homo domesticus.” Maar voordat ze onderzoeker wordt, is ze eerst gewoon een pup: blind, warm, en één van negen.</w:t>
      </w:r>
    </w:p>
    <w:p>
      <w:pPr>
        <w:pStyle w:val="Heading1"/>
        <w:spacing w:after="240" w:before="480"/>
      </w:pPr>
      <w:r>
        <w:t xml:space="preserve">2. De stem van Tara: schrijfregels</w:t>
      </w:r>
    </w:p>
    <w:p>
      <w:pPr>
        <w:spacing w:after="160" w:line="300"/>
      </w:pPr>
      <w:r>
        <w:t xml:space="preserve">Dit zijn de regels die bepalen of een scène “klopt” voor dit boek. Ze zijn strenger dan een gewone stijlgids, omdat de hele humor van het boek instort zodra Tara te menselijk gaat denken of te expliciet een oordeel velt.</w:t>
      </w:r>
    </w:p>
    <w:p>
      <w:pPr>
        <w:pStyle w:val="Heading2"/>
        <w:spacing w:after="160" w:before="360"/>
      </w:pPr>
      <w:r>
        <w:t xml:space="preserve">Regel 1: Tonen, nooit zeggen</w:t>
      </w:r>
    </w:p>
    <w:p>
      <w:pPr>
        <w:spacing w:after="160" w:line="300"/>
      </w:pPr>
      <w:r>
        <w:t xml:space="preserve">Tara zegt nooit letterlijk dat mensen vreemd zijn. Ze beschrijft alleen wat ze ziet, rechttoe rechtaan, en laat de absurditeit voor zich spreken. Zodra ze zelf de grap uitlegt, is de grap kapot. Dit principe stond in de documenten bekend als “De Grote Spiegel” en is de belangrijkste regel van het hele boek.</w:t>
      </w:r>
    </w:p>
    <w:p>
      <w:pPr>
        <w:pStyle w:val="Heading2"/>
        <w:spacing w:after="160" w:before="360"/>
      </w:pPr>
      <w:r>
        <w:t xml:space="preserve">Regel 2: De zintuiglijke volgorde</w:t>
      </w:r>
    </w:p>
    <w:p>
      <w:pPr>
        <w:spacing w:after="160" w:line="300"/>
      </w:pPr>
      <w:r>
        <w:t xml:space="preserve">Tara neemt de wereld waar in een vaste hiërarchie: eerst geur, dan lichaamstaal en beweging, dan pas geluid en woorden. Woorden zijn voor haar het minst betrouwbare kanaal. Elke scène zou met die volgorde moeten openen: wat ze ruikt voordat er iets gezegd wordt, wat ze ziet aan houding en ademhaling, en pas daarna wat er wordt uitgesproken, met de nadruk dat het gesprokene vaak tegenspreekt wat de rest al verried.</w:t>
      </w:r>
    </w:p>
    <w:p>
      <w:pPr>
        <w:pStyle w:val="Heading2"/>
        <w:spacing w:after="160" w:before="360"/>
      </w:pPr>
      <w:r>
        <w:t xml:space="preserve">Regel 3: Omgeving als bewijsmateriaal</w:t>
      </w:r>
    </w:p>
    <w:p>
      <w:pPr>
        <w:spacing w:after="160" w:line="300"/>
      </w:pPr>
      <w:r>
        <w:t xml:space="preserve">Waar een mens een kamer beschrijft met kleuren en meubels, beschrijft Tara een kamer als een dossier vol sporen: de geur van gemorste koffie onder de bank, de nog niet vervaagde temperatuur van een net verlaten stoel, het spoor van natte schoenen naar het aanrecht. Elke scène verdient minstens twee van dit soort concrete, zintuiglijke details voordat er dialoog begint. Zo voelt de lezer waar het verhaal zich afspeelt, niet omdat het beschreven wordt zoals een mens dat zou doen, maar juist omdat het door een hondenneus wordt gefilterd. Dit geldt het sterkst in de openingshoofdstukken: het nest, het kot, de auto en het nieuwe huis zijn de eerste vier plekken die de lezer moet kunnen ruiken, voelen en horen alsof hij er zelf ligt.</w:t>
      </w:r>
    </w:p>
    <w:p>
      <w:pPr>
        <w:pStyle w:val="Heading2"/>
        <w:spacing w:after="160" w:before="360"/>
      </w:pPr>
      <w:r>
        <w:t xml:space="preserve">Regel 4: Warmte boven spot</w:t>
      </w:r>
    </w:p>
    <w:p>
      <w:pPr>
        <w:spacing w:after="160" w:line="300"/>
      </w:pPr>
      <w:r>
        <w:t xml:space="preserve">Tara veroordeelt nooit. Ze bewondert, maakt zich zorgen, en probeert vooral te begrijpen waarom mensen moeilijk doen over simpele dingen. Zelfs haar scherpste observaties landen uiteindelijk op iets liefdevols.</w:t>
      </w:r>
    </w:p>
    <w:p>
      <w:pPr>
        <w:pStyle w:val="Heading2"/>
        <w:spacing w:after="160" w:before="360"/>
      </w:pPr>
      <w:r>
        <w:t xml:space="preserve">Regel 5: Droge wetenschap, warme conclusie</w:t>
      </w:r>
    </w:p>
    <w:p>
      <w:pPr>
        <w:spacing w:after="160" w:line="300"/>
      </w:pPr>
      <w:r>
        <w:t xml:space="preserve">Onderzoeksvraag, observatie, hypothese en experiment worden verteld in een droge, nieuwsgierige onderzoekstoon, zonder grappen te forceren. De humor zit in het contrast, niet in de grap zelf. Pas in de conclusie mag de toon opwarmen tot iets filosofisch of ontroerends.</w:t>
      </w:r>
    </w:p>
    <w:p>
      <w:pPr>
        <w:pStyle w:val="Heading2"/>
        <w:spacing w:after="160" w:before="360"/>
      </w:pPr>
      <w:r>
        <w:t xml:space="preserve">Regel 6: Consistentie in naam en tijd</w:t>
      </w:r>
    </w:p>
    <w:p>
      <w:pPr>
        <w:spacing w:after="160" w:line="300"/>
      </w:pPr>
      <w:r>
        <w:t xml:space="preserve">De hond heet Tara, een vrouwelijke Labrador. Het verhaal beslaat haar hele leven, van geboorte tot hoge ouderdom, en de tijdlijn loopt strikt chronologisch: geen sprongen die de lezer moet reconstrueren.</w:t>
      </w:r>
    </w:p>
    <w:p>
      <w:pPr>
        <w:pStyle w:val="Heading2"/>
        <w:spacing w:after="160" w:before="360"/>
      </w:pPr>
      <w:r>
        <w:t xml:space="preserve">Regel 7: De pup wordt pas later onderzoeker</w:t>
      </w:r>
    </w:p>
    <w:p>
      <w:pPr>
        <w:spacing w:after="160" w:line="300"/>
      </w:pPr>
      <w:r>
        <w:t xml:space="preserve">Tara wordt niet als wetenschapper geboren. De eerste hoofdstukken tonen een pup die nog geen woord, geen naam en geen onderzoeksvraag heeft, alleen zintuigen. Pas wanneer ze oud genoeg is om verbanden te leggen, schakelt het boek voor het eerst over naar de vaste onderzoeksstructuur. Die overgang, ergens in hoofdstuk 5, mag de lezer voelen als een klein keerpunt: het moment waarop de pup verandert in een onderzoeker.</w:t>
      </w:r>
    </w:p>
    <w:p>
      <w:pPr>
        <w:pStyle w:val="Heading2"/>
        <w:spacing w:after="160" w:before="360"/>
      </w:pPr>
      <w:r>
        <w:t xml:space="preserve">Regel 8: De twee wandelmodi</w:t>
      </w:r>
    </w:p>
    <w:p>
      <w:pPr>
        <w:spacing w:after="160" w:line="300"/>
      </w:pPr>
      <w:r>
        <w:t xml:space="preserve">Tara kent twee strikt gescheiden wandelmodi, en elke wandelscène in het boek verdient vooraf een label met een van de twee, omdat de toon en het soort observaties volledig verschillen. Modus 1 is Volgen: een wandeling in dienst van het baasje, aan een korte lijn of naast zijn been, zonder snuffelen, met de aandacht op zijn tempo en zijn agenda. Dit is de modus van gehoorzaamheid en menselijke sociale rituelen; hier verzamelt Tara vooral data over mensen. Modus 2 is de Vrije Wandeling: de lijn is los of lang, en Tara bepaalt zelf de route, van geur naar geur. Dit is de modus van haar eigen onderzoek naar de wereld zelf: het grasveld als Facebook, andere honden, sporen van dieren. Een goed hoofdstuk maakt vaak gebruik van het contrast tussen beide: een Volgen-wandeling die plotseling overgaat in een Vrije Wandeling zodra het baasje eindelijk de riem laat vieren, is een terugkerend, betrouwbaar stemmingswisselpunt in het boek. Zie sectie 12 voor een richtlijn per hoofdstuk.</w:t>
      </w:r>
    </w:p>
    <w:p>
      <w:pPr>
        <w:pStyle w:val="Heading1"/>
        <w:spacing w:after="240" w:before="480"/>
      </w:pPr>
      <w:r>
        <w:t xml:space="preserve">3. De wetenschappelijke hoofdstukstructuur</w:t>
      </w:r>
    </w:p>
    <w:p>
      <w:pPr>
        <w:spacing w:after="160" w:line="300"/>
      </w:pPr>
      <w:r>
        <w:t xml:space="preserve">Vanaf hoofdstuk 5 volgt elk hoofdstuk dezelfde opbouw. Die herhaling is geen beperking maar het handelsmerk van het boek: de lezer went aan het ritme en gaat het herkennen, wat het comisch effect van elke afwijking juist versterkt.</w:t>
      </w:r>
    </w:p>
    <w:p>
      <w:pPr>
        <w:pStyle w:val="ListParagraph"/>
        <w:numPr>
          <w:ilvl w:val="0"/>
          <w:numId w:val="1"/>
        </w:numPr>
        <w:spacing w:after="100" w:line="280"/>
      </w:pPr>
      <w:r>
        <w:t xml:space="preserve">Onderzoeksvraag: een droge, oprechte vraag waarmee het hoofdstuk opent.</w:t>
      </w:r>
    </w:p>
    <w:p>
      <w:pPr>
        <w:pStyle w:val="ListParagraph"/>
        <w:numPr>
          <w:ilvl w:val="0"/>
          <w:numId w:val="1"/>
        </w:numPr>
        <w:spacing w:after="100" w:line="280"/>
      </w:pPr>
      <w:r>
        <w:t xml:space="preserve">Observatie: Tara beschrijft objectief wat ze ziet, zintuiglijk en concreet, zonder interpretatie.</w:t>
      </w:r>
    </w:p>
    <w:p>
      <w:pPr>
        <w:pStyle w:val="ListParagraph"/>
        <w:numPr>
          <w:ilvl w:val="0"/>
          <w:numId w:val="1"/>
        </w:numPr>
        <w:spacing w:after="100" w:line="280"/>
      </w:pPr>
      <w:r>
        <w:t xml:space="preserve">Hypothese: ze formuleert een verklaring die logisch klinkt vanuit hondenlogica, ook al is die overduidelijk krom.</w:t>
      </w:r>
    </w:p>
    <w:p>
      <w:pPr>
        <w:pStyle w:val="ListParagraph"/>
        <w:numPr>
          <w:ilvl w:val="0"/>
          <w:numId w:val="1"/>
        </w:numPr>
        <w:spacing w:after="100" w:line="280"/>
      </w:pPr>
      <w:r>
        <w:t xml:space="preserve">Experiment: ze test haar hypothese, niet uit ondeugd maar uit oprechte nieuwsgierigheid.</w:t>
      </w:r>
    </w:p>
    <w:p>
      <w:pPr>
        <w:pStyle w:val="ListParagraph"/>
        <w:numPr>
          <w:ilvl w:val="0"/>
          <w:numId w:val="1"/>
        </w:numPr>
        <w:spacing w:after="100" w:line="280"/>
      </w:pPr>
      <w:r>
        <w:t xml:space="preserve">Resultaat: de reactie van de mens wordt geanalyseerd zoals een onderzoeker een meetwaarde zou noteren.</w:t>
      </w:r>
    </w:p>
    <w:p>
      <w:pPr>
        <w:pStyle w:val="ListParagraph"/>
        <w:numPr>
          <w:ilvl w:val="0"/>
          <w:numId w:val="1"/>
        </w:numPr>
        <w:spacing w:after="100" w:line="280"/>
      </w:pPr>
      <w:r>
        <w:t xml:space="preserve">Conclusie: een verrassende, vaak ontroerende levensles.</w:t>
      </w:r>
    </w:p>
    <w:p>
      <w:pPr>
        <w:spacing w:after="160" w:line="300"/>
      </w:pPr>
      <w:r>
        <w:t xml:space="preserve">Uitzondering: de hoofdstukken 1 tot en met 4, waarin Tara nog een pasgeboren pup is, volgen deze structuur bewust niet. Ze zijn zuiver zintuiglijk en verhalend geschreven, gedragen door geur, warmte, geluid en beweging in plaats van door onderzoeksvragen. Na de conclusie van elk hoofdstuk vanaf 5 volgt steeds een van de twee vaste rubrieken: een Labradorwet of een Onderzoeksdossier. Zie sectie 6.</w:t>
      </w:r>
    </w:p>
    <w:p>
      <w:pPr>
        <w:pStyle w:val="Heading1"/>
        <w:spacing w:after="240" w:before="480"/>
      </w:pPr>
      <w:r>
        <w:t xml:space="preserve">4. De emotionele hoofdboog</w:t>
      </w:r>
    </w:p>
    <w:p>
      <w:pPr>
        <w:spacing w:after="160" w:line="300"/>
      </w:pPr>
      <w:r>
        <w:t xml:space="preserve">Onder de losse hoofdstukken loopt één doorlopende lijn: het leven van Tara zelf, van geboorte tot haar laatste dag.</w:t>
      </w:r>
    </w:p>
    <w:p>
      <w:pPr>
        <w:pStyle w:val="ListParagraph"/>
        <w:numPr>
          <w:ilvl w:val="0"/>
          <w:numId w:val="1"/>
        </w:numPr>
        <w:spacing w:after="100" w:line="280"/>
      </w:pPr>
      <w:r>
        <w:t xml:space="preserve">Geboorte en nest: Tara wordt geboren als een van negen pups. De wereld bestaat nog uit warmte, geur en het geduw van broertjes en zusjes; er is nog geen ik, alleen een wij.</w:t>
      </w:r>
    </w:p>
    <w:p>
      <w:pPr>
        <w:pStyle w:val="ListParagraph"/>
        <w:numPr>
          <w:ilvl w:val="0"/>
          <w:numId w:val="1"/>
        </w:numPr>
        <w:spacing w:after="100" w:line="280"/>
      </w:pPr>
      <w:r>
        <w:t xml:space="preserve">Het verdwijnen van het nest: vanaf acht weken verdwijnen haar nestgenootjes één voor één, tot alleen zij en haar zusje overblijven in het kot, naast de lege plek waar hun moeder ooit lag.</w:t>
      </w:r>
    </w:p>
    <w:p>
      <w:pPr>
        <w:pStyle w:val="ListParagraph"/>
        <w:numPr>
          <w:ilvl w:val="0"/>
          <w:numId w:val="1"/>
        </w:numPr>
        <w:spacing w:after="100" w:line="280"/>
      </w:pPr>
      <w:r>
        <w:t xml:space="preserve">De overgang: een vreemde komt op bezoek en kiest haar. De autorit en de aankomst bij een nieuw baasje vormen de brug van het nest naar het onderzoek dat de rest van haar leven zal vullen.</w:t>
      </w:r>
    </w:p>
    <w:p>
      <w:pPr>
        <w:pStyle w:val="ListParagraph"/>
        <w:numPr>
          <w:ilvl w:val="0"/>
          <w:numId w:val="1"/>
        </w:numPr>
        <w:spacing w:after="100" w:line="280"/>
      </w:pPr>
      <w:r>
        <w:t xml:space="preserve">Jonge hond: onbezorgdheid. Patronen worden zichtbaar, het spel met de baas wordt dieper.</w:t>
      </w:r>
    </w:p>
    <w:p>
      <w:pPr>
        <w:pStyle w:val="ListParagraph"/>
        <w:numPr>
          <w:ilvl w:val="0"/>
          <w:numId w:val="1"/>
        </w:numPr>
        <w:spacing w:after="100" w:line="280"/>
      </w:pPr>
      <w:r>
        <w:t xml:space="preserve">Volwassen hond: begrip. Tara voorspelt gedrag, doorziet rituelen, is een volwaardig gezinslid.</w:t>
      </w:r>
    </w:p>
    <w:p>
      <w:pPr>
        <w:pStyle w:val="ListParagraph"/>
        <w:numPr>
          <w:ilvl w:val="0"/>
          <w:numId w:val="1"/>
        </w:numPr>
        <w:spacing w:after="100" w:line="280"/>
      </w:pPr>
      <w:r>
        <w:t xml:space="preserve">De kinderen van het gezin groeien op. Tara ziet ze van baby tot volwassene worden, en verschuift zelf van speelmaat naar stille bewaker.</w:t>
      </w:r>
    </w:p>
    <w:p>
      <w:pPr>
        <w:pStyle w:val="ListParagraph"/>
        <w:numPr>
          <w:ilvl w:val="0"/>
          <w:numId w:val="1"/>
        </w:numPr>
        <w:spacing w:after="100" w:line="280"/>
      </w:pPr>
      <w:r>
        <w:t xml:space="preserve">De baas wordt ouder. Wandelingen worden korter en langzamer. Er verschijnen kleinkinderen in huis, die Tara met dezelfde geduldige nieuwsgierigheid bestudeert als ooit de baby.</w:t>
      </w:r>
    </w:p>
    <w:p>
      <w:pPr>
        <w:pStyle w:val="ListParagraph"/>
        <w:numPr>
          <w:ilvl w:val="0"/>
          <w:numId w:val="1"/>
        </w:numPr>
        <w:spacing w:after="100" w:line="280"/>
      </w:pPr>
      <w:r>
        <w:t xml:space="preserve">Ouderdom en afscheid. Tara wordt zelf oud. Haar laatste observatie is geen wetenschappelijke doorbraak, maar een eenvoudige vaststelling over liefde.</w:t>
      </w:r>
    </w:p>
    <w:p>
      <w:pPr>
        <w:spacing w:after="160" w:line="300"/>
      </w:pPr>
      <w:r>
        <w:t xml:space="preserve">Over het openingskader: sectie 5 begint met een korte proloog waarin een oude Tara terugdenkt aan haar jeugd, als antwoord op de vraag of dat beeld als kader moet dienen. Het advies is om dat retrospectieve moment alleen te gebruiken als kader, in een korte proloog en een epiloog die elkaar spiegelen, en dromen niet in te zetten als doorlopend middel om willekeurige anekdotes ergens tussen te schuiven. Dat laatste zou de strikte chronologie van Regel 6 ondermijnen en de lezer voortdurend uit het verhaal trekken. Wel mag Tara, uitsluitend in Deel III wanneer ze zelf oud is, af en toe dromen van haar jeugd als korte sfeertekening binnen het huidige moment, zonder dat dit de vertelvolgorde doorbreekt.</w:t>
      </w:r>
    </w:p>
    <w:p>
      <w:pPr>
        <w:spacing w:after="160" w:line="300"/>
      </w:pPr>
      <w:r>
        <w:t xml:space="preserve">Belangrijk verschil tussen kader en inhoud: de proloog en epiloog zijn uitdrukkelijk geen onderzoek, maar een herinnering. Tara vertelt haar leven niet nog eens omdat ze haar rapport wil afmaken, maar omdat ze het, aan het einde van haar leven, nog één keer wil voelen. Het onderzoek, met de vaste structuur van onderzoeksvraag tot conclusie, blijft de manier waarop de hoofdstukken zelf verteld worden. Het kader eromheen, waar het boek mee opent en sluit, is puur emotioneel: geen wetenschapper die haar levenswerk afrondt, maar een oude hond die zich haar leven nog één keer herinnert.</w:t>
      </w:r>
    </w:p>
    <w:p>
      <w:pPr>
        <w:pStyle w:val="Heading1"/>
        <w:spacing w:after="240" w:before="480"/>
      </w:pPr>
      <w:r>
        <w:t xml:space="preserve">5. Volledige hoofdstukindeling</w:t>
      </w:r>
    </w:p>
    <w:p>
      <w:pPr>
        <w:spacing w:after="160" w:line="300"/>
      </w:pPr>
      <w:r>
        <w:t xml:space="preserve">Nieuw ten opzichte van de vorige versie: de hoofdstukken 1 tot en met 4 vormen de openingsboog die nu expliciet bij de geboorte begint, zoals gevraagd. De rest van de indeling is doorgeschoven en hernummerd.</w:t>
      </w:r>
    </w:p>
    <w:p>
      <w:pPr>
        <w:pStyle w:val="Heading2"/>
        <w:spacing w:after="160" w:before="360"/>
      </w:pPr>
      <w:r>
        <w:t xml:space="preserve">Deel I: De Pioniersjaren – Verwondering (De Pup)</w:t>
      </w:r>
    </w:p>
    <w:p>
      <w:pPr>
        <w:spacing w:after="40" w:before="160"/>
      </w:pPr>
      <w:r>
        <w:rPr>
          <w:b/>
          <w:bCs/>
        </w:rPr>
        <w:t xml:space="preserve">Proloog. Een Herinnering Ontwaakt</w:t>
      </w:r>
    </w:p>
    <w:p>
      <w:pPr>
        <w:spacing w:after="120" w:line="280"/>
        <w:ind w:left="215"/>
      </w:pPr>
      <w:r>
        <w:rPr>
          <w:i/>
          <w:iCs/>
        </w:rPr>
        <w:t xml:space="preserve">Een oude Tara doezelt bij de haard. In die halfslaap keert voor een adem lang de geur van haar moeder terug. Ze schrikt niet wakker, ze glimlacht, op de manier waarop een hond dat doet, en laat toe dat de herinnering zich verder ontvouwt. Niet omdat ze iets moet afronden, maar omdat ze dit leven nog één keer wil voelen, van de eerste geur tot de laatste. Dit korte beeld keert aan het einde van het boek terug, in de epiloog, als de cirkel zich sluit.</w:t>
      </w:r>
    </w:p>
    <w:p>
      <w:pPr>
        <w:spacing w:after="40" w:before="160"/>
      </w:pPr>
      <w:r>
        <w:rPr>
          <w:b/>
          <w:bCs/>
        </w:rPr>
        <w:t xml:space="preserve">Hoofdstuk 1. </w:t>
      </w:r>
      <w:r>
        <w:rPr>
          <w:b/>
          <w:bCs/>
        </w:rPr>
        <w:t xml:space="preserve">De Geboorte</w:t>
      </w:r>
    </w:p>
    <w:p>
      <w:pPr>
        <w:spacing w:after="120" w:line="280"/>
        <w:ind w:left="215"/>
      </w:pPr>
      <w:r>
        <w:rPr>
          <w:i/>
          <w:iCs/>
        </w:rPr>
        <w:t xml:space="preserve">Tara wordt geboren als een van negen pups in een nest vol warmte en duisternis. Nog geen ogen die zien, geen woorden, alleen de geur van moeder en het zachte geduw van broertjes en zusjes tegen haar flank.</w:t>
      </w:r>
    </w:p>
    <w:p>
      <w:pPr>
        <w:spacing w:after="40" w:before="160"/>
      </w:pPr>
      <w:r>
        <w:rPr>
          <w:b/>
          <w:bCs/>
        </w:rPr>
        <w:t xml:space="preserve">Hoofdstuk 2. </w:t>
      </w:r>
      <w:r>
        <w:rPr>
          <w:b/>
          <w:bCs/>
        </w:rPr>
        <w:t xml:space="preserve">Het Verdwijnen van de Anderen</w:t>
      </w:r>
    </w:p>
    <w:p>
      <w:pPr>
        <w:spacing w:after="120" w:line="280"/>
        <w:ind w:left="215"/>
      </w:pPr>
      <w:r>
        <w:rPr>
          <w:i/>
          <w:iCs/>
        </w:rPr>
        <w:t xml:space="preserve">Vanaf acht weken verdwijnt er steeds een nestgenootje. Eerst is het nest vol, dan wordt het leger, tot alleen Tara en haar zusje overblijven in het kot, naast een plek die naar hun moeder ruikt maar leeg is.</w:t>
      </w:r>
    </w:p>
    <w:p>
      <w:pPr>
        <w:spacing w:after="40" w:before="160"/>
      </w:pPr>
      <w:r>
        <w:rPr>
          <w:b/>
          <w:bCs/>
        </w:rPr>
        <w:t xml:space="preserve">Hoofdstuk 3. </w:t>
      </w:r>
      <w:r>
        <w:rPr>
          <w:b/>
          <w:bCs/>
        </w:rPr>
        <w:t xml:space="preserve">De Wagen</w:t>
      </w:r>
    </w:p>
    <w:p>
      <w:pPr>
        <w:spacing w:after="120" w:line="280"/>
        <w:ind w:left="215"/>
      </w:pPr>
      <w:r>
        <w:rPr>
          <w:i/>
          <w:iCs/>
        </w:rPr>
        <w:t xml:space="preserve">Een vreemde komt op bezoek en kiest Tara. Voor het eerst zit ze in een auto: de trilling van de motor door de vloer, de geur van warm plastic en asfalt, en achter haar het langzaam wegstervende spoor van haar zusje en het kot.</w:t>
      </w:r>
    </w:p>
    <w:p>
      <w:pPr>
        <w:spacing w:after="40" w:before="160"/>
      </w:pPr>
      <w:r>
        <w:rPr>
          <w:b/>
          <w:bCs/>
        </w:rPr>
        <w:t xml:space="preserve">Hoofdstuk 4. </w:t>
      </w:r>
      <w:r>
        <w:rPr>
          <w:b/>
          <w:bCs/>
        </w:rPr>
        <w:t xml:space="preserve">Een Vreemde Wereld</w:t>
      </w:r>
    </w:p>
    <w:p>
      <w:pPr>
        <w:spacing w:after="120" w:line="280"/>
        <w:ind w:left="215"/>
      </w:pPr>
      <w:r>
        <w:rPr>
          <w:i/>
          <w:iCs/>
        </w:rPr>
        <w:t xml:space="preserve">Aankomst bij haar nieuwe baasje thuis. Een huis vol onbekende geuren en geluiden, veel groter en stiller dan het kot. Haar baasje blijft de eerste nacht bij haar liggen, wat ze aanvoelt als het begin van iets veiligs.</w:t>
      </w:r>
    </w:p>
    <w:p>
      <w:pPr>
        <w:spacing w:after="40" w:before="160"/>
      </w:pPr>
      <w:r>
        <w:rPr>
          <w:b/>
          <w:bCs/>
        </w:rPr>
        <w:t xml:space="preserve">Hoofdstuk 5. </w:t>
      </w:r>
      <w:r>
        <w:rPr>
          <w:b/>
          <w:bCs/>
        </w:rPr>
        <w:t xml:space="preserve">De Eerste Experimenten</w:t>
      </w:r>
    </w:p>
    <w:p>
      <w:pPr>
        <w:spacing w:after="120" w:line="280"/>
        <w:ind w:left="215"/>
      </w:pPr>
      <w:r>
        <w:rPr>
          <w:i/>
          <w:iCs/>
        </w:rPr>
        <w:t xml:space="preserve">Zindelijkheid, het commando “nee”, en de eerste keer pootje geven. Tara doorziet algauw dat ze niet getraind wordt, maar een code kraakt: stil zitten activeert de voedselmachine. Hier wordt ze voor het eerst onderzoeker.</w:t>
      </w:r>
    </w:p>
    <w:p>
      <w:pPr>
        <w:spacing w:after="40" w:before="160"/>
      </w:pPr>
      <w:r>
        <w:rPr>
          <w:b/>
          <w:bCs/>
        </w:rPr>
        <w:t xml:space="preserve">Hoofdstuk 6. </w:t>
      </w:r>
      <w:r>
        <w:rPr>
          <w:b/>
          <w:bCs/>
        </w:rPr>
        <w:t xml:space="preserve">De Geur als Horloge en het Facebook van het Gras</w:t>
      </w:r>
    </w:p>
    <w:p>
      <w:pPr>
        <w:spacing w:after="120" w:line="280"/>
        <w:ind w:left="215"/>
      </w:pPr>
      <w:r>
        <w:rPr>
          <w:i/>
          <w:iCs/>
        </w:rPr>
        <w:t xml:space="preserve">Hoe Tara tijd meet aan geurverval, en hoe elke lantaarnpaal en elk grasveld een volledig verhaal vertelt dat een mens straal negeert.</w:t>
      </w:r>
    </w:p>
    <w:p>
      <w:pPr>
        <w:spacing w:after="40" w:before="160"/>
      </w:pPr>
      <w:r>
        <w:rPr>
          <w:b/>
          <w:bCs/>
        </w:rPr>
        <w:t xml:space="preserve">Hoofdstuk 7. </w:t>
      </w:r>
      <w:r>
        <w:rPr>
          <w:b/>
          <w:bCs/>
        </w:rPr>
        <w:t xml:space="preserve">De Mythe van de Alfa</w:t>
      </w:r>
    </w:p>
    <w:p>
      <w:pPr>
        <w:spacing w:after="120" w:line="280"/>
        <w:ind w:left="215"/>
      </w:pPr>
      <w:r>
        <w:rPr>
          <w:i/>
          <w:iCs/>
        </w:rPr>
        <w:t xml:space="preserve">Tara observeert hoe haar baas geforceerd de “alfa” probeert te zijn, en concludeert dat de echte leider degene is die rust biedt, niet degene die de meeste regels oplegt.</w:t>
      </w:r>
    </w:p>
    <w:p>
      <w:pPr>
        <w:spacing w:after="40" w:before="160"/>
      </w:pPr>
      <w:r>
        <w:rPr>
          <w:b/>
          <w:bCs/>
        </w:rPr>
        <w:t xml:space="preserve">Hoofdstuk 8. </w:t>
      </w:r>
      <w:r>
        <w:rPr>
          <w:b/>
          <w:bCs/>
        </w:rPr>
        <w:t xml:space="preserve">De Chemische Leugendetector</w:t>
      </w:r>
    </w:p>
    <w:p>
      <w:pPr>
        <w:spacing w:after="120" w:line="280"/>
        <w:ind w:left="215"/>
      </w:pPr>
      <w:r>
        <w:rPr>
          <w:i/>
          <w:iCs/>
        </w:rPr>
        <w:t xml:space="preserve">De baas zegt dat alles prima is. Zijn zweet zegt iets anders. Tara ontmaskert de eerste menselijke schijnvertoning.</w:t>
      </w:r>
    </w:p>
    <w:p>
      <w:pPr>
        <w:spacing w:after="40" w:before="160"/>
      </w:pPr>
      <w:r>
        <w:rPr>
          <w:b/>
          <w:bCs/>
        </w:rPr>
        <w:t xml:space="preserve">Hoofdstuk 9. </w:t>
      </w:r>
      <w:r>
        <w:rPr>
          <w:b/>
          <w:bCs/>
        </w:rPr>
        <w:t xml:space="preserve">De Komst van de Baby</w:t>
      </w:r>
    </w:p>
    <w:p>
      <w:pPr>
        <w:spacing w:after="120" w:line="280"/>
        <w:ind w:left="215"/>
      </w:pPr>
      <w:r>
        <w:rPr>
          <w:i/>
          <w:iCs/>
        </w:rPr>
        <w:t xml:space="preserve">Een nieuw ‘roedellid’ arriveert. Tara ziet de baby als een broertje dat bescherming nodig heeft, en accepteert een compleet nieuwe hiërarchie zonder ooit jaloers te worden.</w:t>
      </w:r>
    </w:p>
    <w:p>
      <w:pPr>
        <w:pStyle w:val="Heading2"/>
        <w:spacing w:after="160" w:before="360"/>
      </w:pPr>
      <w:r>
        <w:t xml:space="preserve">Deel II: De Data-analyse – Begrip (De Volwassen Hond)</w:t>
      </w:r>
    </w:p>
    <w:p>
      <w:pPr>
        <w:spacing w:after="40" w:before="160"/>
      </w:pPr>
      <w:r>
        <w:rPr>
          <w:b/>
          <w:bCs/>
        </w:rPr>
        <w:t xml:space="preserve">Hoofdstuk 10. </w:t>
      </w:r>
      <w:r>
        <w:rPr>
          <w:b/>
          <w:bCs/>
        </w:rPr>
        <w:t xml:space="preserve">Het Schuldige Gezicht</w:t>
      </w:r>
    </w:p>
    <w:p>
      <w:pPr>
        <w:spacing w:after="120" w:line="280"/>
        <w:ind w:left="215"/>
      </w:pPr>
      <w:r>
        <w:rPr>
          <w:i/>
          <w:iCs/>
        </w:rPr>
        <w:t xml:space="preserve">Een kapotgebeten pantoffel, en de mythe dat Tara ergens spijt van heeft. Wat de baas ziet als schuld, is in werkelijkheid pure diplomatie.</w:t>
      </w:r>
    </w:p>
    <w:p>
      <w:pPr>
        <w:spacing w:after="40" w:before="160"/>
      </w:pPr>
      <w:r>
        <w:rPr>
          <w:b/>
          <w:bCs/>
        </w:rPr>
        <w:t xml:space="preserve">Hoofdstuk 11. </w:t>
      </w:r>
      <w:r>
        <w:rPr>
          <w:b/>
          <w:bCs/>
        </w:rPr>
        <w:t xml:space="preserve">De Programmering van de Jacht</w:t>
      </w:r>
    </w:p>
    <w:p>
      <w:pPr>
        <w:spacing w:after="120" w:line="280"/>
        <w:ind w:left="215"/>
      </w:pPr>
      <w:r>
        <w:rPr>
          <w:i/>
          <w:iCs/>
        </w:rPr>
        <w:t xml:space="preserve">Als pup leerde ze dat achter een kat aanrennen een spel is. Nu is het een probleem op elk terras. Tara leert haar eigen instinct beheersen, met een nadrukkelijk voorbehoud voor echte jachthonden.</w:t>
      </w:r>
    </w:p>
    <w:p>
      <w:pPr>
        <w:spacing w:after="40" w:before="160"/>
      </w:pPr>
      <w:r>
        <w:rPr>
          <w:b/>
          <w:bCs/>
        </w:rPr>
        <w:t xml:space="preserve">Hoofdstuk 12. </w:t>
      </w:r>
      <w:r>
        <w:rPr>
          <w:b/>
          <w:bCs/>
        </w:rPr>
        <w:t xml:space="preserve">Het Terras-Experiment</w:t>
      </w:r>
    </w:p>
    <w:p>
      <w:pPr>
        <w:spacing w:after="120" w:line="280"/>
        <w:ind w:left="215"/>
      </w:pPr>
      <w:r>
        <w:rPr>
          <w:i/>
          <w:iCs/>
        </w:rPr>
        <w:t xml:space="preserve">Twee scenario’s naast elkaar: de chaotische hond die achter duiven aanjaagt, en de rustige hond die de wereld observeert vanaf haar kleedje.</w:t>
      </w:r>
    </w:p>
    <w:p>
      <w:pPr>
        <w:spacing w:after="40" w:before="160"/>
      </w:pPr>
      <w:r>
        <w:rPr>
          <w:b/>
          <w:bCs/>
        </w:rPr>
        <w:t xml:space="preserve">Hoofdstuk 13. </w:t>
      </w:r>
      <w:r>
        <w:rPr>
          <w:b/>
          <w:bCs/>
        </w:rPr>
        <w:t xml:space="preserve">Het Etentje</w:t>
      </w:r>
    </w:p>
    <w:p>
      <w:pPr>
        <w:spacing w:after="120" w:line="280"/>
        <w:ind w:left="215"/>
      </w:pPr>
      <w:r>
        <w:rPr>
          <w:i/>
          <w:iCs/>
        </w:rPr>
        <w:t xml:space="preserve">Een avond vol menselijke rituelen: bestek, gesprekstechniek, en de ongeschreven wet dat gevallen eten van de vloer verdwijnt. Tara analyseert het als een antropoloog op veldwerk.</w:t>
      </w:r>
    </w:p>
    <w:p>
      <w:pPr>
        <w:spacing w:after="40" w:before="160"/>
      </w:pPr>
      <w:r>
        <w:rPr>
          <w:b/>
          <w:bCs/>
        </w:rPr>
        <w:t xml:space="preserve">Hoofdstuk 14. </w:t>
      </w:r>
      <w:r>
        <w:rPr>
          <w:b/>
          <w:bCs/>
        </w:rPr>
        <w:t xml:space="preserve">De Dronken Gast</w:t>
      </w:r>
    </w:p>
    <w:p>
      <w:pPr>
        <w:spacing w:after="120" w:line="280"/>
        <w:ind w:left="215"/>
      </w:pPr>
      <w:r>
        <w:rPr>
          <w:i/>
          <w:iCs/>
        </w:rPr>
        <w:t xml:space="preserve">Een visite die ‘rare drankjes’ heeft gedronken en de controle over zijn eigen lichaam kwijtraakt. Tara, die zelf nooit de controle verliest, kijkt toe met stille verbazing.</w:t>
      </w:r>
    </w:p>
    <w:p>
      <w:pPr>
        <w:spacing w:after="40" w:before="160"/>
      </w:pPr>
      <w:r>
        <w:rPr>
          <w:b/>
          <w:bCs/>
        </w:rPr>
        <w:t xml:space="preserve">Hoofdstuk 15. </w:t>
      </w:r>
      <w:r>
        <w:rPr>
          <w:b/>
          <w:bCs/>
        </w:rPr>
        <w:t xml:space="preserve">De Angst voor Honden</w:t>
      </w:r>
    </w:p>
    <w:p>
      <w:pPr>
        <w:spacing w:after="120" w:line="280"/>
        <w:ind w:left="215"/>
      </w:pPr>
      <w:r>
        <w:rPr>
          <w:i/>
          <w:iCs/>
        </w:rPr>
        <w:t xml:space="preserve">Een voorbijganger die schreeuwt en wegrent. Tara begrijpt niet waarom de angst van één mens bepaalt hoe alle honden moeten leven.</w:t>
      </w:r>
    </w:p>
    <w:p>
      <w:pPr>
        <w:spacing w:after="40" w:before="160"/>
      </w:pPr>
      <w:r>
        <w:rPr>
          <w:b/>
          <w:bCs/>
        </w:rPr>
        <w:t xml:space="preserve">Hoofdstuk 16. </w:t>
      </w:r>
      <w:r>
        <w:rPr>
          <w:b/>
          <w:bCs/>
        </w:rPr>
        <w:t xml:space="preserve">Kalmerende Signalen</w:t>
      </w:r>
    </w:p>
    <w:p>
      <w:pPr>
        <w:spacing w:after="120" w:line="280"/>
        <w:ind w:left="215"/>
      </w:pPr>
      <w:r>
        <w:rPr>
          <w:i/>
          <w:iCs/>
        </w:rPr>
        <w:t xml:space="preserve">Een vreemdeling die zich totaal niet aan de hondse etiquette houdt, en de subtiele signalen waarmee Tara hem probeert bij te sturen.</w:t>
      </w:r>
    </w:p>
    <w:p>
      <w:pPr>
        <w:spacing w:after="40" w:before="160"/>
      </w:pPr>
      <w:r>
        <w:rPr>
          <w:b/>
          <w:bCs/>
        </w:rPr>
        <w:t xml:space="preserve">Hoofdstuk 17. </w:t>
      </w:r>
      <w:r>
        <w:rPr>
          <w:b/>
          <w:bCs/>
        </w:rPr>
        <w:t xml:space="preserve">De Kracht van Oogcontact</w:t>
      </w:r>
    </w:p>
    <w:p>
      <w:pPr>
        <w:spacing w:after="120" w:line="280"/>
        <w:ind w:left="215"/>
      </w:pPr>
      <w:r>
        <w:rPr>
          <w:i/>
          <w:iCs/>
        </w:rPr>
        <w:t xml:space="preserve">Het verschil tussen een boze blik en een liefdevolle blik, en het hormoon dat bij beiden meespeelt zonder dat de mens het beseft.</w:t>
      </w:r>
    </w:p>
    <w:p>
      <w:pPr>
        <w:spacing w:after="40" w:before="160"/>
      </w:pPr>
      <w:r>
        <w:rPr>
          <w:b/>
          <w:bCs/>
        </w:rPr>
        <w:t xml:space="preserve">Hoofdstuk 18. </w:t>
      </w:r>
      <w:r>
        <w:rPr>
          <w:b/>
          <w:bCs/>
        </w:rPr>
        <w:t xml:space="preserve">De Liefdesband</w:t>
      </w:r>
    </w:p>
    <w:p>
      <w:pPr>
        <w:spacing w:after="120" w:line="280"/>
        <w:ind w:left="215"/>
      </w:pPr>
      <w:r>
        <w:rPr>
          <w:i/>
          <w:iCs/>
        </w:rPr>
        <w:t xml:space="preserve">Geduld, vertrouwen, en een kamer die verboden terrein is zonder dat er ooit een deur dichtging. De kern van wat de band tussen mens en hond werkelijk is.</w:t>
      </w:r>
    </w:p>
    <w:p>
      <w:pPr>
        <w:pStyle w:val="Heading2"/>
        <w:spacing w:after="160" w:before="360"/>
      </w:pPr>
      <w:r>
        <w:t xml:space="preserve">Deel III: De Grote Synthese – Wijsheid (De Oude Hond)</w:t>
      </w:r>
    </w:p>
    <w:p>
      <w:pPr>
        <w:spacing w:after="40" w:before="160"/>
      </w:pPr>
      <w:r>
        <w:rPr>
          <w:b/>
          <w:bCs/>
        </w:rPr>
        <w:t xml:space="preserve">Hoofdstuk 19. </w:t>
      </w:r>
      <w:r>
        <w:rPr>
          <w:b/>
          <w:bCs/>
        </w:rPr>
        <w:t xml:space="preserve">De Boswachter versus de Wolf</w:t>
      </w:r>
    </w:p>
    <w:p>
      <w:pPr>
        <w:spacing w:after="120" w:line="280"/>
        <w:ind w:left="215"/>
      </w:pPr>
      <w:r>
        <w:rPr>
          <w:i/>
          <w:iCs/>
        </w:rPr>
        <w:t xml:space="preserve">Een wilde wolf mag vrij rondlopen. Tara, die nooit een schaap heeft aangeraakt, moet aan de lijn. De absurditeit van een dubbele moraal.</w:t>
      </w:r>
    </w:p>
    <w:p>
      <w:pPr>
        <w:spacing w:after="40" w:before="160"/>
      </w:pPr>
      <w:r>
        <w:rPr>
          <w:b/>
          <w:bCs/>
        </w:rPr>
        <w:t xml:space="preserve">Hoofdstuk 20. </w:t>
      </w:r>
      <w:r>
        <w:rPr>
          <w:b/>
          <w:bCs/>
        </w:rPr>
        <w:t xml:space="preserve">De Kinderen Groeien Op</w:t>
      </w:r>
    </w:p>
    <w:p>
      <w:pPr>
        <w:spacing w:after="120" w:line="280"/>
        <w:ind w:left="215"/>
      </w:pPr>
      <w:r>
        <w:rPr>
          <w:i/>
          <w:iCs/>
        </w:rPr>
        <w:t xml:space="preserve">De baby van hoofdstuk 9 is nu volwassen en vertrokken. Tara ziet het gezin veranderen, en verschuift van speelmaat naar stille herinnering aan hoe het huis ooit klonk.</w:t>
      </w:r>
    </w:p>
    <w:p>
      <w:pPr>
        <w:spacing w:after="40" w:before="160"/>
      </w:pPr>
      <w:r>
        <w:rPr>
          <w:b/>
          <w:bCs/>
        </w:rPr>
        <w:t xml:space="preserve">Hoofdstuk 21. </w:t>
      </w:r>
      <w:r>
        <w:rPr>
          <w:b/>
          <w:bCs/>
        </w:rPr>
        <w:t xml:space="preserve">De Hond als Spiegel</w:t>
      </w:r>
    </w:p>
    <w:p>
      <w:pPr>
        <w:spacing w:after="120" w:line="280"/>
        <w:ind w:left="215"/>
      </w:pPr>
      <w:r>
        <w:rPr>
          <w:i/>
          <w:iCs/>
        </w:rPr>
        <w:t xml:space="preserve">Tara beseft dat ze haar baas al die jaren zelf heeft opgevoed: tot wandelen, tot rust, tot genieten van kleine dingen.</w:t>
      </w:r>
    </w:p>
    <w:p>
      <w:pPr>
        <w:spacing w:after="40" w:before="160"/>
      </w:pPr>
      <w:r>
        <w:rPr>
          <w:b/>
          <w:bCs/>
        </w:rPr>
        <w:t xml:space="preserve">Hoofdstuk 22. </w:t>
      </w:r>
      <w:r>
        <w:rPr>
          <w:b/>
          <w:bCs/>
        </w:rPr>
        <w:t xml:space="preserve">Langzamere Wandelingen</w:t>
      </w:r>
    </w:p>
    <w:p>
      <w:pPr>
        <w:spacing w:after="120" w:line="280"/>
        <w:ind w:left="215"/>
      </w:pPr>
      <w:r>
        <w:rPr>
          <w:i/>
          <w:iCs/>
        </w:rPr>
        <w:t xml:space="preserve">De baas is nu zelf ouder. Er verschijnen kleinkinderen in huis, die Tara met dezelfde nieuwsgierigheid bestudeert als ooit de baby. De wandelingen worden korter, maar niet minder waardevol.</w:t>
      </w:r>
    </w:p>
    <w:p>
      <w:pPr>
        <w:spacing w:after="40" w:before="160"/>
      </w:pPr>
      <w:r>
        <w:rPr>
          <w:b/>
          <w:bCs/>
        </w:rPr>
        <w:t xml:space="preserve">Hoofdstuk 23. </w:t>
      </w:r>
      <w:r>
        <w:rPr>
          <w:b/>
          <w:bCs/>
        </w:rPr>
        <w:t xml:space="preserve">Het Grote Afscheid</w:t>
      </w:r>
    </w:p>
    <w:p>
      <w:pPr>
        <w:spacing w:after="120" w:line="280"/>
        <w:ind w:left="215"/>
      </w:pPr>
      <w:r>
        <w:rPr>
          <w:i/>
          <w:iCs/>
        </w:rPr>
        <w:t xml:space="preserve">De laatste wandeling en de laatste blik. Tara sluit haar onderzoek af, niet met een doorbraak, maar met een vaststelling over liefde.</w:t>
      </w:r>
    </w:p>
    <w:p>
      <w:pPr>
        <w:spacing w:after="40" w:before="160"/>
      </w:pPr>
      <w:r>
        <w:rPr>
          <w:b/>
          <w:bCs/>
        </w:rPr>
        <w:t xml:space="preserve">Epiloog. De Herinnering Sluit Zich</w:t>
      </w:r>
    </w:p>
    <w:p>
      <w:pPr>
        <w:spacing w:after="120" w:line="280"/>
        <w:ind w:left="215"/>
      </w:pPr>
      <w:r>
        <w:rPr>
          <w:i/>
          <w:iCs/>
        </w:rPr>
        <w:t xml:space="preserve">Terug bij de haard, in dezelfde halfslaap waarmee het boek begon, laat Tara de laatste herinnering zachtjes wegzakken. Geen onderzoeksrapport dat wordt afgerond, maar een leven dat ze nog één keer heeft mogen voelen, van de eerste geur tot de laatste. Sommige dingen worden mooier als je ze niet oplost, alleen onthoudt.</w:t>
      </w:r>
    </w:p>
    <w:p>
      <w:pPr>
        <w:pStyle w:val="Heading1"/>
        <w:spacing w:after="240" w:before="480"/>
      </w:pPr>
      <w:r>
        <w:t xml:space="preserve">6. Terugkerende rubrieken</w:t>
      </w:r>
    </w:p>
    <w:p>
      <w:pPr>
        <w:spacing w:after="160" w:line="300"/>
      </w:pPr>
      <w:r>
        <w:t xml:space="preserve">Twee vaste rubrieken keren steeds terug na de conclusie van een hoofdstuk, om en om, vanaf hoofdstuk 5. Ze geven het boek een herkenbaar ritme en lenen zich uitstekend voor visuele vormgeving.</w:t>
      </w:r>
    </w:p>
    <w:p>
      <w:pPr>
        <w:pStyle w:val="Heading2"/>
        <w:spacing w:after="160" w:before="360"/>
      </w:pPr>
      <w:r>
        <w:t xml:space="preserve">Labradorwetten</w:t>
      </w:r>
    </w:p>
    <w:p>
      <w:pPr>
        <w:pStyle w:val="ListParagraph"/>
        <w:numPr>
          <w:ilvl w:val="0"/>
          <w:numId w:val="1"/>
        </w:numPr>
        <w:spacing w:after="100" w:line="280"/>
      </w:pPr>
      <w:r>
        <w:t xml:space="preserve">Labradorwet nr. 3: Je hoeft niet iedere bezoeker te vertrouwen. Maar je mag wel eerst even ruiken.</w:t>
      </w:r>
    </w:p>
    <w:p>
      <w:pPr>
        <w:pStyle w:val="ListParagraph"/>
        <w:numPr>
          <w:ilvl w:val="0"/>
          <w:numId w:val="1"/>
        </w:numPr>
        <w:spacing w:after="100" w:line="280"/>
      </w:pPr>
      <w:r>
        <w:t xml:space="preserve">Labradorwet nr. 11: Wie altijd haast heeft, mist de interessantste geuren.</w:t>
      </w:r>
    </w:p>
    <w:p>
      <w:pPr>
        <w:pStyle w:val="ListParagraph"/>
        <w:numPr>
          <w:ilvl w:val="0"/>
          <w:numId w:val="1"/>
        </w:numPr>
        <w:spacing w:after="100" w:line="280"/>
      </w:pPr>
      <w:r>
        <w:t xml:space="preserve">Labradorwet nr. 22: Mensen bewaren herinneringen. Wij bewaren geuren.</w:t>
      </w:r>
    </w:p>
    <w:p>
      <w:pPr>
        <w:pStyle w:val="ListParagraph"/>
        <w:numPr>
          <w:ilvl w:val="0"/>
          <w:numId w:val="1"/>
        </w:numPr>
        <w:spacing w:after="100" w:line="280"/>
      </w:pPr>
      <w:r>
        <w:t xml:space="preserve">Labradorwet nr. 31: Een wandeling is nooit dezelfde. Alleen mensen denken dat.</w:t>
      </w:r>
    </w:p>
    <w:p>
      <w:pPr>
        <w:pStyle w:val="ListParagraph"/>
        <w:numPr>
          <w:ilvl w:val="0"/>
          <w:numId w:val="1"/>
        </w:numPr>
        <w:spacing w:after="100" w:line="280"/>
      </w:pPr>
      <w:r>
        <w:t xml:space="preserve">Nieuw, Labradorwet nr. 45: Een goede onderzoeker twijfelt aan haar hypothese. Een goede hond twijfelt nooit aan haar baas.</w:t>
      </w:r>
    </w:p>
    <w:p>
      <w:pPr>
        <w:pStyle w:val="ListParagraph"/>
        <w:numPr>
          <w:ilvl w:val="0"/>
          <w:numId w:val="1"/>
        </w:numPr>
        <w:spacing w:after="100" w:line="280"/>
      </w:pPr>
      <w:r>
        <w:t xml:space="preserve">Nieuw, Labradorwet nr. 52: Wat je niet begrijpt, mag je nog steeds liefhebben.</w:t>
      </w:r>
    </w:p>
    <w:p>
      <w:pPr>
        <w:pStyle w:val="Heading2"/>
        <w:spacing w:after="160" w:before="360"/>
      </w:pPr>
      <w:r>
        <w:t xml:space="preserve">Onderzoeksdossiers</w:t>
      </w:r>
    </w:p>
    <w:p>
      <w:pPr>
        <w:pStyle w:val="ListParagraph"/>
        <w:numPr>
          <w:ilvl w:val="0"/>
          <w:numId w:val="1"/>
        </w:numPr>
        <w:spacing w:after="100" w:line="280"/>
      </w:pPr>
      <w:r>
        <w:t xml:space="preserve">Dossier 18, onderwerp: waarom mensen applaudisseren. Status: nog onbegrepen. Opmerking: niemand krijgt een koekje. Vreemd.</w:t>
      </w:r>
    </w:p>
    <w:p>
      <w:pPr>
        <w:pStyle w:val="ListParagraph"/>
        <w:numPr>
          <w:ilvl w:val="0"/>
          <w:numId w:val="1"/>
        </w:numPr>
        <w:spacing w:after="100" w:line="280"/>
      </w:pPr>
      <w:r>
        <w:t xml:space="preserve">Dossier 41, onderwerp: de stofzuiger. Status: levensgevaarlijk. Aanbeveling: vanop veilige afstand blijven observeren.</w:t>
      </w:r>
    </w:p>
    <w:p>
      <w:pPr>
        <w:pStyle w:val="ListParagraph"/>
        <w:numPr>
          <w:ilvl w:val="0"/>
          <w:numId w:val="1"/>
        </w:numPr>
        <w:spacing w:after="100" w:line="280"/>
      </w:pPr>
      <w:r>
        <w:t xml:space="preserve">Dossier 72, onderwerp: Kerstmis. Status: onverklaarbaar. Mensen halen bomen naar binnen, versieren ze, en zetten er cadeaus onder.</w:t>
      </w:r>
    </w:p>
    <w:p>
      <w:pPr>
        <w:pStyle w:val="ListParagraph"/>
        <w:numPr>
          <w:ilvl w:val="0"/>
          <w:numId w:val="1"/>
        </w:numPr>
        <w:spacing w:after="100" w:line="280"/>
      </w:pPr>
      <w:r>
        <w:t xml:space="preserve">Nieuw, dossier 89, onderwerp: de postbode. Status: reproduceerbaar gevaar, elke dag opnieuw bevestigd, ondanks dat het al twaalf jaar dezelfde onschuldige man betreft.</w:t>
      </w:r>
    </w:p>
    <w:p>
      <w:pPr>
        <w:pStyle w:val="ListParagraph"/>
        <w:numPr>
          <w:ilvl w:val="0"/>
          <w:numId w:val="1"/>
        </w:numPr>
        <w:spacing w:after="100" w:line="280"/>
      </w:pPr>
      <w:r>
        <w:t xml:space="preserve">Nieuw, dossier 103, onderwerp: de spiegel. Status: er woont een tweede hond in huis die nooit buiten komt en nooit reageert op uitnodigingen om te spelen. Zeer onbeleefd.</w:t>
      </w:r>
    </w:p>
    <w:p>
      <w:pPr>
        <w:spacing w:after="160" w:line="300"/>
      </w:pPr>
      <w:r>
        <w:t xml:space="preserve">Door het hele boek loopt daarnaast één groot, doorlopend onderzoek: een “langetermijnstudie naar het gedrag van Homo domesticus in een gedeelde leefomgeving”, met een looptijd van twaalf jaar, vier menselijke proefpersonen, twee kinderen, één kat en drie postbodes. De slotsom aan het eind van het boek: nog steeds geen sluitende verklaring gevonden, en dat is precies de bedoeling.</w:t>
      </w:r>
    </w:p>
    <w:p>
      <w:pPr>
        <w:pStyle w:val="Heading2"/>
        <w:spacing w:after="160" w:before="360"/>
      </w:pPr>
      <w:r>
        <w:t xml:space="preserve">Nieuw: de kat als tegenspeler</w:t>
      </w:r>
    </w:p>
    <w:p>
      <w:pPr>
        <w:spacing w:after="160" w:line="300"/>
      </w:pPr>
      <w:r>
        <w:t xml:space="preserve">Een terugkerende, kleine bijrol voor de kat uit het huishouden voegt een tweede stem aan het onderzoek toe. Waar Tara alles serieus, geduldig en liefdevol benadert, is de kat haar tegenpool: ongeïnteresseerd, sceptisch, en duidelijk van mening dat het hele onderzoek overbodig is.</w:t>
      </w:r>
    </w:p>
    <w:p>
      <w:pPr>
        <w:pStyle w:val="Heading2"/>
        <w:spacing w:after="160" w:before="360"/>
      </w:pPr>
      <w:r>
        <w:t xml:space="preserve">Nieuw: bijlage aan het einde</w:t>
      </w:r>
    </w:p>
    <w:p>
      <w:pPr>
        <w:spacing w:after="160" w:line="300"/>
      </w:pPr>
      <w:r>
        <w:t xml:space="preserve">Een korte bijlage na de epiloog, opgezet als een pseudowetenschappelijke publicatielijst: een overzicht van alle Onderzoeksdossiers uit het boek, alsof het een literatuurlijst achterin een echt onderzoeksrapport betreft.</w:t>
      </w:r>
    </w:p>
    <w:p>
      <w:pPr>
        <w:pStyle w:val="Heading1"/>
        <w:spacing w:after="240" w:before="480"/>
      </w:pPr>
      <w:r>
        <w:t xml:space="preserve">7. Wetenschappelijke fundamenten</w:t>
      </w:r>
    </w:p>
    <w:p>
      <w:pPr>
        <w:spacing w:after="160" w:line="300"/>
      </w:pPr>
      <w:r>
        <w:t xml:space="preserve">Elke hondenmythe die in het boek wordt ontkracht, staat hier met de kern van de onderbouwing, zodat de feiten in elk hoofdstuk consistent blijven.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70"/>
      </w:tblGrid>
      <w:tr>
        <w:tc>
          <w:tcPr>
            <w:tcW w:type="dxa" w:w="2600"/>
            <w:shd w:fill="E8EDE7" w:val="clear"/>
            <w:tcMar>
              <w:top w:type="dxa" w:w="100"/>
              <w:left w:type="dxa" w:w="100"/>
              <w:bottom w:type="dxa" w:w="100"/>
              <w:right w:type="dxa" w:w="100"/>
            </w:tcMar>
          </w:tcPr>
          <w:p>
            <w:pPr>
              <w:spacing w:after="0"/>
            </w:pPr>
            <w:r>
              <w:rPr>
                <w:b/>
                <w:bCs/>
                <w:sz w:val="20"/>
                <w:szCs w:val="20"/>
              </w:rPr>
              <w:t xml:space="preserve">Mythe of thema</w:t>
            </w:r>
          </w:p>
        </w:tc>
        <w:tc>
          <w:tcPr>
            <w:tcW w:type="dxa" w:w="3600"/>
            <w:shd w:fill="E8EDE7" w:val="clear"/>
            <w:tcMar>
              <w:top w:type="dxa" w:w="100"/>
              <w:left w:type="dxa" w:w="100"/>
              <w:bottom w:type="dxa" w:w="100"/>
              <w:right w:type="dxa" w:w="100"/>
            </w:tcMar>
          </w:tcPr>
          <w:p>
            <w:pPr>
              <w:spacing w:after="0"/>
            </w:pPr>
            <w:r>
              <w:rPr>
                <w:b/>
                <w:bCs/>
                <w:sz w:val="20"/>
                <w:szCs w:val="20"/>
              </w:rPr>
              <w:t xml:space="preserve">Wat de wetenschap zegt</w:t>
            </w:r>
          </w:p>
        </w:tc>
        <w:tc>
          <w:tcPr>
            <w:tcW w:type="dxa" w:w="2870"/>
            <w:shd w:fill="E8EDE7" w:val="clear"/>
            <w:tcMar>
              <w:top w:type="dxa" w:w="100"/>
              <w:left w:type="dxa" w:w="100"/>
              <w:bottom w:type="dxa" w:w="100"/>
              <w:right w:type="dxa" w:w="100"/>
            </w:tcMar>
          </w:tcPr>
          <w:p>
            <w:pPr>
              <w:spacing w:after="0"/>
            </w:pPr>
            <w:r>
              <w:rPr>
                <w:b/>
                <w:bCs/>
                <w:sz w:val="20"/>
                <w:szCs w:val="20"/>
              </w:rPr>
              <w:t xml:space="preserve">Relevante bron of onderzoekslijn</w:t>
            </w:r>
          </w:p>
        </w:tc>
      </w:tr>
      <w:tr>
        <w:tc>
          <w:tcPr>
            <w:tcW w:type="dxa" w:w="2600"/>
            <w:tcMar>
              <w:top w:type="dxa" w:w="100"/>
              <w:left w:type="dxa" w:w="100"/>
              <w:bottom w:type="dxa" w:w="100"/>
              <w:right w:type="dxa" w:w="100"/>
            </w:tcMar>
          </w:tcPr>
          <w:p>
            <w:pPr>
              <w:spacing w:after="0"/>
            </w:pPr>
            <w:r>
              <w:rPr>
                <w:b w:val="false"/>
                <w:bCs w:val="false"/>
                <w:sz w:val="20"/>
                <w:szCs w:val="20"/>
              </w:rPr>
              <w:t xml:space="preserve">De alfahond</w:t>
            </w:r>
          </w:p>
        </w:tc>
        <w:tc>
          <w:tcPr>
            <w:tcW w:type="dxa" w:w="3600"/>
            <w:tcMar>
              <w:top w:type="dxa" w:w="100"/>
              <w:left w:type="dxa" w:w="100"/>
              <w:bottom w:type="dxa" w:w="100"/>
              <w:right w:type="dxa" w:w="100"/>
            </w:tcMar>
          </w:tcPr>
          <w:p>
            <w:pPr>
              <w:spacing w:after="0"/>
            </w:pPr>
            <w:r>
              <w:rPr>
                <w:b w:val="false"/>
                <w:bCs w:val="false"/>
                <w:sz w:val="18"/>
                <w:szCs w:val="18"/>
              </w:rPr>
              <w:t xml:space="preserve">Honden leven in losse familiegroepen, niet in een dominantiehiërarchie. Dominantie is gedrag, geen eigenschap.</w:t>
            </w:r>
          </w:p>
        </w:tc>
        <w:tc>
          <w:tcPr>
            <w:tcW w:type="dxa" w:w="2870"/>
            <w:tcMar>
              <w:top w:type="dxa" w:w="100"/>
              <w:left w:type="dxa" w:w="100"/>
              <w:bottom w:type="dxa" w:w="100"/>
              <w:right w:type="dxa" w:w="100"/>
            </w:tcMar>
          </w:tcPr>
          <w:p>
            <w:pPr>
              <w:spacing w:after="0"/>
            </w:pPr>
            <w:r>
              <w:rPr>
                <w:b w:val="false"/>
                <w:bCs w:val="false"/>
                <w:sz w:val="18"/>
                <w:szCs w:val="18"/>
              </w:rPr>
              <w:t xml:space="preserve">Moderne ethologie, honden als conflictvermijdende soort</w:t>
            </w:r>
          </w:p>
        </w:tc>
      </w:tr>
      <w:tr>
        <w:tc>
          <w:tcPr>
            <w:tcW w:type="dxa" w:w="2600"/>
            <w:tcMar>
              <w:top w:type="dxa" w:w="100"/>
              <w:left w:type="dxa" w:w="100"/>
              <w:bottom w:type="dxa" w:w="100"/>
              <w:right w:type="dxa" w:w="100"/>
            </w:tcMar>
          </w:tcPr>
          <w:p>
            <w:pPr>
              <w:spacing w:after="0"/>
            </w:pPr>
            <w:r>
              <w:rPr>
                <w:b w:val="false"/>
                <w:bCs w:val="false"/>
                <w:sz w:val="20"/>
                <w:szCs w:val="20"/>
              </w:rPr>
              <w:t xml:space="preserve">Het schuldige gezicht</w:t>
            </w:r>
          </w:p>
        </w:tc>
        <w:tc>
          <w:tcPr>
            <w:tcW w:type="dxa" w:w="3600"/>
            <w:tcMar>
              <w:top w:type="dxa" w:w="100"/>
              <w:left w:type="dxa" w:w="100"/>
              <w:bottom w:type="dxa" w:w="100"/>
              <w:right w:type="dxa" w:w="100"/>
            </w:tcMar>
          </w:tcPr>
          <w:p>
            <w:pPr>
              <w:spacing w:after="0"/>
            </w:pPr>
            <w:r>
              <w:rPr>
                <w:b w:val="false"/>
                <w:bCs w:val="false"/>
                <w:sz w:val="18"/>
                <w:szCs w:val="18"/>
              </w:rPr>
              <w:t xml:space="preserve">Geen schuldgevoel, maar een kalmeringssignaal op de boze lichaamstaal van de mens.</w:t>
            </w:r>
          </w:p>
        </w:tc>
        <w:tc>
          <w:tcPr>
            <w:tcW w:type="dxa" w:w="2870"/>
            <w:tcMar>
              <w:top w:type="dxa" w:w="100"/>
              <w:left w:type="dxa" w:w="100"/>
              <w:bottom w:type="dxa" w:w="100"/>
              <w:right w:type="dxa" w:w="100"/>
            </w:tcMar>
          </w:tcPr>
          <w:p>
            <w:pPr>
              <w:spacing w:after="0"/>
            </w:pPr>
            <w:r>
              <w:rPr>
                <w:b w:val="false"/>
                <w:bCs w:val="false"/>
                <w:sz w:val="18"/>
                <w:szCs w:val="18"/>
              </w:rPr>
              <w:t xml:space="preserve">Dr. Alexandra Horowitz</w:t>
            </w:r>
          </w:p>
        </w:tc>
      </w:tr>
      <w:tr>
        <w:tc>
          <w:tcPr>
            <w:tcW w:type="dxa" w:w="2600"/>
            <w:tcMar>
              <w:top w:type="dxa" w:w="100"/>
              <w:left w:type="dxa" w:w="100"/>
              <w:bottom w:type="dxa" w:w="100"/>
              <w:right w:type="dxa" w:w="100"/>
            </w:tcMar>
          </w:tcPr>
          <w:p>
            <w:pPr>
              <w:spacing w:after="0"/>
            </w:pPr>
            <w:r>
              <w:rPr>
                <w:b w:val="false"/>
                <w:bCs w:val="false"/>
                <w:sz w:val="20"/>
                <w:szCs w:val="20"/>
              </w:rPr>
              <w:t xml:space="preserve">Kalmerende signalen</w:t>
            </w:r>
          </w:p>
        </w:tc>
        <w:tc>
          <w:tcPr>
            <w:tcW w:type="dxa" w:w="3600"/>
            <w:tcMar>
              <w:top w:type="dxa" w:w="100"/>
              <w:left w:type="dxa" w:w="100"/>
              <w:bottom w:type="dxa" w:w="100"/>
              <w:right w:type="dxa" w:w="100"/>
            </w:tcMar>
          </w:tcPr>
          <w:p>
            <w:pPr>
              <w:spacing w:after="0"/>
            </w:pPr>
            <w:r>
              <w:rPr>
                <w:b w:val="false"/>
                <w:bCs w:val="false"/>
                <w:sz w:val="18"/>
                <w:szCs w:val="18"/>
              </w:rPr>
              <w:t xml:space="preserve">Een verfijnde, stille taal om conflict te vermijden: wegkijken, gapen, aflikken van de neus.</w:t>
            </w:r>
          </w:p>
        </w:tc>
        <w:tc>
          <w:tcPr>
            <w:tcW w:type="dxa" w:w="2870"/>
            <w:tcMar>
              <w:top w:type="dxa" w:w="100"/>
              <w:left w:type="dxa" w:w="100"/>
              <w:bottom w:type="dxa" w:w="100"/>
              <w:right w:type="dxa" w:w="100"/>
            </w:tcMar>
          </w:tcPr>
          <w:p>
            <w:pPr>
              <w:spacing w:after="0"/>
            </w:pPr>
            <w:r>
              <w:rPr>
                <w:b w:val="false"/>
                <w:bCs w:val="false"/>
                <w:sz w:val="18"/>
                <w:szCs w:val="18"/>
              </w:rPr>
              <w:t xml:space="preserve">Ethologe Turid Rugaas</w:t>
            </w:r>
          </w:p>
        </w:tc>
      </w:tr>
      <w:tr>
        <w:tc>
          <w:tcPr>
            <w:tcW w:type="dxa" w:w="2600"/>
            <w:tcMar>
              <w:top w:type="dxa" w:w="100"/>
              <w:left w:type="dxa" w:w="100"/>
              <w:bottom w:type="dxa" w:w="100"/>
              <w:right w:type="dxa" w:w="100"/>
            </w:tcMar>
          </w:tcPr>
          <w:p>
            <w:pPr>
              <w:spacing w:after="0"/>
            </w:pPr>
            <w:r>
              <w:rPr>
                <w:b w:val="false"/>
                <w:bCs w:val="false"/>
                <w:sz w:val="20"/>
                <w:szCs w:val="20"/>
              </w:rPr>
              <w:t xml:space="preserve">Emoties ruiken</w:t>
            </w:r>
          </w:p>
        </w:tc>
        <w:tc>
          <w:tcPr>
            <w:tcW w:type="dxa" w:w="3600"/>
            <w:tcMar>
              <w:top w:type="dxa" w:w="100"/>
              <w:left w:type="dxa" w:w="100"/>
              <w:bottom w:type="dxa" w:w="100"/>
              <w:right w:type="dxa" w:w="100"/>
            </w:tcMar>
          </w:tcPr>
          <w:p>
            <w:pPr>
              <w:spacing w:after="0"/>
            </w:pPr>
            <w:r>
              <w:rPr>
                <w:b w:val="false"/>
                <w:bCs w:val="false"/>
                <w:sz w:val="18"/>
                <w:szCs w:val="18"/>
              </w:rPr>
              <w:t xml:space="preserve">Honden kunnen menselijke emoties zoals stress en angst detecteren via hormoonveranderingen in zweet en adem.</w:t>
            </w:r>
          </w:p>
        </w:tc>
        <w:tc>
          <w:tcPr>
            <w:tcW w:type="dxa" w:w="2870"/>
            <w:tcMar>
              <w:top w:type="dxa" w:w="100"/>
              <w:left w:type="dxa" w:w="100"/>
              <w:bottom w:type="dxa" w:w="100"/>
              <w:right w:type="dxa" w:w="100"/>
            </w:tcMar>
          </w:tcPr>
          <w:p>
            <w:pPr>
              <w:spacing w:after="0"/>
            </w:pPr>
            <w:r>
              <w:rPr>
                <w:b w:val="false"/>
                <w:bCs w:val="false"/>
                <w:sz w:val="18"/>
                <w:szCs w:val="18"/>
              </w:rPr>
              <w:t xml:space="preserve">Onderzoek naar geurdetectie van cortisol en adrenaline</w:t>
            </w:r>
          </w:p>
        </w:tc>
      </w:tr>
      <w:tr>
        <w:tc>
          <w:tcPr>
            <w:tcW w:type="dxa" w:w="2600"/>
            <w:tcMar>
              <w:top w:type="dxa" w:w="100"/>
              <w:left w:type="dxa" w:w="100"/>
              <w:bottom w:type="dxa" w:w="100"/>
              <w:right w:type="dxa" w:w="100"/>
            </w:tcMar>
          </w:tcPr>
          <w:p>
            <w:pPr>
              <w:spacing w:after="0"/>
            </w:pPr>
            <w:r>
              <w:rPr>
                <w:b w:val="false"/>
                <w:bCs w:val="false"/>
                <w:sz w:val="20"/>
                <w:szCs w:val="20"/>
              </w:rPr>
              <w:t xml:space="preserve">Oogcontact en oxytocine</w:t>
            </w:r>
          </w:p>
        </w:tc>
        <w:tc>
          <w:tcPr>
            <w:tcW w:type="dxa" w:w="3600"/>
            <w:tcMar>
              <w:top w:type="dxa" w:w="100"/>
              <w:left w:type="dxa" w:w="100"/>
              <w:bottom w:type="dxa" w:w="100"/>
              <w:right w:type="dxa" w:w="100"/>
            </w:tcMar>
          </w:tcPr>
          <w:p>
            <w:pPr>
              <w:spacing w:after="0"/>
            </w:pPr>
            <w:r>
              <w:rPr>
                <w:b w:val="false"/>
                <w:bCs w:val="false"/>
                <w:sz w:val="18"/>
                <w:szCs w:val="18"/>
              </w:rPr>
              <w:t xml:space="preserve">Wederzijds oogcontact tussen hond en baas verhoogt oxytocine bij beiden; specifiek voor het domesticatieproces.</w:t>
            </w:r>
          </w:p>
        </w:tc>
        <w:tc>
          <w:tcPr>
            <w:tcW w:type="dxa" w:w="2870"/>
            <w:tcMar>
              <w:top w:type="dxa" w:w="100"/>
              <w:left w:type="dxa" w:w="100"/>
              <w:bottom w:type="dxa" w:w="100"/>
              <w:right w:type="dxa" w:w="100"/>
            </w:tcMar>
          </w:tcPr>
          <w:p>
            <w:pPr>
              <w:spacing w:after="0"/>
            </w:pPr>
            <w:r>
              <w:rPr>
                <w:b w:val="false"/>
                <w:bCs w:val="false"/>
                <w:sz w:val="18"/>
                <w:szCs w:val="18"/>
              </w:rPr>
              <w:t xml:space="preserve">Studie naar oxytocineconcentraties bij honden en eigenaren</w:t>
            </w:r>
          </w:p>
        </w:tc>
      </w:tr>
      <w:tr>
        <w:tc>
          <w:tcPr>
            <w:tcW w:type="dxa" w:w="2600"/>
            <w:tcMar>
              <w:top w:type="dxa" w:w="100"/>
              <w:left w:type="dxa" w:w="100"/>
              <w:bottom w:type="dxa" w:w="100"/>
              <w:right w:type="dxa" w:w="100"/>
            </w:tcMar>
          </w:tcPr>
          <w:p>
            <w:pPr>
              <w:spacing w:after="0"/>
            </w:pPr>
            <w:r>
              <w:rPr>
                <w:b w:val="false"/>
                <w:bCs w:val="false"/>
                <w:sz w:val="20"/>
                <w:szCs w:val="20"/>
              </w:rPr>
              <w:t xml:space="preserve">Hond als gezinslid</w:t>
            </w:r>
          </w:p>
        </w:tc>
        <w:tc>
          <w:tcPr>
            <w:tcW w:type="dxa" w:w="3600"/>
            <w:tcMar>
              <w:top w:type="dxa" w:w="100"/>
              <w:left w:type="dxa" w:w="100"/>
              <w:bottom w:type="dxa" w:w="100"/>
              <w:right w:type="dxa" w:w="100"/>
            </w:tcMar>
          </w:tcPr>
          <w:p>
            <w:pPr>
              <w:spacing w:after="0"/>
            </w:pPr>
            <w:r>
              <w:rPr>
                <w:b w:val="false"/>
                <w:bCs w:val="false"/>
                <w:sz w:val="18"/>
                <w:szCs w:val="18"/>
              </w:rPr>
              <w:t xml:space="preserve">Eigenaren rapporteren meer tevredenheid met hun hond dan met de meeste menselijke relaties, op hun kind na.</w:t>
            </w:r>
          </w:p>
        </w:tc>
        <w:tc>
          <w:tcPr>
            <w:tcW w:type="dxa" w:w="2870"/>
            <w:tcMar>
              <w:top w:type="dxa" w:w="100"/>
              <w:left w:type="dxa" w:w="100"/>
              <w:bottom w:type="dxa" w:w="100"/>
              <w:right w:type="dxa" w:w="100"/>
            </w:tcMar>
          </w:tcPr>
          <w:p>
            <w:pPr>
              <w:spacing w:after="0"/>
            </w:pPr>
            <w:r>
              <w:rPr>
                <w:b w:val="false"/>
                <w:bCs w:val="false"/>
                <w:sz w:val="18"/>
                <w:szCs w:val="18"/>
              </w:rPr>
              <w:t xml:space="preserve">ELTE Eötvös Loránd University</w:t>
            </w:r>
          </w:p>
        </w:tc>
      </w:tr>
      <w:tr>
        <w:tc>
          <w:tcPr>
            <w:tcW w:type="dxa" w:w="2600"/>
            <w:tcMar>
              <w:top w:type="dxa" w:w="100"/>
              <w:left w:type="dxa" w:w="100"/>
              <w:bottom w:type="dxa" w:w="100"/>
              <w:right w:type="dxa" w:w="100"/>
            </w:tcMar>
          </w:tcPr>
          <w:p>
            <w:pPr>
              <w:spacing w:after="0"/>
            </w:pPr>
            <w:r>
              <w:rPr>
                <w:b w:val="false"/>
                <w:bCs w:val="false"/>
                <w:sz w:val="20"/>
                <w:szCs w:val="20"/>
              </w:rPr>
              <w:t xml:space="preserve">Positief trainen</w:t>
            </w:r>
          </w:p>
        </w:tc>
        <w:tc>
          <w:tcPr>
            <w:tcW w:type="dxa" w:w="3600"/>
            <w:tcMar>
              <w:top w:type="dxa" w:w="100"/>
              <w:left w:type="dxa" w:w="100"/>
              <w:bottom w:type="dxa" w:w="100"/>
              <w:right w:type="dxa" w:w="100"/>
            </w:tcMar>
          </w:tcPr>
          <w:p>
            <w:pPr>
              <w:spacing w:after="0"/>
            </w:pPr>
            <w:r>
              <w:rPr>
                <w:b w:val="false"/>
                <w:bCs w:val="false"/>
                <w:sz w:val="18"/>
                <w:szCs w:val="18"/>
              </w:rPr>
              <w:t xml:space="preserve">Beloningsgericht trainen bevordert een veiligere band en betere gehoorzaamheid dan correctiegericht trainen.</w:t>
            </w:r>
          </w:p>
        </w:tc>
        <w:tc>
          <w:tcPr>
            <w:tcW w:type="dxa" w:w="2870"/>
            <w:tcMar>
              <w:top w:type="dxa" w:w="100"/>
              <w:left w:type="dxa" w:w="100"/>
              <w:bottom w:type="dxa" w:w="100"/>
              <w:right w:type="dxa" w:w="100"/>
            </w:tcMar>
          </w:tcPr>
          <w:p>
            <w:pPr>
              <w:spacing w:after="0"/>
            </w:pPr>
            <w:r>
              <w:rPr>
                <w:b w:val="false"/>
                <w:bCs w:val="false"/>
                <w:sz w:val="18"/>
                <w:szCs w:val="18"/>
              </w:rPr>
              <w:t xml:space="preserve">Moderne gedragsbiologie en trainingsonderzoek</w:t>
            </w:r>
          </w:p>
        </w:tc>
      </w:tr>
      <w:tr>
        <w:tc>
          <w:tcPr>
            <w:tcW w:type="dxa" w:w="2600"/>
            <w:tcMar>
              <w:top w:type="dxa" w:w="100"/>
              <w:left w:type="dxa" w:w="100"/>
              <w:bottom w:type="dxa" w:w="100"/>
              <w:right w:type="dxa" w:w="100"/>
            </w:tcMar>
          </w:tcPr>
          <w:p>
            <w:pPr>
              <w:spacing w:after="0"/>
            </w:pPr>
            <w:r>
              <w:rPr>
                <w:b w:val="false"/>
                <w:bCs w:val="false"/>
                <w:sz w:val="20"/>
                <w:szCs w:val="20"/>
              </w:rPr>
              <w:t xml:space="preserve">Wolf versus hond</w:t>
            </w:r>
          </w:p>
        </w:tc>
        <w:tc>
          <w:tcPr>
            <w:tcW w:type="dxa" w:w="3600"/>
            <w:tcMar>
              <w:top w:type="dxa" w:w="100"/>
              <w:left w:type="dxa" w:w="100"/>
              <w:bottom w:type="dxa" w:w="100"/>
              <w:right w:type="dxa" w:w="100"/>
            </w:tcMar>
          </w:tcPr>
          <w:p>
            <w:pPr>
              <w:spacing w:after="0"/>
            </w:pPr>
            <w:r>
              <w:rPr>
                <w:b w:val="false"/>
                <w:bCs w:val="false"/>
                <w:sz w:val="18"/>
                <w:szCs w:val="18"/>
              </w:rPr>
              <w:t xml:space="preserve">De wolf is beschermde soort ondanks predatiegedrag; de gedomesticeerde hond wordt in natuurgebieden juist beperkt.</w:t>
            </w:r>
          </w:p>
        </w:tc>
        <w:tc>
          <w:tcPr>
            <w:tcW w:type="dxa" w:w="2870"/>
            <w:tcMar>
              <w:top w:type="dxa" w:w="100"/>
              <w:left w:type="dxa" w:w="100"/>
              <w:bottom w:type="dxa" w:w="100"/>
              <w:right w:type="dxa" w:w="100"/>
            </w:tcMar>
          </w:tcPr>
          <w:p>
            <w:pPr>
              <w:spacing w:after="0"/>
            </w:pPr>
            <w:r>
              <w:rPr>
                <w:b w:val="false"/>
                <w:bCs w:val="false"/>
                <w:sz w:val="18"/>
                <w:szCs w:val="18"/>
              </w:rPr>
              <w:t xml:space="preserve">Europees natuurbeheerbeleid</w:t>
            </w:r>
          </w:p>
        </w:tc>
      </w:tr>
      <w:tr>
        <w:tc>
          <w:tcPr>
            <w:tcW w:type="dxa" w:w="2600"/>
            <w:tcMar>
              <w:top w:type="dxa" w:w="100"/>
              <w:left w:type="dxa" w:w="100"/>
              <w:bottom w:type="dxa" w:w="100"/>
              <w:right w:type="dxa" w:w="100"/>
            </w:tcMar>
          </w:tcPr>
          <w:p>
            <w:pPr>
              <w:spacing w:after="0"/>
            </w:pPr>
            <w:r>
              <w:rPr>
                <w:b w:val="false"/>
                <w:bCs w:val="false"/>
                <w:sz w:val="20"/>
                <w:szCs w:val="20"/>
              </w:rPr>
              <w:t xml:space="preserve">Scheiding van het nest</w:t>
            </w:r>
          </w:p>
        </w:tc>
        <w:tc>
          <w:tcPr>
            <w:tcW w:type="dxa" w:w="3600"/>
            <w:tcMar>
              <w:top w:type="dxa" w:w="100"/>
              <w:left w:type="dxa" w:w="100"/>
              <w:bottom w:type="dxa" w:w="100"/>
              <w:right w:type="dxa" w:w="100"/>
            </w:tcMar>
          </w:tcPr>
          <w:p>
            <w:pPr>
              <w:spacing w:after="0"/>
            </w:pPr>
            <w:r>
              <w:rPr>
                <w:b w:val="false"/>
                <w:bCs w:val="false"/>
                <w:sz w:val="18"/>
                <w:szCs w:val="18"/>
              </w:rPr>
              <w:t xml:space="preserve">Pups die te vroeg van moeder en nestgenoten gescheiden worden, ontwikkelen vaker angst en gedragsproblemen; acht weken geldt als algemeen aanvaarde minimumleeftijd.</w:t>
            </w:r>
          </w:p>
        </w:tc>
        <w:tc>
          <w:tcPr>
            <w:tcW w:type="dxa" w:w="2870"/>
            <w:tcMar>
              <w:top w:type="dxa" w:w="100"/>
              <w:left w:type="dxa" w:w="100"/>
              <w:bottom w:type="dxa" w:w="100"/>
              <w:right w:type="dxa" w:w="100"/>
            </w:tcMar>
          </w:tcPr>
          <w:p>
            <w:pPr>
              <w:spacing w:after="0"/>
            </w:pPr>
            <w:r>
              <w:rPr>
                <w:b w:val="false"/>
                <w:bCs w:val="false"/>
                <w:sz w:val="18"/>
                <w:szCs w:val="18"/>
              </w:rPr>
              <w:t xml:space="preserve">Gedragsbiologisch onderzoek naar socialisatieperiodes bij pups</w:t>
            </w:r>
          </w:p>
        </w:tc>
      </w:tr>
    </w:tbl>
    <w:p>
      <w:pPr>
        <w:spacing w:after="160"/>
      </w:pPr>
    </w:p>
    <w:p>
      <w:pPr>
        <w:spacing w:after="160" w:line="300"/>
      </w:pPr>
      <w:r>
        <w:t xml:space="preserve">Deze tabel is bedoeld als intern naslagwerk tijdens het schrijven, niet als iets dat letterlijk in het boek terugkomt. De wetenschap onderbouwt de grap; de grap draagt de wetenschap nooit als voetnoot.</w:t>
      </w:r>
    </w:p>
    <w:p>
      <w:pPr>
        <w:pStyle w:val="Heading1"/>
        <w:spacing w:after="240" w:before="480"/>
      </w:pPr>
      <w:r>
        <w:t xml:space="preserve">8. Vormgeving en illustraties</w:t>
      </w:r>
    </w:p>
    <w:p>
      <w:pPr>
        <w:pStyle w:val="ListParagraph"/>
        <w:numPr>
          <w:ilvl w:val="0"/>
          <w:numId w:val="1"/>
        </w:numPr>
        <w:spacing w:after="100" w:line="280"/>
      </w:pPr>
      <w:r>
        <w:t xml:space="preserve">Pootafdrukken als markering voor hoofdstukken of rubrieken.</w:t>
      </w:r>
    </w:p>
    <w:p>
      <w:pPr>
        <w:pStyle w:val="ListParagraph"/>
        <w:numPr>
          <w:ilvl w:val="0"/>
          <w:numId w:val="1"/>
        </w:numPr>
        <w:spacing w:after="100" w:line="280"/>
      </w:pPr>
      <w:r>
        <w:t xml:space="preserve">Pseudowetenschappelijke schema’s, bijvoorbeeld een grafiek van geurverval gedurende de dag, of een kaart van het grasveld met sporen van andere honden.</w:t>
      </w:r>
    </w:p>
    <w:p>
      <w:pPr>
        <w:pStyle w:val="ListParagraph"/>
        <w:numPr>
          <w:ilvl w:val="0"/>
          <w:numId w:val="1"/>
        </w:numPr>
        <w:spacing w:after="100" w:line="280"/>
      </w:pPr>
      <w:r>
        <w:t xml:space="preserve">Onderzoeksdossiers vormgegeven als kleine, handgeschreven notitiekaartjes.</w:t>
      </w:r>
    </w:p>
    <w:p>
      <w:pPr>
        <w:pStyle w:val="ListParagraph"/>
        <w:numPr>
          <w:ilvl w:val="0"/>
          <w:numId w:val="1"/>
        </w:numPr>
        <w:spacing w:after="100" w:line="280"/>
      </w:pPr>
      <w:r>
        <w:t xml:space="preserve">Eenvoudige lijntekeningen van Tara in observatiehouding: op het kleedje op het terras, voor het raam, met haar kop op de schoot van haar baas.</w:t>
      </w:r>
    </w:p>
    <w:p>
      <w:pPr>
        <w:pStyle w:val="ListParagraph"/>
        <w:numPr>
          <w:ilvl w:val="0"/>
          <w:numId w:val="1"/>
        </w:numPr>
        <w:spacing w:after="100" w:line="280"/>
      </w:pPr>
      <w:r>
        <w:t xml:space="preserve">Nieuw: een doorlopende ‘voortgangsbalk’ in de vorm van een rij pootafdrukken die per Deel iets grijzer en voller wordt, zodat de lezer visueel voelt dat Tara ouder wordt naarmate het boek vordert.</w:t>
      </w:r>
    </w:p>
    <w:p>
      <w:pPr>
        <w:pStyle w:val="Heading1"/>
        <w:spacing w:after="240" w:before="480"/>
      </w:pPr>
      <w:r>
        <w:t xml:space="preserve">9. Positionering en doelgroep</w:t>
      </w:r>
    </w:p>
    <w:p>
      <w:pPr>
        <w:spacing w:after="160" w:line="300"/>
      </w:pPr>
      <w:r>
        <w:t xml:space="preserve">Het boek combineert drie aantrekkingskrachten die zelden samen voorkomen: de warmte van een hondenboek, de scherpte van observationele humor, en de herkenbaarheid van luchtige gedragspsychologie. De vaste hoofdstukstructuur maakt het bovendien makkelijk fragmenteerbaar voor marketing: losse hoofdstukken, Labradorwetten en Onderzoeksdossiers werken uitstekend als losse citaten op sociale media.</w:t>
      </w:r>
    </w:p>
    <w:p>
      <w:pPr>
        <w:pStyle w:val="Heading1"/>
        <w:spacing w:after="240" w:before="480"/>
      </w:pPr>
      <w:r>
        <w:t xml:space="preserve">10. Wat we bewust niet gebruiken</w:t>
      </w:r>
    </w:p>
    <w:p>
      <w:pPr>
        <w:spacing w:after="160" w:line="300"/>
      </w:pPr>
      <w:r>
        <w:t xml:space="preserve">Een van de eerdere documenten bevatte een uitgebreide schrijversgids over ‘de humoristische thriller’ en ‘experimentele satire’: onbetrouwbare vertellers, gebroken tijdlijnen, een lezer die wordt aangesproken als medeplichtige, verhalen zonder oplossing. Dat materiaal is knap geschreven, maar hoort bij een ander boek. Het introduceert cynisme, verwarring en een koude, confronterende toon die lijnrecht ingaat tegen regel 4: warmte boven spot.</w:t>
      </w:r>
    </w:p>
    <w:p>
      <w:pPr>
        <w:spacing w:after="160" w:line="300"/>
      </w:pPr>
      <w:r>
        <w:t xml:space="preserve">Twee ideeën uit die gids nemen we wel mee, maar dan verzwakt en aangepast aan de eigen toon van het boek: een consistente toon door het hele boek heen, en het principe dat de vorm zelf iets mag zeggen. Dat laatste komt terug in de vaste hoofdstukstructuur en de terugkerende rubrieken, niet in gebroken tijdlijnen of onbetrouwbare vertellers. Tara is en blijft de meest betrouwbare verteller in het boek. Haar geur liegt nooit.</w:t>
      </w:r>
    </w:p>
    <w:p>
      <w:pPr>
        <w:pStyle w:val="Heading1"/>
        <w:spacing w:after="240" w:before="480"/>
      </w:pPr>
      <w:r>
        <w:t xml:space="preserve">12. Wandelmodi per hoofdstuk (richtlijn)</w:t>
      </w:r>
    </w:p>
    <w:p>
      <w:pPr>
        <w:spacing w:after="160" w:line="300"/>
      </w:pPr>
      <w:r>
        <w:t xml:space="preserve">Een concrete toepassing van Regel 8, zodat je tijdens het schrijven niet telkens opnieuw hoeft te bedenken welke modus bij welke scène hoort.</w:t>
      </w:r>
    </w:p>
    <w:p>
      <w:pPr>
        <w:pStyle w:val="ListParagraph"/>
        <w:numPr>
          <w:ilvl w:val="0"/>
          <w:numId w:val="1"/>
        </w:numPr>
        <w:spacing w:after="100" w:line="280"/>
      </w:pPr>
      <w:r>
        <w:t xml:space="preserve">Hoofdstuk 6, De Geur als Horloge en het Facebook van het Gras: Vrije Wandeling. Dit hoofdstuk bestaat bij de gratie van het snuffelen.</w:t>
      </w:r>
    </w:p>
    <w:p>
      <w:pPr>
        <w:pStyle w:val="ListParagraph"/>
        <w:numPr>
          <w:ilvl w:val="0"/>
          <w:numId w:val="1"/>
        </w:numPr>
        <w:spacing w:after="100" w:line="280"/>
      </w:pPr>
      <w:r>
        <w:t xml:space="preserve">Hoofdstuk 11, De Programmering van de Jacht: begint als Vrije Wandeling en slaat om in een gedwongen Volgen zodra de kat of het konijn verschijnt en de lijn strak komt te staan.</w:t>
      </w:r>
    </w:p>
    <w:p>
      <w:pPr>
        <w:pStyle w:val="ListParagraph"/>
        <w:numPr>
          <w:ilvl w:val="0"/>
          <w:numId w:val="1"/>
        </w:numPr>
        <w:spacing w:after="100" w:line="280"/>
      </w:pPr>
      <w:r>
        <w:t xml:space="preserve">Hoofdstuk 12, Het Terras-Experiment: geen wandeling maar hetzelfde onderscheid in stilstand. De chaotische hond zit vast in een soort mislukte Volgen-modus; de rustige hond heeft geleerd hoe hij stilzittend toch een Vrije Wandeling voor de neus kan houden.</w:t>
      </w:r>
    </w:p>
    <w:p>
      <w:pPr>
        <w:pStyle w:val="ListParagraph"/>
        <w:numPr>
          <w:ilvl w:val="0"/>
          <w:numId w:val="1"/>
        </w:numPr>
        <w:spacing w:after="100" w:line="280"/>
      </w:pPr>
      <w:r>
        <w:t xml:space="preserve">Hoofdstuk 15, De Angst voor Honden: Vrije Wandeling die abrupt wordt afgebroken tot Volgen zodra het baasje de lijn inkort uit angst voor de reactie van een voorbijganger.</w:t>
      </w:r>
    </w:p>
    <w:p>
      <w:pPr>
        <w:pStyle w:val="ListParagraph"/>
        <w:numPr>
          <w:ilvl w:val="0"/>
          <w:numId w:val="1"/>
        </w:numPr>
        <w:spacing w:after="100" w:line="280"/>
      </w:pPr>
      <w:r>
        <w:t xml:space="preserve">Hoofdstuk 22, Langzamere Wandelingen: een langzame vermenging van beide. De wandelingen zijn formeel nog Volgen, maar de baas heeft zelf geen haast meer, waardoor het in de praktijk bijna een Vrije Wandeling wordt. Een mooie plek om het onderscheid tussen de twee modi juist te laten vervagen.</w:t>
      </w:r>
    </w:p>
    <w:p>
      <w:pPr>
        <w:spacing w:after="160" w:line="300"/>
      </w:pPr>
      <w:r>
        <w:t xml:space="preserve">Nieuwe hoofdstukken of scènes die je later toevoegt, verdienen dezelfde labeling: noteer bij het schrijven telkens of een wandeling Volgen of Vrije Wandeling is, ook als het maar één zin in de kantlijn is.</w:t>
      </w:r>
    </w:p>
    <w:p>
      <w:pPr>
        <w:pStyle w:val="Heading1"/>
        <w:spacing w:after="240" w:before="480"/>
      </w:pPr>
      <w:r>
        <w:t xml:space="preserve">13. Anekdotenbank: ruimte voor nieuwe scènes</w:t>
      </w:r>
    </w:p>
    <w:p>
      <w:pPr>
        <w:spacing w:after="160" w:line="300"/>
      </w:pPr>
      <w:r>
        <w:t xml:space="preserve">Tijdens het schrijven komen er ongetwijfeld nieuwe anekdotes en scènes naar boven. In plaats van die los te laten zwerven, krijgen ze hier een vaste plek: wat de anekdote is, waar hij vermoedelijk hoort, en of het een Volgen- of een Vrije Wandeling-scène is. Vul de tabel aan naarmate er nieuwe ideeën ontstaan; niets hoeft meteen definitief te zijn.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600"/>
        <w:gridCol w:w="1670"/>
      </w:tblGrid>
      <w:tr>
        <w:tc>
          <w:tcPr>
            <w:tcW w:type="dxa" w:w="3200"/>
            <w:shd w:fill="E8EDE7" w:val="clear"/>
            <w:tcMar>
              <w:top w:type="dxa" w:w="100"/>
              <w:left w:type="dxa" w:w="100"/>
              <w:bottom w:type="dxa" w:w="100"/>
              <w:right w:type="dxa" w:w="100"/>
            </w:tcMar>
          </w:tcPr>
          <w:p>
            <w:pPr>
              <w:spacing w:after="0"/>
            </w:pPr>
            <w:r>
              <w:rPr>
                <w:b/>
                <w:bCs/>
                <w:sz w:val="20"/>
                <w:szCs w:val="20"/>
              </w:rPr>
              <w:t xml:space="preserve">Anekdote</w:t>
            </w:r>
          </w:p>
        </w:tc>
        <w:tc>
          <w:tcPr>
            <w:tcW w:type="dxa" w:w="2600"/>
            <w:shd w:fill="E8EDE7" w:val="clear"/>
            <w:tcMar>
              <w:top w:type="dxa" w:w="100"/>
              <w:left w:type="dxa" w:w="100"/>
              <w:bottom w:type="dxa" w:w="100"/>
              <w:right w:type="dxa" w:w="100"/>
            </w:tcMar>
          </w:tcPr>
          <w:p>
            <w:pPr>
              <w:spacing w:after="0"/>
            </w:pPr>
            <w:r>
              <w:rPr>
                <w:b/>
                <w:bCs/>
                <w:sz w:val="20"/>
                <w:szCs w:val="20"/>
              </w:rPr>
              <w:t xml:space="preserve">Voorgestelde plek</w:t>
            </w:r>
          </w:p>
        </w:tc>
        <w:tc>
          <w:tcPr>
            <w:tcW w:type="dxa" w:w="1600"/>
            <w:shd w:fill="E8EDE7" w:val="clear"/>
            <w:tcMar>
              <w:top w:type="dxa" w:w="100"/>
              <w:left w:type="dxa" w:w="100"/>
              <w:bottom w:type="dxa" w:w="100"/>
              <w:right w:type="dxa" w:w="100"/>
            </w:tcMar>
          </w:tcPr>
          <w:p>
            <w:pPr>
              <w:spacing w:after="0"/>
            </w:pPr>
            <w:r>
              <w:rPr>
                <w:b/>
                <w:bCs/>
                <w:sz w:val="20"/>
                <w:szCs w:val="20"/>
              </w:rPr>
              <w:t xml:space="preserve">Wandelmodus</w:t>
            </w:r>
          </w:p>
        </w:tc>
        <w:tc>
          <w:tcPr>
            <w:tcW w:type="dxa" w:w="1670"/>
            <w:shd w:fill="E8EDE7" w:val="clear"/>
            <w:tcMar>
              <w:top w:type="dxa" w:w="100"/>
              <w:left w:type="dxa" w:w="100"/>
              <w:bottom w:type="dxa" w:w="100"/>
              <w:right w:type="dxa" w:w="100"/>
            </w:tcMar>
          </w:tcPr>
          <w:p>
            <w:pPr>
              <w:spacing w:after="0"/>
            </w:pPr>
            <w:r>
              <w:rPr>
                <w:b/>
                <w:bCs/>
                <w:sz w:val="20"/>
                <w:szCs w:val="20"/>
              </w:rPr>
              <w:t xml:space="preserve">Status</w:t>
            </w:r>
          </w:p>
        </w:tc>
      </w:tr>
      <w:tr>
        <w:tc>
          <w:tcPr>
            <w:tcW w:type="dxa" w:w="3200"/>
            <w:tcMar>
              <w:top w:type="dxa" w:w="100"/>
              <w:left w:type="dxa" w:w="100"/>
              <w:bottom w:type="dxa" w:w="100"/>
              <w:right w:type="dxa" w:w="100"/>
            </w:tcMar>
          </w:tcPr>
          <w:p>
            <w:pPr>
              <w:spacing w:after="0"/>
            </w:pPr>
            <w:r>
              <w:rPr>
                <w:b w:val="false"/>
                <w:bCs w:val="false"/>
                <w:sz w:val="18"/>
                <w:szCs w:val="18"/>
              </w:rPr>
              <w:t xml:space="preserve">Pootje geven en de code van de voedselmachine</w:t>
            </w:r>
          </w:p>
        </w:tc>
        <w:tc>
          <w:tcPr>
            <w:tcW w:type="dxa" w:w="2600"/>
            <w:tcMar>
              <w:top w:type="dxa" w:w="100"/>
              <w:left w:type="dxa" w:w="100"/>
              <w:bottom w:type="dxa" w:w="100"/>
              <w:right w:type="dxa" w:w="100"/>
            </w:tcMar>
          </w:tcPr>
          <w:p>
            <w:pPr>
              <w:spacing w:after="0"/>
            </w:pPr>
            <w:r>
              <w:rPr>
                <w:b w:val="false"/>
                <w:bCs w:val="false"/>
                <w:sz w:val="18"/>
                <w:szCs w:val="18"/>
              </w:rPr>
              <w:t xml:space="preserve">Hoofdstuk 5, De Eerste Experimenten</w:t>
            </w:r>
          </w:p>
        </w:tc>
        <w:tc>
          <w:tcPr>
            <w:tcW w:type="dxa" w:w="1600"/>
            <w:tcMar>
              <w:top w:type="dxa" w:w="100"/>
              <w:left w:type="dxa" w:w="100"/>
              <w:bottom w:type="dxa" w:w="100"/>
              <w:right w:type="dxa" w:w="100"/>
            </w:tcMar>
          </w:tcPr>
          <w:p>
            <w:pPr>
              <w:spacing w:after="0"/>
            </w:pPr>
            <w:r>
              <w:rPr>
                <w:b w:val="false"/>
                <w:bCs w:val="false"/>
                <w:sz w:val="18"/>
                <w:szCs w:val="18"/>
              </w:rPr>
              <w:t xml:space="preserve">n.v.t.</w:t>
            </w:r>
          </w:p>
        </w:tc>
        <w:tc>
          <w:tcPr>
            <w:tcW w:type="dxa" w:w="1670"/>
            <w:tcMar>
              <w:top w:type="dxa" w:w="100"/>
              <w:left w:type="dxa" w:w="100"/>
              <w:bottom w:type="dxa" w:w="100"/>
              <w:right w:type="dxa" w:w="100"/>
            </w:tcMar>
          </w:tcPr>
          <w:p>
            <w:pPr>
              <w:spacing w:after="0"/>
            </w:pPr>
            <w:r>
              <w:rPr>
                <w:b w:val="false"/>
                <w:bCs w:val="false"/>
                <w:sz w:val="18"/>
                <w:szCs w:val="18"/>
              </w:rPr>
              <w:t xml:space="preserve">Verwerkt</w:t>
            </w:r>
          </w:p>
        </w:tc>
      </w:tr>
      <w:tr>
        <w:tc>
          <w:tcPr>
            <w:tcW w:type="dxa" w:w="3200"/>
            <w:tcMar>
              <w:top w:type="dxa" w:w="100"/>
              <w:left w:type="dxa" w:w="100"/>
              <w:bottom w:type="dxa" w:w="100"/>
              <w:right w:type="dxa" w:w="100"/>
            </w:tcMar>
          </w:tcPr>
          <w:p>
            <w:pPr>
              <w:spacing w:after="0"/>
            </w:pPr>
            <w:r>
              <w:rPr>
                <w:b w:val="false"/>
                <w:bCs w:val="false"/>
                <w:sz w:val="18"/>
                <w:szCs w:val="18"/>
              </w:rPr>
              <w:t xml:space="preserve">Het Etentje: bestek, gesprekstechniek, gevallen eten</w:t>
            </w:r>
          </w:p>
        </w:tc>
        <w:tc>
          <w:tcPr>
            <w:tcW w:type="dxa" w:w="2600"/>
            <w:tcMar>
              <w:top w:type="dxa" w:w="100"/>
              <w:left w:type="dxa" w:w="100"/>
              <w:bottom w:type="dxa" w:w="100"/>
              <w:right w:type="dxa" w:w="100"/>
            </w:tcMar>
          </w:tcPr>
          <w:p>
            <w:pPr>
              <w:spacing w:after="0"/>
            </w:pPr>
            <w:r>
              <w:rPr>
                <w:b w:val="false"/>
                <w:bCs w:val="false"/>
                <w:sz w:val="18"/>
                <w:szCs w:val="18"/>
              </w:rPr>
              <w:t xml:space="preserve">Hoofdstuk 13, Het Etentje</w:t>
            </w:r>
          </w:p>
        </w:tc>
        <w:tc>
          <w:tcPr>
            <w:tcW w:type="dxa" w:w="1600"/>
            <w:tcMar>
              <w:top w:type="dxa" w:w="100"/>
              <w:left w:type="dxa" w:w="100"/>
              <w:bottom w:type="dxa" w:w="100"/>
              <w:right w:type="dxa" w:w="100"/>
            </w:tcMar>
          </w:tcPr>
          <w:p>
            <w:pPr>
              <w:spacing w:after="0"/>
            </w:pPr>
            <w:r>
              <w:rPr>
                <w:b w:val="false"/>
                <w:bCs w:val="false"/>
                <w:sz w:val="18"/>
                <w:szCs w:val="18"/>
              </w:rPr>
              <w:t xml:space="preserve">n.v.t.</w:t>
            </w:r>
          </w:p>
        </w:tc>
        <w:tc>
          <w:tcPr>
            <w:tcW w:type="dxa" w:w="1670"/>
            <w:tcMar>
              <w:top w:type="dxa" w:w="100"/>
              <w:left w:type="dxa" w:w="100"/>
              <w:bottom w:type="dxa" w:w="100"/>
              <w:right w:type="dxa" w:w="100"/>
            </w:tcMar>
          </w:tcPr>
          <w:p>
            <w:pPr>
              <w:spacing w:after="0"/>
            </w:pPr>
            <w:r>
              <w:rPr>
                <w:b w:val="false"/>
                <w:bCs w:val="false"/>
                <w:sz w:val="18"/>
                <w:szCs w:val="18"/>
              </w:rPr>
              <w:t xml:space="preserve">Verwerkt</w:t>
            </w:r>
          </w:p>
        </w:tc>
      </w:tr>
      <w:tr>
        <w:tc>
          <w:tcPr>
            <w:tcW w:type="dxa" w:w="3200"/>
            <w:tcMar>
              <w:top w:type="dxa" w:w="100"/>
              <w:left w:type="dxa" w:w="100"/>
              <w:bottom w:type="dxa" w:w="100"/>
              <w:right w:type="dxa" w:w="100"/>
            </w:tcMar>
          </w:tcPr>
          <w:p>
            <w:pPr>
              <w:spacing w:after="0"/>
            </w:pPr>
            <w:r>
              <w:rPr>
                <w:b w:val="false"/>
                <w:bCs w:val="false"/>
                <w:sz w:val="18"/>
                <w:szCs w:val="18"/>
              </w:rPr>
              <w:t xml:space="preserve">De Dronken Gast en het controleverlies</w:t>
            </w:r>
          </w:p>
        </w:tc>
        <w:tc>
          <w:tcPr>
            <w:tcW w:type="dxa" w:w="2600"/>
            <w:tcMar>
              <w:top w:type="dxa" w:w="100"/>
              <w:left w:type="dxa" w:w="100"/>
              <w:bottom w:type="dxa" w:w="100"/>
              <w:right w:type="dxa" w:w="100"/>
            </w:tcMar>
          </w:tcPr>
          <w:p>
            <w:pPr>
              <w:spacing w:after="0"/>
            </w:pPr>
            <w:r>
              <w:rPr>
                <w:b w:val="false"/>
                <w:bCs w:val="false"/>
                <w:sz w:val="18"/>
                <w:szCs w:val="18"/>
              </w:rPr>
              <w:t xml:space="preserve">Hoofdstuk 14, De Dronken Gast</w:t>
            </w:r>
          </w:p>
        </w:tc>
        <w:tc>
          <w:tcPr>
            <w:tcW w:type="dxa" w:w="1600"/>
            <w:tcMar>
              <w:top w:type="dxa" w:w="100"/>
              <w:left w:type="dxa" w:w="100"/>
              <w:bottom w:type="dxa" w:w="100"/>
              <w:right w:type="dxa" w:w="100"/>
            </w:tcMar>
          </w:tcPr>
          <w:p>
            <w:pPr>
              <w:spacing w:after="0"/>
            </w:pPr>
            <w:r>
              <w:rPr>
                <w:b w:val="false"/>
                <w:bCs w:val="false"/>
                <w:sz w:val="18"/>
                <w:szCs w:val="18"/>
              </w:rPr>
              <w:t xml:space="preserve">n.v.t.</w:t>
            </w:r>
          </w:p>
        </w:tc>
        <w:tc>
          <w:tcPr>
            <w:tcW w:type="dxa" w:w="1670"/>
            <w:tcMar>
              <w:top w:type="dxa" w:w="100"/>
              <w:left w:type="dxa" w:w="100"/>
              <w:bottom w:type="dxa" w:w="100"/>
              <w:right w:type="dxa" w:w="100"/>
            </w:tcMar>
          </w:tcPr>
          <w:p>
            <w:pPr>
              <w:spacing w:after="0"/>
            </w:pPr>
            <w:r>
              <w:rPr>
                <w:b w:val="false"/>
                <w:bCs w:val="false"/>
                <w:sz w:val="18"/>
                <w:szCs w:val="18"/>
              </w:rPr>
              <w:t xml:space="preserve">Verwerkt</w:t>
            </w:r>
          </w:p>
        </w:tc>
      </w:tr>
      <w:tr>
        <w:tc>
          <w:tcPr>
            <w:tcW w:type="dxa" w:w="3200"/>
            <w:tcMar>
              <w:top w:type="dxa" w:w="100"/>
              <w:left w:type="dxa" w:w="100"/>
              <w:bottom w:type="dxa" w:w="100"/>
              <w:right w:type="dxa" w:w="100"/>
            </w:tcMar>
          </w:tcPr>
          <w:p>
            <w:pPr>
              <w:spacing w:after="0"/>
            </w:pPr>
            <w:r>
              <w:rPr>
                <w:b w:val="false"/>
                <w:bCs w:val="false"/>
                <w:sz w:val="18"/>
                <w:szCs w:val="18"/>
              </w:rPr>
              <w:t xml:space="preserve"/>
            </w:r>
          </w:p>
        </w:tc>
        <w:tc>
          <w:tcPr>
            <w:tcW w:type="dxa" w:w="2600"/>
            <w:tcMar>
              <w:top w:type="dxa" w:w="100"/>
              <w:left w:type="dxa" w:w="100"/>
              <w:bottom w:type="dxa" w:w="100"/>
              <w:right w:type="dxa" w:w="100"/>
            </w:tcMar>
          </w:tcPr>
          <w:p>
            <w:pPr>
              <w:spacing w:after="0"/>
            </w:pPr>
            <w:r>
              <w:rPr>
                <w:b w:val="false"/>
                <w:bCs w:val="false"/>
                <w:sz w:val="18"/>
                <w:szCs w:val="18"/>
              </w:rPr>
              <w:t xml:space="preserve"/>
            </w:r>
          </w:p>
        </w:tc>
        <w:tc>
          <w:tcPr>
            <w:tcW w:type="dxa" w:w="1600"/>
            <w:tcMar>
              <w:top w:type="dxa" w:w="100"/>
              <w:left w:type="dxa" w:w="100"/>
              <w:bottom w:type="dxa" w:w="100"/>
              <w:right w:type="dxa" w:w="100"/>
            </w:tcMar>
          </w:tcPr>
          <w:p>
            <w:pPr>
              <w:spacing w:after="0"/>
            </w:pPr>
            <w:r>
              <w:rPr>
                <w:b w:val="false"/>
                <w:bCs w:val="false"/>
                <w:sz w:val="18"/>
                <w:szCs w:val="18"/>
              </w:rPr>
              <w:t xml:space="preserve"/>
            </w:r>
          </w:p>
        </w:tc>
        <w:tc>
          <w:tcPr>
            <w:tcW w:type="dxa" w:w="1670"/>
            <w:tcMar>
              <w:top w:type="dxa" w:w="100"/>
              <w:left w:type="dxa" w:w="100"/>
              <w:bottom w:type="dxa" w:w="100"/>
              <w:right w:type="dxa" w:w="100"/>
            </w:tcMar>
          </w:tcPr>
          <w:p>
            <w:pPr>
              <w:spacing w:after="0"/>
            </w:pPr>
            <w:r>
              <w:rPr>
                <w:b w:val="false"/>
                <w:bCs w:val="false"/>
                <w:sz w:val="18"/>
                <w:szCs w:val="18"/>
              </w:rPr>
              <w:t xml:space="preserve">Nog toe te voegen</w:t>
            </w:r>
          </w:p>
        </w:tc>
      </w:tr>
      <w:tr>
        <w:tc>
          <w:tcPr>
            <w:tcW w:type="dxa" w:w="3200"/>
            <w:tcMar>
              <w:top w:type="dxa" w:w="100"/>
              <w:left w:type="dxa" w:w="100"/>
              <w:bottom w:type="dxa" w:w="100"/>
              <w:right w:type="dxa" w:w="100"/>
            </w:tcMar>
          </w:tcPr>
          <w:p>
            <w:pPr>
              <w:spacing w:after="0"/>
            </w:pPr>
            <w:r>
              <w:rPr>
                <w:b w:val="false"/>
                <w:bCs w:val="false"/>
                <w:sz w:val="18"/>
                <w:szCs w:val="18"/>
              </w:rPr>
              <w:t xml:space="preserve"/>
            </w:r>
          </w:p>
        </w:tc>
        <w:tc>
          <w:tcPr>
            <w:tcW w:type="dxa" w:w="2600"/>
            <w:tcMar>
              <w:top w:type="dxa" w:w="100"/>
              <w:left w:type="dxa" w:w="100"/>
              <w:bottom w:type="dxa" w:w="100"/>
              <w:right w:type="dxa" w:w="100"/>
            </w:tcMar>
          </w:tcPr>
          <w:p>
            <w:pPr>
              <w:spacing w:after="0"/>
            </w:pPr>
            <w:r>
              <w:rPr>
                <w:b w:val="false"/>
                <w:bCs w:val="false"/>
                <w:sz w:val="18"/>
                <w:szCs w:val="18"/>
              </w:rPr>
              <w:t xml:space="preserve"/>
            </w:r>
          </w:p>
        </w:tc>
        <w:tc>
          <w:tcPr>
            <w:tcW w:type="dxa" w:w="1600"/>
            <w:tcMar>
              <w:top w:type="dxa" w:w="100"/>
              <w:left w:type="dxa" w:w="100"/>
              <w:bottom w:type="dxa" w:w="100"/>
              <w:right w:type="dxa" w:w="100"/>
            </w:tcMar>
          </w:tcPr>
          <w:p>
            <w:pPr>
              <w:spacing w:after="0"/>
            </w:pPr>
            <w:r>
              <w:rPr>
                <w:b w:val="false"/>
                <w:bCs w:val="false"/>
                <w:sz w:val="18"/>
                <w:szCs w:val="18"/>
              </w:rPr>
              <w:t xml:space="preserve"/>
            </w:r>
          </w:p>
        </w:tc>
        <w:tc>
          <w:tcPr>
            <w:tcW w:type="dxa" w:w="1670"/>
            <w:tcMar>
              <w:top w:type="dxa" w:w="100"/>
              <w:left w:type="dxa" w:w="100"/>
              <w:bottom w:type="dxa" w:w="100"/>
              <w:right w:type="dxa" w:w="100"/>
            </w:tcMar>
          </w:tcPr>
          <w:p>
            <w:pPr>
              <w:spacing w:after="0"/>
            </w:pPr>
            <w:r>
              <w:rPr>
                <w:b w:val="false"/>
                <w:bCs w:val="false"/>
                <w:sz w:val="18"/>
                <w:szCs w:val="18"/>
              </w:rPr>
              <w:t xml:space="preserve">Nog toe te voegen</w:t>
            </w:r>
          </w:p>
        </w:tc>
      </w:tr>
      <w:tr>
        <w:tc>
          <w:tcPr>
            <w:tcW w:type="dxa" w:w="3200"/>
            <w:tcMar>
              <w:top w:type="dxa" w:w="100"/>
              <w:left w:type="dxa" w:w="100"/>
              <w:bottom w:type="dxa" w:w="100"/>
              <w:right w:type="dxa" w:w="100"/>
            </w:tcMar>
          </w:tcPr>
          <w:p>
            <w:pPr>
              <w:spacing w:after="0"/>
            </w:pPr>
            <w:r>
              <w:rPr>
                <w:b w:val="false"/>
                <w:bCs w:val="false"/>
                <w:sz w:val="18"/>
                <w:szCs w:val="18"/>
              </w:rPr>
              <w:t xml:space="preserve"/>
            </w:r>
          </w:p>
        </w:tc>
        <w:tc>
          <w:tcPr>
            <w:tcW w:type="dxa" w:w="2600"/>
            <w:tcMar>
              <w:top w:type="dxa" w:w="100"/>
              <w:left w:type="dxa" w:w="100"/>
              <w:bottom w:type="dxa" w:w="100"/>
              <w:right w:type="dxa" w:w="100"/>
            </w:tcMar>
          </w:tcPr>
          <w:p>
            <w:pPr>
              <w:spacing w:after="0"/>
            </w:pPr>
            <w:r>
              <w:rPr>
                <w:b w:val="false"/>
                <w:bCs w:val="false"/>
                <w:sz w:val="18"/>
                <w:szCs w:val="18"/>
              </w:rPr>
              <w:t xml:space="preserve"/>
            </w:r>
          </w:p>
        </w:tc>
        <w:tc>
          <w:tcPr>
            <w:tcW w:type="dxa" w:w="1600"/>
            <w:tcMar>
              <w:top w:type="dxa" w:w="100"/>
              <w:left w:type="dxa" w:w="100"/>
              <w:bottom w:type="dxa" w:w="100"/>
              <w:right w:type="dxa" w:w="100"/>
            </w:tcMar>
          </w:tcPr>
          <w:p>
            <w:pPr>
              <w:spacing w:after="0"/>
            </w:pPr>
            <w:r>
              <w:rPr>
                <w:b w:val="false"/>
                <w:bCs w:val="false"/>
                <w:sz w:val="18"/>
                <w:szCs w:val="18"/>
              </w:rPr>
              <w:t xml:space="preserve"/>
            </w:r>
          </w:p>
        </w:tc>
        <w:tc>
          <w:tcPr>
            <w:tcW w:type="dxa" w:w="1670"/>
            <w:tcMar>
              <w:top w:type="dxa" w:w="100"/>
              <w:left w:type="dxa" w:w="100"/>
              <w:bottom w:type="dxa" w:w="100"/>
              <w:right w:type="dxa" w:w="100"/>
            </w:tcMar>
          </w:tcPr>
          <w:p>
            <w:pPr>
              <w:spacing w:after="0"/>
            </w:pPr>
            <w:r>
              <w:rPr>
                <w:b w:val="false"/>
                <w:bCs w:val="false"/>
                <w:sz w:val="18"/>
                <w:szCs w:val="18"/>
              </w:rPr>
              <w:t xml:space="preserve">Nog toe te voegen</w:t>
            </w:r>
          </w:p>
        </w:tc>
      </w:tr>
      <w:tr>
        <w:tc>
          <w:tcPr>
            <w:tcW w:type="dxa" w:w="3200"/>
            <w:tcMar>
              <w:top w:type="dxa" w:w="100"/>
              <w:left w:type="dxa" w:w="100"/>
              <w:bottom w:type="dxa" w:w="100"/>
              <w:right w:type="dxa" w:w="100"/>
            </w:tcMar>
          </w:tcPr>
          <w:p>
            <w:pPr>
              <w:spacing w:after="0"/>
            </w:pPr>
            <w:r>
              <w:rPr>
                <w:b w:val="false"/>
                <w:bCs w:val="false"/>
                <w:sz w:val="18"/>
                <w:szCs w:val="18"/>
              </w:rPr>
              <w:t xml:space="preserve"/>
            </w:r>
          </w:p>
        </w:tc>
        <w:tc>
          <w:tcPr>
            <w:tcW w:type="dxa" w:w="2600"/>
            <w:tcMar>
              <w:top w:type="dxa" w:w="100"/>
              <w:left w:type="dxa" w:w="100"/>
              <w:bottom w:type="dxa" w:w="100"/>
              <w:right w:type="dxa" w:w="100"/>
            </w:tcMar>
          </w:tcPr>
          <w:p>
            <w:pPr>
              <w:spacing w:after="0"/>
            </w:pPr>
            <w:r>
              <w:rPr>
                <w:b w:val="false"/>
                <w:bCs w:val="false"/>
                <w:sz w:val="18"/>
                <w:szCs w:val="18"/>
              </w:rPr>
              <w:t xml:space="preserve"/>
            </w:r>
          </w:p>
        </w:tc>
        <w:tc>
          <w:tcPr>
            <w:tcW w:type="dxa" w:w="1600"/>
            <w:tcMar>
              <w:top w:type="dxa" w:w="100"/>
              <w:left w:type="dxa" w:w="100"/>
              <w:bottom w:type="dxa" w:w="100"/>
              <w:right w:type="dxa" w:w="100"/>
            </w:tcMar>
          </w:tcPr>
          <w:p>
            <w:pPr>
              <w:spacing w:after="0"/>
            </w:pPr>
            <w:r>
              <w:rPr>
                <w:b w:val="false"/>
                <w:bCs w:val="false"/>
                <w:sz w:val="18"/>
                <w:szCs w:val="18"/>
              </w:rPr>
              <w:t xml:space="preserve"/>
            </w:r>
          </w:p>
        </w:tc>
        <w:tc>
          <w:tcPr>
            <w:tcW w:type="dxa" w:w="1670"/>
            <w:tcMar>
              <w:top w:type="dxa" w:w="100"/>
              <w:left w:type="dxa" w:w="100"/>
              <w:bottom w:type="dxa" w:w="100"/>
              <w:right w:type="dxa" w:w="100"/>
            </w:tcMar>
          </w:tcPr>
          <w:p>
            <w:pPr>
              <w:spacing w:after="0"/>
            </w:pPr>
            <w:r>
              <w:rPr>
                <w:b w:val="false"/>
                <w:bCs w:val="false"/>
                <w:sz w:val="18"/>
                <w:szCs w:val="18"/>
              </w:rPr>
              <w:t xml:space="preserve">Nog toe te voegen</w:t>
            </w:r>
          </w:p>
        </w:tc>
      </w:tr>
    </w:tbl>
    <w:p>
      <w:pPr>
        <w:spacing w:after="160"/>
      </w:pPr>
    </w:p>
    <w:p>
      <w:pPr>
        <w:pStyle w:val="Heading1"/>
        <w:spacing w:after="240" w:before="480"/>
      </w:pPr>
      <w:r>
        <w:t xml:space="preserve">14. Volgende stappen</w:t>
      </w:r>
    </w:p>
    <w:p>
      <w:pPr>
        <w:pStyle w:val="ListParagraph"/>
        <w:numPr>
          <w:ilvl w:val="0"/>
          <w:numId w:val="1"/>
        </w:numPr>
        <w:spacing w:after="100" w:line="280"/>
      </w:pPr>
      <w:r>
        <w:t xml:space="preserve">Eén hoofdstuk volledig uitschrijven als proef op de toon. Hoofdstuk 1 (De Geboorte) is de logische eerste keuze, omdat die het verschil in stijl tussen de zintuiglijke opening en de latere onderzoekshoofdstukken meteen zichtbaar maakt.</w:t>
      </w:r>
    </w:p>
    <w:p>
      <w:pPr>
        <w:pStyle w:val="ListParagraph"/>
        <w:numPr>
          <w:ilvl w:val="0"/>
          <w:numId w:val="1"/>
        </w:numPr>
        <w:spacing w:after="100" w:line="280"/>
      </w:pPr>
      <w:r>
        <w:t xml:space="preserve">Titel definitief kiezen uit de zes opties in sectie 1, bij voorkeur na het schrijven van het proefhoofdstuk.</w:t>
      </w:r>
    </w:p>
    <w:p>
      <w:pPr>
        <w:pStyle w:val="ListParagraph"/>
        <w:numPr>
          <w:ilvl w:val="0"/>
          <w:numId w:val="1"/>
        </w:numPr>
        <w:spacing w:after="100" w:line="280"/>
      </w:pPr>
      <w:r>
        <w:t xml:space="preserve">Een vaste lengte per hoofdstuk afspreken, richting acht tot negen bladzijden, om de streeflengte van 180 tot 220 bladzijden te halen.</w:t>
      </w:r>
    </w:p>
    <w:p>
      <w:pPr>
        <w:pStyle w:val="ListParagraph"/>
        <w:numPr>
          <w:ilvl w:val="0"/>
          <w:numId w:val="1"/>
        </w:numPr>
        <w:spacing w:after="100" w:line="280"/>
      </w:pPr>
      <w:r>
        <w:t xml:space="preserve">Illustrator of vormgever zoeken zodra de eerste twee, drie hoofdstukken af zijn, zodat de visuele identiteit vroeg wordt meegenomen.</w:t>
      </w:r>
    </w:p>
    <w:p>
      <w:pPr>
        <w:pStyle w:val="ListParagraph"/>
        <w:numPr>
          <w:ilvl w:val="0"/>
          <w:numId w:val="1"/>
        </w:numPr>
        <w:spacing w:after="100" w:line="280"/>
      </w:pPr>
      <w:r>
        <w:t xml:space="preserve">Nieuwe anekdotes die tijdens het schrijven naar boven komen: loggen in de Anekdotenbank in sectie 13, met voorgestelde hoofdstukplek en wandelmodus indien relevant.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39" w:sz="8" w:space="4"/>
      </w:pBdr>
      <w:spacing w:after="200" w:before="400"/>
    </w:pPr>
    <w:rPr>
      <w:rFonts w:ascii="Georgia" w:cs="Georgia" w:eastAsia="Georgia" w:hAnsi="Georgia"/>
      <w:b/>
      <w:bCs/>
      <w:color w:val="2E5339"/>
      <w:sz w:val="34"/>
      <w:szCs w:val="34"/>
    </w:rPr>
  </w:style>
  <w:style w:type="paragraph" w:styleId="Heading2">
    <w:name w:val="Heading 2"/>
    <w:basedOn w:val="Normal"/>
    <w:next w:val="Normal"/>
    <w:qFormat/>
    <w:pPr>
      <w:spacing w:after="140" w:before="320"/>
    </w:pPr>
    <w:rPr>
      <w:rFonts w:ascii="Georgia" w:cs="Georgia" w:eastAsia="Georgia" w:hAnsi="Georgia"/>
      <w:b/>
      <w:bCs/>
      <w:color w:val="8A5A2B"/>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2026-07-23T19:19:15.732Z</dcterms:created>
  <dcterms:modified xsi:type="dcterms:W3CDTF">2026-07-23T19:19:15.733Z</dcterms:modified>
</cp:coreProperties>
</file>

<file path=docProps/custom.xml><?xml version="1.0" encoding="utf-8"?>
<Properties xmlns="http://schemas.openxmlformats.org/officeDocument/2006/custom-properties" xmlns:vt="http://schemas.openxmlformats.org/officeDocument/2006/docPropsVTypes"/>
</file>