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65848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rPr>
          <w:rFonts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7"/>
        </w:rPr>
      </w:pPr>
      <w:r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7"/>
          <w:shd w:val="clear" w:fill="FFFFFF"/>
        </w:rPr>
        <w:t>论文片段：项目功能与技术实现</w:t>
      </w:r>
    </w:p>
    <w:p w14:paraId="0FD62D8E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</w:rPr>
      </w:pPr>
      <w:r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  <w:shd w:val="clear" w:fill="FFFFFF"/>
        </w:rPr>
        <w:t>1. 引言与项目目标</w:t>
      </w:r>
    </w:p>
    <w:p w14:paraId="494435F3">
      <w:pPr>
        <w:pStyle w:val="6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随着高动态范围（HDR）和广色域（WCG）内容的普及（如采用BT.2020色域标准），如何将这些内容精准、自然地适配到广泛使用的标准色域显示设备（如sRGB）上，成为一个关键技术挑战。传统的矩阵变换方法常导致色彩失真、饱和度损失或细节模糊，尤其在色域边界处。为解决这一问题，本项目“ColorSpace”旨在开发一个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基于深度学习的色域转换模型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，其核心目标在于：</w:t>
      </w:r>
    </w:p>
    <w:p w14:paraId="05AB4179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left="482" w:leftChars="0" w:right="0" w:rightChars="0"/>
        <w:jc w:val="both"/>
        <w:rPr>
          <w:rFonts w:ascii="Times New Roman" w:eastAsia="宋体"/>
          <w:sz w:val="24"/>
        </w:rPr>
      </w:pPr>
    </w:p>
    <w:p w14:paraId="1AE22637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实现感知均匀的色彩映射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：在不同色彩空间（特别是BT.2020到sRGB）间进行高精度转换。</w:t>
      </w:r>
    </w:p>
    <w:p w14:paraId="1EED0053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72C64EC2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维持色彩感知一致性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：确保转换后的颜色在人眼视觉感知上保持自然和谐。</w:t>
      </w:r>
    </w:p>
    <w:p w14:paraId="05095F94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245739F5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控制转换色彩偏差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：通过严格的色差指标约束，限制转换过程中的最大偏差。</w:t>
      </w:r>
    </w:p>
    <w:p w14:paraId="3C0B4BFE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75D8B1C2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提供高效处理能力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：支持批量图像及视频像素的高效转换，满足实际应用需求。</w:t>
      </w:r>
    </w:p>
    <w:p w14:paraId="28ABA8D7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0DF647E8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</w:rPr>
      </w:pPr>
      <w:r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  <w:shd w:val="clear" w:fill="FFFFFF"/>
        </w:rPr>
        <w:t>2. 方法体系与技术栈</w:t>
      </w:r>
    </w:p>
    <w:p w14:paraId="528E3046">
      <w:pPr>
        <w:pStyle w:val="6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本模型构建了一个端到端的深度学习解决方案，其核心方法体系与技术栈如下：</w:t>
      </w:r>
    </w:p>
    <w:p w14:paraId="5D4D41D0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核心框架与加速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066CB8D8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46DB47FA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采用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PyTorch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作为主要深度学习框架，充分利用其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GPU/CUDA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并行计算能力以加速训练和推理。</w:t>
      </w:r>
    </w:p>
    <w:p w14:paraId="7884F413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726A8345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针对 Apple Silicon 硬件平台，开发了基于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Apple MLX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框架的优化版本，实现原生高性能加速。</w:t>
      </w:r>
    </w:p>
    <w:p w14:paraId="71317B48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5608DC04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色彩科学基础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654FE66C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转换流程严格遵循色彩科学原理：输入 RGB 值首先转换为 CIE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XYZ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色彩空间，进而转换到感知均匀的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CIELAB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色彩空间进行核心计算。</w:t>
      </w:r>
    </w:p>
    <w:p w14:paraId="3485A525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使用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CIE94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（主）和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CIE76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标准计算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deltaE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色差，作为评估转换质量与构建损失函数的关键指标。</w:t>
      </w:r>
    </w:p>
    <w:p w14:paraId="6FCF3475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集成标准的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sRGB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和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BT.2020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色域转换矩阵作为基础变换模块。</w:t>
      </w:r>
    </w:p>
    <w:p w14:paraId="428B0DDD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神经网络架构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623010C9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核心模型采用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多层感知机（MLP）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结构，以其强大的非线性拟合能力学习复杂的色域映射关系。</w:t>
      </w:r>
    </w:p>
    <w:p w14:paraId="6FBC73C2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04547AD6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提供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standard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(标准)、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deep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(深层)、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wide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(宽层) 三种网络复杂度配置，以平衡精度、速度和资源消耗。</w:t>
      </w:r>
    </w:p>
    <w:p w14:paraId="5992EE1C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6741319C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损失函数设计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1090678E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03CB4936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创新性地设计了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自定义损失函数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，其核心组成部分是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deltaE 约束项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。该约束项显式地限制模型预测色彩与目标色彩之间的感知色差，确保转换偏差被控制在预设阈值（可配置）之下，是保证感知一致性的关键机制。</w:t>
      </w:r>
    </w:p>
    <w:p w14:paraId="0E350F8C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3A223CED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数据处理与优化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4B459FD1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5EBD04F9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开发了多种高效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采样策略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以适应不同需求：</w:t>
      </w:r>
    </w:p>
    <w:p w14:paraId="752FDF62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4878C448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Uniform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(均匀采样)：覆盖整个色彩空间。</w:t>
      </w:r>
    </w:p>
    <w:p w14:paraId="4C684685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30CA333A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Perceptual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(感知权重采样)：根据人眼敏感度在关键区域密集采样。</w:t>
      </w:r>
    </w:p>
    <w:p w14:paraId="6F45EC43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left="482" w:leftChars="0" w:right="0" w:rightChars="0"/>
        <w:jc w:val="both"/>
        <w:rPr>
          <w:rFonts w:ascii="Times New Roman" w:eastAsia="宋体"/>
          <w:sz w:val="24"/>
        </w:rPr>
      </w:pPr>
    </w:p>
    <w:p w14:paraId="32533D2C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6E6E6A11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Boundary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(边界采样)：着重采集色域边界附近的颜色点。</w:t>
      </w:r>
    </w:p>
    <w:p w14:paraId="735CC412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Stratified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(分层采样)：确保各色彩区域均有代表性样本。</w:t>
      </w:r>
    </w:p>
    <w:p w14:paraId="360B3BAB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实现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自适应采样优化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算法，根据模型学习状态动态调整采样分布。</w:t>
      </w:r>
    </w:p>
    <w:p w14:paraId="192F12DC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进行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批量数据处理优化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，显著提升大规模图像像素的处理吞吐量。</w:t>
      </w:r>
    </w:p>
    <w:p w14:paraId="404FA3CE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</w:rPr>
      </w:pPr>
      <w:r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  <w:shd w:val="clear" w:fill="FFFFFF"/>
        </w:rPr>
        <w:t>3. 实现效果与性能评估</w:t>
      </w:r>
    </w:p>
    <w:p w14:paraId="362AA097">
      <w:pPr>
        <w:pStyle w:val="6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经过严格的模型训练、验证与测试，本项目实现了以下显著效果：</w:t>
      </w:r>
    </w:p>
    <w:p w14:paraId="364EC522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75EE88A7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高精度色彩转换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1B3C306E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在核心的 BT.2020 到 sRGB 转换任务中，模型实现了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高保真度的色彩映射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。</w:t>
      </w:r>
    </w:p>
    <w:p w14:paraId="079E9DBE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关键指标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平均 deltaE (CIE94)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 被稳定控制在 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3.0 以下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（该阈值可根据应用场景需求灵活配置）。数值小于 3.0 的 deltaE 通常表示人眼难以察觉的色差，有效保证了转换色彩的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视觉自然性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。</w:t>
      </w:r>
    </w:p>
    <w:p w14:paraId="1C69D175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494E2EFF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相较于传统矩阵变换，模型展现出了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更优的边界处理能力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，避免了生硬的截断效应，使转换结果更加平滑自然。</w:t>
      </w:r>
    </w:p>
    <w:p w14:paraId="583E1F31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288" w:lineRule="auto"/>
        <w:ind w:right="0" w:rightChars="0"/>
        <w:jc w:val="both"/>
        <w:rPr>
          <w:rFonts w:ascii="Times New Roman" w:eastAsia="宋体"/>
          <w:sz w:val="24"/>
        </w:rPr>
      </w:pPr>
    </w:p>
    <w:p w14:paraId="0E28B7AE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强大的处理性能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1C701962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充分利用 GPU 并行计算，模型在处理高分辨率图像时展现出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高效能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，处理速度可达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数万像素/秒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。</w:t>
      </w:r>
    </w:p>
    <w:p w14:paraId="7CBA03C6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基于 Apple MLX 的优化版本在 Apple Silicon 设备上实现了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更卓越的性能表现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。</w:t>
      </w:r>
    </w:p>
    <w:p w14:paraId="45452E7A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系统具备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强大的批量处理能力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，可高效处理如 1920x1080 (Full HD) 分辨率图像的像素级转换。</w:t>
      </w:r>
    </w:p>
    <w:p w14:paraId="14A09460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广泛的应用潜力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37731BCC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广色域到标准色域映射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：为 BT.2020 等广色域内容在 sRGB 设备上的高质量、安全显示提供了有效解决方案。</w:t>
      </w:r>
    </w:p>
    <w:p w14:paraId="4DFD91B2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复杂通道映射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：模型架构支持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多通道色彩映射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（如 4 通道到 5 通道），可扩展应用于印刷、光谱重建等需要非标准通道转换的领域。</w:t>
      </w:r>
    </w:p>
    <w:p w14:paraId="0FD051F5">
      <w:pPr>
        <w:keepNext w:val="0"/>
        <w:keepLines w:val="0"/>
        <w:widowControl/>
        <w:numPr>
          <w:ilvl w:val="1"/>
          <w:numId w:val="1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3CB96C7E">
      <w:pPr>
        <w:keepNext w:val="0"/>
        <w:keepLines w:val="0"/>
        <w:widowControl/>
        <w:numPr>
          <w:ilvl w:val="1"/>
          <w:numId w:val="1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214081C4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准实时处理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：优化的性能使得模型可应用于</w:t>
      </w: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视频播放、图像编辑软件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等需要较高实时性或交互性的色彩处理场景。</w:t>
      </w:r>
    </w:p>
    <w:p w14:paraId="700DCB58">
      <w:pPr>
        <w:keepNext w:val="0"/>
        <w:keepLines w:val="0"/>
        <w:widowControl/>
        <w:numPr>
          <w:ilvl w:val="1"/>
          <w:numId w:val="1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59EB8D1E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</w:rPr>
      </w:pPr>
      <w:r>
        <w:rPr>
          <w:rFonts w:hint="default" w:ascii="Times New Roman" w:hAnsi="Segoe UI" w:eastAsia="黑体" w:cs="Segoe UI"/>
          <w:b/>
          <w:bCs/>
          <w:i w:val="0"/>
          <w:iCs w:val="0"/>
          <w:caps w:val="0"/>
          <w:color w:val="auto"/>
          <w:spacing w:val="0"/>
          <w:sz w:val="36"/>
          <w:szCs w:val="22"/>
          <w:shd w:val="clear" w:fill="FFFFFF"/>
        </w:rPr>
        <w:t>4. 总结</w:t>
      </w:r>
    </w:p>
    <w:p w14:paraId="094A6745">
      <w:pPr>
        <w:pStyle w:val="6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ColorSpace 项目成功构建了一个基于深度学习的、感知均匀的色域转换模型。通过将严谨的色彩科学（CIELAB, deltaE）与先进的深度学习技术（MLP, 自定义损失函数）相结合，并辅以高效的数据处理策略（自适应采样）和硬件加速优化（PyTorch/CUDA, MLX），模型在色彩转换精度（平均 deltaE &lt; 3.0）、视觉自然性（感知一致性）、处理效率（批量、高速）以及应用灵活性（多通道、可配置阈值）等方面均取得了显著成效。该模型有效解决了广色域内容向标准显示设备适配的核心难题，为相关领域的实际应用提供了可靠的技术支撑。</w:t>
      </w:r>
    </w:p>
    <w:p w14:paraId="3EE9D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DEDA80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0" w:beforeAutospacing="0" w:after="0" w:afterAutospacing="0" w:line="288" w:lineRule="auto"/>
        <w:ind w:left="0" w:leftChars="0" w:right="0" w:rightChars="0" w:firstLine="482" w:firstLineChars="0"/>
        <w:jc w:val="both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22"/>
          <w:shd w:val="clear" w:fill="FFFFFF"/>
        </w:rPr>
        <w:t>说明与建议</w:t>
      </w:r>
    </w:p>
    <w:p w14:paraId="2B2640E1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2C1F07DF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结构清晰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：采用了标准的论文叙述结构（引言目标 -&gt; 方法技术 -&gt; 结果效果 -&gt; 总结），逻辑连贯。</w:t>
      </w:r>
    </w:p>
    <w:p w14:paraId="672D7430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0BE34B3A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4C823338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术语规范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：使用了色彩科学（CIELAB, deltaE, CIE94/76, sRGB, BT.2020）和深度学习（MLP, 损失函数, 采样策略, GPU/CUDA, MLX）的标准术语，符合学术论文要求。</w:t>
      </w:r>
    </w:p>
    <w:p w14:paraId="32D989E9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2FEED87A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E09F2F6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突出创新与优势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：强调了“感知均匀性”、“deltaE约束”、“自适应采样”、“硬件加速优化”、“优于传统方法”等核心创新点和优势。</w:t>
      </w:r>
    </w:p>
    <w:p w14:paraId="098178F2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41604CF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200E86A6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量化指标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：明确给出了关键的量化效果指标（平均 deltaE &lt; 3.0， 处理速度数万像素/秒，支持Full HD图像），增强说服力。</w:t>
      </w:r>
    </w:p>
    <w:p w14:paraId="19DB1ABA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53A32000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76950628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应用价值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：清晰阐述了项目的实际应用场景（HDR显示适配、视频图像处理、印刷/光谱重建）。</w:t>
      </w:r>
    </w:p>
    <w:p w14:paraId="2EDED057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0950C66B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24C6B699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语言风格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：采用了客观、严谨、专业的学术语言。</w:t>
      </w:r>
    </w:p>
    <w:p w14:paraId="61862B97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37FF1D5E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750F7A48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可调整性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05017E18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480EE44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3E2DE95F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你可以根据论文的具体章节要求（比如是放在“模型建立”还是“实验结果”部分）微调标题和侧重点。</w:t>
      </w:r>
    </w:p>
    <w:p w14:paraId="5492994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57F1340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B69C625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如果篇幅有限，可以适当精简“数据处理与优化”或“应用潜力”部分的细节描述。</w:t>
      </w:r>
    </w:p>
    <w:p w14:paraId="1DF2014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A0517A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7F01F791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如果在论文中有具体的实验数据图表（如不同采样策略的对比、不同网络结构的精度速度对比、deltaE分布图、处理速度benchmark），一定要在此片段之后引用这些图表来支撑这里的结论。</w:t>
      </w:r>
    </w:p>
    <w:p w14:paraId="2877ED9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97AA68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46BF8FC0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“平均 deltaE &lt; 3.0” 是一个示例值，请务必替换为你们实际测试得到的准确数值范围（如 2.5±0.3）。</w:t>
      </w:r>
    </w:p>
    <w:p w14:paraId="1ED0598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12DA9EE7">
      <w:pPr>
        <w:keepNext w:val="0"/>
        <w:keepLines w:val="0"/>
        <w:widowControl/>
        <w:numPr>
          <w:ilvl w:val="0"/>
          <w:numId w:val="2"/>
        </w:numPr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</w:rPr>
      </w:pPr>
    </w:p>
    <w:p w14:paraId="75A6DC69">
      <w:pPr>
        <w:pStyle w:val="6"/>
        <w:keepNext w:val="0"/>
        <w:keepLines w:val="0"/>
        <w:widowControl/>
        <w:suppressLineNumbers w:val="0"/>
        <w:snapToGrid/>
        <w:spacing w:beforeAutospacing="0" w:afterAutospacing="0" w:line="288" w:lineRule="auto"/>
        <w:ind w:left="0" w:leftChars="0" w:right="0" w:rightChars="0" w:firstLine="482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9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衔接上下文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：确保这个片段的前后文有合理的过渡。前面可能需要介绍问题背景和传统方法的不足，后面则需要展示具体的实验结果（数据、图表、对比分析）来验证本段所述的性能和效果。</w:t>
      </w:r>
    </w:p>
    <w:p w14:paraId="3A95D4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1FFE916B"/>
    <w:p w14:paraId="7E044F33"/>
    <w:p w14:paraId="46B4FC83">
      <w:bookmarkStart w:id="0" w:name="_GoBack"/>
      <w:bookmarkEnd w:id="0"/>
    </w:p>
    <w:p w14:paraId="047F4FE3"/>
    <w:p w14:paraId="60C18F0A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基于深度学习的显示色彩优化系统建模</w:t>
      </w:r>
    </w:p>
    <w:p w14:paraId="3E8A38EB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——色域转换与像素级校准的综合解决方案</w:t>
      </w:r>
    </w:p>
    <w:p w14:paraId="06912BB4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摘要</w:t>
      </w:r>
    </w:p>
    <w:p w14:paraId="090A99E7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本文针对数字显示中的两大核心问题——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跨设备色彩一致性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与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屏幕自身色彩均匀性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提出融合深度学习与数学优化的综合解决方案。通过构建ColorSpace色域转换模型和PixelCalibrator像素校准系统，分别解决广色域内容适配标准显示设备的色彩失真问题，以及显示器像素级色彩偏差与亮度不均问题。创新性在于将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人眼感知一致性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作为核心优化目标，通过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多约束损失函数设计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和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局部精细化建模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实现技术突破。实验表明，系统在色域转换中平均色差ΔE&lt;3.0，像素校准后亮度误差≤0.03，色纯度提升10倍以上。</w:t>
      </w:r>
    </w:p>
    <w:p w14:paraId="270FC4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07CE5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1. 问题分析：显示色彩的双重挑战</w:t>
      </w:r>
    </w:p>
    <w:p w14:paraId="309F431B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1.1 跨设备色彩失真（ColorSpace项目背景）</w:t>
      </w:r>
    </w:p>
    <w:p w14:paraId="6E33B0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 w14:paraId="491AD16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矛盾点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：广色域内容（如BT.2020）在标准显示器（sRGB）上出现饱和度损失或色彩偏移</w:t>
      </w:r>
    </w:p>
    <w:p w14:paraId="5D4B9E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</w:p>
    <w:p w14:paraId="6E29CA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0" w:afterAutospacing="1"/>
        <w:ind w:left="0" w:hanging="360"/>
      </w:pPr>
    </w:p>
    <w:p w14:paraId="4AEFD5B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传统局限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：全局矩阵变换忽视人眼感知特性，边界色彩截断导致失真</w:t>
      </w:r>
    </w:p>
    <w:p w14:paraId="3A89E0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0" w:afterAutospacing="1"/>
        <w:ind w:left="0" w:hanging="360"/>
      </w:pPr>
    </w:p>
    <w:p w14:paraId="01910F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0" w:afterAutospacing="1"/>
        <w:ind w:left="0" w:hanging="360"/>
      </w:pPr>
    </w:p>
    <w:p w14:paraId="3DA12C4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关键需求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：在保证转换效率的同时，维持色彩的自然观感</w:t>
      </w:r>
    </w:p>
    <w:p w14:paraId="388042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0" w:afterAutospacing="1"/>
        <w:ind w:left="0" w:hanging="360"/>
      </w:pPr>
    </w:p>
    <w:p w14:paraId="6BD9FA04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1.2 屏幕自身不均匀性（PixelCalibrator项目背景）</w:t>
      </w:r>
    </w:p>
    <w:p w14:paraId="62C64E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 w14:paraId="1F033B8C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现象观察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5FF164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 w14:paraId="7EC3EC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1CB598D2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同一颜色在不同屏幕位置显示差异（亮度/色度偏差）</w:t>
      </w:r>
    </w:p>
    <w:p w14:paraId="57B5CB2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6CBE6A5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ED0DDF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颜色通道串扰导致色彩纯度下降（如显示红色时混入绿/蓝光）</w:t>
      </w:r>
    </w:p>
    <w:p w14:paraId="6C07C13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D8B8C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40" w:beforeAutospacing="0" w:after="0" w:afterAutospacing="1"/>
        <w:ind w:left="0" w:hanging="360"/>
      </w:pPr>
    </w:p>
    <w:p w14:paraId="79F19D4E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工程难点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45B4EE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40" w:beforeAutospacing="0" w:after="0" w:afterAutospacing="1"/>
        <w:ind w:left="0" w:hanging="360"/>
      </w:pPr>
    </w:p>
    <w:p w14:paraId="56E0659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0" w:hanging="360"/>
      </w:pPr>
    </w:p>
    <w:p w14:paraId="77695BA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全局校准无法解决局部差异</w:t>
      </w:r>
    </w:p>
    <w:p w14:paraId="0D48AB2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0" w:hanging="360"/>
      </w:pPr>
    </w:p>
    <w:p w14:paraId="5FBBF094">
      <w:pPr>
        <w:keepNext w:val="0"/>
        <w:keepLines w:val="0"/>
        <w:widowControl/>
        <w:numPr>
          <w:ilvl w:val="1"/>
          <w:numId w:val="5"/>
        </w:numPr>
        <w:suppressLineNumbers w:val="0"/>
        <w:spacing w:before="40" w:beforeAutospacing="0" w:after="0" w:afterAutospacing="1"/>
        <w:ind w:left="0" w:hanging="360"/>
      </w:pPr>
    </w:p>
    <w:p w14:paraId="4525233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需同时优化亮度、纯度、均匀性三个冲突目标</w:t>
      </w:r>
    </w:p>
    <w:p w14:paraId="5A8E603B">
      <w:pPr>
        <w:keepNext w:val="0"/>
        <w:keepLines w:val="0"/>
        <w:widowControl/>
        <w:numPr>
          <w:ilvl w:val="1"/>
          <w:numId w:val="5"/>
        </w:numPr>
        <w:suppressLineNumbers w:val="0"/>
        <w:spacing w:before="40" w:beforeAutospacing="0" w:after="0" w:afterAutospacing="1"/>
        <w:ind w:left="0" w:hanging="360"/>
      </w:pPr>
    </w:p>
    <w:p w14:paraId="5D227704">
      <w:pPr>
        <w:pStyle w:val="6"/>
        <w:keepNext w:val="0"/>
        <w:keepLines w:val="0"/>
        <w:widowControl/>
        <w:suppressLineNumbers w:val="0"/>
        <w:spacing w:before="137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解决思路共通性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：二者均需建立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感知优先的局部优化模型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，突破传统全局处理的局限。</w:t>
      </w:r>
    </w:p>
    <w:p w14:paraId="2AE1A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sz w:val="16"/>
          <w:szCs w:val="16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97E1F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2. 模型构建：感知驱动的优化框架</w:t>
      </w:r>
    </w:p>
    <w:p w14:paraId="769609D9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2.1 色域转换的核心创新（ColorSpace）</w:t>
      </w:r>
    </w:p>
    <w:p w14:paraId="3C0B8F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1931EBF7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感知空间映射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将RGB转换至人眼敏感的CIELAB色彩空间进行运算（而非直接处理RGB）</w:t>
      </w:r>
    </w:p>
    <w:p w14:paraId="6D75B4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7300F5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2"/>
          <w:szCs w:val="12"/>
          <w:shd w:val="clear" w:fill="FFFFFF"/>
          <w:lang w:val="en-US" w:eastAsia="zh-CN" w:bidi="ar"/>
        </w:rPr>
        <w:t>math</w:t>
      </w:r>
    </w:p>
    <w:p w14:paraId="49B0EE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5BE3EF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7B6AB6E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0F4A20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1768D5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637FD2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\text{RGB} \xrightarrow{\text{物理模型}} \text{XYZ} \xrightarrow{\text{感知模型}} \text{CIELAB}</w:t>
      </w:r>
    </w:p>
    <w:p w14:paraId="0A8522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77E06B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0A9B25A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智能映射替代硬截断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设计三层神经网络学习色域边界的最优过渡（图1），避免传统方法的生硬截断</w:t>
      </w:r>
    </w:p>
    <w:p w14:paraId="35FB50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5D902E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7D631DC3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约束式学习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在损失函数中引入色差ΔE上限约束，确保输出色差可控：</w:t>
      </w:r>
    </w:p>
    <w:p w14:paraId="7F197E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1A6F52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2"/>
          <w:szCs w:val="12"/>
          <w:shd w:val="clear" w:fill="FFFFFF"/>
          <w:lang w:val="en-US" w:eastAsia="zh-CN" w:bidi="ar"/>
        </w:rPr>
        <w:t>math</w:t>
      </w:r>
    </w:p>
    <w:p w14:paraId="69B879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01E4B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11FE8E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250F47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6F90972C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00AEDC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\mathcal{L} = \underbrace{\| \text{预测}-\text{目标} \|^2}_{\text{基础损失}} + \lambda \cdot \underbrace{\max(\Delta E - \tau, 0)}_{\text{感知约束}}</w:t>
      </w:r>
    </w:p>
    <w:p w14:paraId="6DE8F8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7A9105E9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2.2 像素校准的联合优化（PixelCalibrator）</w:t>
      </w:r>
    </w:p>
    <w:p w14:paraId="7CE63D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3850F802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逐像素独立矩阵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为每个像素训练3×3变换矩阵$M_{ij}$，实现局部精细化校正：</w:t>
      </w:r>
    </w:p>
    <w:p w14:paraId="74780F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4E485E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2"/>
          <w:szCs w:val="12"/>
          <w:shd w:val="clear" w:fill="FFFFFF"/>
          <w:lang w:val="en-US" w:eastAsia="zh-CN" w:bidi="ar"/>
        </w:rPr>
        <w:t>math</w:t>
      </w:r>
    </w:p>
    <w:p w14:paraId="1F29D9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547133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050150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1B497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3D2E6B7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7F4C30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\begin{bmatrix} R_{out} \\ G_{out} \\ B_{out} \end{bmatrix} = M_{ij} \times \begin{bmatrix} R_{in} \\ G_{in} \\ B_{in} \end{bmatrix}</w:t>
      </w:r>
    </w:p>
    <w:p w14:paraId="2D69E6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 w14:paraId="37A9F5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3798E7A5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多目标损失函数设计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（核心创新）：</w:t>
      </w:r>
    </w:p>
    <w:p w14:paraId="2EDDC3AB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2C380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14" w:afterAutospacing="0" w:line="1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2"/>
          <w:szCs w:val="12"/>
          <w:shd w:val="clear" w:fill="FFFFFF"/>
          <w:lang w:val="en-US" w:eastAsia="zh-CN" w:bidi="ar"/>
        </w:rPr>
        <w:t>math</w:t>
      </w:r>
    </w:p>
    <w:p w14:paraId="489A5C8C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7A0C8D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14" w:afterAutospacing="0" w:line="2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 w14:paraId="388889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6FA5FB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14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 w14:paraId="34CF5D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55699F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14" w:afterAutospacing="0" w:line="20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\mathcal{L} = \underbrace{\alpha \cdot |L-220|}_{\text{亮度误差}} + \underbrace{\beta \cdot \| \text{非主通道信号} \|}_{\text{色纯损失}} + \underbrace{\gamma \cdot |\nabla M|}_{\text{相邻平滑}}</w:t>
      </w:r>
    </w:p>
    <w:p w14:paraId="6827C4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79131853">
      <w:pPr>
        <w:pStyle w:val="6"/>
        <w:keepNext w:val="0"/>
        <w:keepLines w:val="0"/>
        <w:widowControl/>
        <w:suppressLineNumbers w:val="0"/>
        <w:spacing w:before="4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其中：</w:t>
      </w:r>
    </w:p>
    <w:p w14:paraId="1C488E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40" w:beforeAutospacing="0" w:after="0" w:afterAutospacing="1"/>
        <w:ind w:left="0" w:hanging="360"/>
      </w:pPr>
    </w:p>
    <w:p w14:paraId="0697C2D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59BEFDB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第一项强制所有像素亮度趋近目标值220</w:t>
      </w:r>
    </w:p>
    <w:p w14:paraId="3A9D309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49E2582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D2315B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第二项抑制颜色串扰（如显示红色时压制绿/蓝通道）</w:t>
      </w:r>
    </w:p>
    <w:p w14:paraId="56E1EA6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2765C44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21629E90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第三项减少相邻像素矩阵差异以提升均匀性</w:t>
      </w:r>
    </w:p>
    <w:p w14:paraId="5AE9A88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51173F71">
      <w:pPr>
        <w:pStyle w:val="6"/>
        <w:keepNext w:val="0"/>
        <w:keepLines w:val="0"/>
        <w:widowControl/>
        <w:suppressLineNumbers w:val="0"/>
        <w:spacing w:before="137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技术协同点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：二者均采用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可微分优化框架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（PyTorch/MLX），实现从数学建模到工程部署的闭环。</w:t>
      </w:r>
    </w:p>
    <w:p w14:paraId="42C9C0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sz w:val="16"/>
          <w:szCs w:val="16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96CE08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3. 实现效果与验证</w:t>
      </w:r>
    </w:p>
    <w:p w14:paraId="0EBD60EE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3.1 色域转换性能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925"/>
        <w:gridCol w:w="1850"/>
      </w:tblGrid>
      <w:tr w14:paraId="37593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A1FB81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2AD6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072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优势体现</w:t>
            </w:r>
          </w:p>
        </w:tc>
      </w:tr>
      <w:tr w14:paraId="06E8F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125DC2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平均色差ΔE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05E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&lt; 3.0（人眼不可辨阈值）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9D8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感知一致性优于传统方法</w:t>
            </w:r>
          </w:p>
        </w:tc>
      </w:tr>
      <w:tr w14:paraId="0B1DC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BC630F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处理速度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41D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&gt;30,000像素/秒（GPU）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6EF11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支持1080P视频实时处理</w:t>
            </w:r>
          </w:p>
        </w:tc>
      </w:tr>
      <w:tr w14:paraId="62A7B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BC15CE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边界过渡自然度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2A55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平滑无截断伪影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CC39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图2对比示例</w:t>
            </w:r>
          </w:p>
        </w:tc>
      </w:tr>
    </w:tbl>
    <w:p w14:paraId="1901F477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3.2 像素校准效果</w:t>
      </w:r>
    </w:p>
    <w:p w14:paraId="4559C1C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 w14:paraId="131F42EC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精度提升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60FB0CA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</w:p>
    <w:p w14:paraId="59DDEF9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4A0F043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亮度误差：0.01~0.03（目标220）</w:t>
      </w:r>
    </w:p>
    <w:p w14:paraId="46A2BED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4003A5B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8BBA95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色纯度提升：主通道信号强度/杂散信号 &gt; 250（校准前≈23）</w:t>
      </w:r>
    </w:p>
    <w:p w14:paraId="6AA251F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5F05C68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0" w:beforeAutospacing="0" w:after="0" w:afterAutospacing="1"/>
        <w:ind w:left="0" w:hanging="360"/>
      </w:pPr>
    </w:p>
    <w:p w14:paraId="2EF6BBC5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均匀性优化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03D6C7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0" w:beforeAutospacing="0" w:after="0" w:afterAutospacing="1"/>
        <w:ind w:left="0" w:hanging="360"/>
      </w:pPr>
    </w:p>
    <w:p w14:paraId="7E28C60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0" w:hanging="360"/>
      </w:pPr>
    </w:p>
    <w:p w14:paraId="5A105C9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亮度极差缩小至15-20（校准前&gt;100）</w:t>
      </w:r>
    </w:p>
    <w:p w14:paraId="039ED38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0" w:hanging="360"/>
      </w:pPr>
    </w:p>
    <w:p w14:paraId="7FB0CDB5">
      <w:pPr>
        <w:keepNext w:val="0"/>
        <w:keepLines w:val="0"/>
        <w:widowControl/>
        <w:numPr>
          <w:ilvl w:val="1"/>
          <w:numId w:val="10"/>
        </w:numPr>
        <w:suppressLineNumbers w:val="0"/>
        <w:spacing w:before="40" w:beforeAutospacing="0" w:after="0" w:afterAutospacing="1"/>
        <w:ind w:left="0" w:hanging="360"/>
      </w:pPr>
    </w:p>
    <w:p w14:paraId="499F826D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相邻像素差异降低80%（图3热力图对比）</w:t>
      </w:r>
    </w:p>
    <w:p w14:paraId="104D51C6">
      <w:pPr>
        <w:keepNext w:val="0"/>
        <w:keepLines w:val="0"/>
        <w:widowControl/>
        <w:numPr>
          <w:ilvl w:val="1"/>
          <w:numId w:val="10"/>
        </w:numPr>
        <w:suppressLineNumbers w:val="0"/>
        <w:spacing w:before="40" w:beforeAutospacing="0" w:after="0" w:afterAutospacing="1"/>
        <w:ind w:left="0" w:hanging="360"/>
      </w:pPr>
    </w:p>
    <w:p w14:paraId="2D6EF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DEAD3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4. 创新总结与应用价值</w:t>
      </w:r>
    </w:p>
    <w:p w14:paraId="13798684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4.1 方法论突破</w:t>
      </w:r>
    </w:p>
    <w:p w14:paraId="2DA3478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 w14:paraId="5888E77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感知优先准则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：将人眼视觉特性转化为可量化的ΔE约束与CIELAB空间运算</w:t>
      </w:r>
    </w:p>
    <w:p w14:paraId="02DB3A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</w:p>
    <w:p w14:paraId="19911F7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463C15B5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局部精细化建模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1DDB0CF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0CAE6E6B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0" w:hanging="360"/>
      </w:pPr>
    </w:p>
    <w:p w14:paraId="582B8CE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色域转换中自适应边界处理</w:t>
      </w:r>
    </w:p>
    <w:p w14:paraId="1CD5C8F4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0" w:hanging="360"/>
      </w:pPr>
    </w:p>
    <w:p w14:paraId="02FFAC7D">
      <w:pPr>
        <w:keepNext w:val="0"/>
        <w:keepLines w:val="0"/>
        <w:widowControl/>
        <w:numPr>
          <w:ilvl w:val="1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2696EBFE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像素级独立矩阵实现“微手术式”校准</w:t>
      </w:r>
    </w:p>
    <w:p w14:paraId="25429F4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24F158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66CCEA5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多目标协同优化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：通过损失函数权重平衡亮度、纯度、均匀性的冲突需求</w:t>
      </w:r>
    </w:p>
    <w:p w14:paraId="34EAAD7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0" w:beforeAutospacing="0" w:after="0" w:afterAutospacing="1"/>
        <w:ind w:left="0" w:hanging="360"/>
      </w:pPr>
    </w:p>
    <w:p w14:paraId="2E29506A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4.2 应用场景拓展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963"/>
      </w:tblGrid>
      <w:tr w14:paraId="77AF7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706411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领域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882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应用案例</w:t>
            </w:r>
          </w:p>
        </w:tc>
      </w:tr>
      <w:tr w14:paraId="1EE00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4F1E0F1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影视制作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CEE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HDR视频转SDR播出</w:t>
            </w:r>
          </w:p>
        </w:tc>
      </w:tr>
      <w:tr w14:paraId="127C5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368B6E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医疗影像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6E5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跨显示器诊断色彩一致性</w:t>
            </w:r>
          </w:p>
        </w:tc>
      </w:tr>
      <w:tr w14:paraId="7B9ED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8BF3D3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高端显示屏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07FED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手机/VR设备屏幕出厂校准</w:t>
            </w:r>
          </w:p>
        </w:tc>
      </w:tr>
      <w:tr w14:paraId="58F9A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C9382FF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印刷行业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4F8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设备间色彩管理</w:t>
            </w:r>
          </w:p>
        </w:tc>
      </w:tr>
    </w:tbl>
    <w:p w14:paraId="3C8BFB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sz w:val="24"/>
          <w:szCs w:val="24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62DD8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附录（关键图表指引）</w:t>
      </w:r>
    </w:p>
    <w:p w14:paraId="0DE69E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 w14:paraId="79E62930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：色域边界映射对比（传统截断 vs 神经网络平滑过渡）</w:t>
      </w:r>
    </w:p>
    <w:p w14:paraId="1DA87F3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</w:p>
    <w:p w14:paraId="0256CD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6AB40F0A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：BT.2020→sRGB转换效果对比（实拍图）</w:t>
      </w:r>
    </w:p>
    <w:p w14:paraId="07A4E9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618C8A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68D7B6E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：64×64区域校准前后亮度分布热力图</w:t>
      </w:r>
    </w:p>
    <w:p w14:paraId="50676F1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3188A9A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193DAC3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表1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：像素校准定量指标对比表</w:t>
      </w:r>
    </w:p>
    <w:p w14:paraId="02FE56A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0" w:beforeAutospacing="0" w:after="0" w:afterAutospacing="1"/>
        <w:ind w:left="0" w:hanging="360"/>
      </w:pPr>
    </w:p>
    <w:p w14:paraId="5746BE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DBB9A">
      <w:pPr>
        <w:pStyle w:val="6"/>
        <w:keepNext w:val="0"/>
        <w:keepLines w:val="0"/>
        <w:widowControl/>
        <w:suppressLineNumbers w:val="0"/>
        <w:spacing w:before="137" w:beforeAutospacing="0" w:after="137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写作特点说明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128B00B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right="1440" w:hanging="360"/>
      </w:pPr>
    </w:p>
    <w:p w14:paraId="4F9F811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问题驱动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：以"矛盾点-传统局限-创新方案"为主线展开</w:t>
      </w:r>
    </w:p>
    <w:p w14:paraId="76E7AF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right="1440" w:hanging="360"/>
      </w:pPr>
    </w:p>
    <w:p w14:paraId="7C97ABF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6A1D4E1F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弱化技术堆砌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4CFA5BE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7923A00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right="1440" w:hanging="360"/>
      </w:pPr>
    </w:p>
    <w:p w14:paraId="33A4299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用“三层神经网络”替代“MLP”</w:t>
      </w:r>
    </w:p>
    <w:p w14:paraId="7345754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right="1440" w:hanging="360"/>
      </w:pPr>
    </w:p>
    <w:p w14:paraId="3238155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40" w:beforeAutospacing="0" w:after="0" w:afterAutospacing="1"/>
        <w:ind w:left="1440" w:right="1440" w:hanging="360"/>
      </w:pPr>
    </w:p>
    <w:p w14:paraId="5EED8DE6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用“相邻像素平滑约束”替代“梯度惩罚项”</w:t>
      </w:r>
    </w:p>
    <w:p w14:paraId="1872E4D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40" w:beforeAutospacing="0" w:after="0" w:afterAutospacing="1"/>
        <w:ind w:left="1440" w:right="1440" w:hanging="360"/>
      </w:pPr>
    </w:p>
    <w:p w14:paraId="0C6C5B2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48D1191A">
      <w:pPr>
        <w:pStyle w:val="6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突出数学思想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281D6D6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1E4481B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right="1440" w:hanging="360"/>
      </w:pPr>
    </w:p>
    <w:p w14:paraId="7E7311A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重点展示损失函数设计中的多目标权衡</w:t>
      </w:r>
    </w:p>
    <w:p w14:paraId="3F33644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right="1440" w:hanging="360"/>
      </w:pPr>
    </w:p>
    <w:p w14:paraId="78ADBF8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40" w:beforeAutospacing="0" w:after="0" w:afterAutospacing="1"/>
        <w:ind w:left="1440" w:right="1440" w:hanging="360"/>
      </w:pPr>
    </w:p>
    <w:p w14:paraId="1CEFEF5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强调从全局处理到局部优化的范式转变</w:t>
      </w:r>
    </w:p>
    <w:p w14:paraId="060E1E1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40" w:beforeAutospacing="0" w:after="0" w:afterAutospacing="1"/>
        <w:ind w:left="1440" w:right="1440" w:hanging="360"/>
      </w:pPr>
    </w:p>
    <w:p w14:paraId="45BD80F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43A30C8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720" w:right="720"/>
        <w:rPr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效果可视化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：通过对比图表直观验证突破性</w:t>
      </w:r>
    </w:p>
    <w:p w14:paraId="767D268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40" w:beforeAutospacing="0" w:after="0" w:afterAutospacing="1"/>
        <w:ind w:left="1440" w:right="1440" w:hanging="360"/>
      </w:pPr>
    </w:p>
    <w:p w14:paraId="567039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03A7E"/>
    <w:multiLevelType w:val="multilevel"/>
    <w:tmpl w:val="8A903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01CCDC"/>
    <w:multiLevelType w:val="multilevel"/>
    <w:tmpl w:val="9A01C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736E11"/>
    <w:multiLevelType w:val="multilevel"/>
    <w:tmpl w:val="D6736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192C82"/>
    <w:multiLevelType w:val="multilevel"/>
    <w:tmpl w:val="F3192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A8E4C63"/>
    <w:multiLevelType w:val="multilevel"/>
    <w:tmpl w:val="1A8E4C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797A8F0"/>
    <w:multiLevelType w:val="multilevel"/>
    <w:tmpl w:val="2797A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A88B97B"/>
    <w:multiLevelType w:val="multilevel"/>
    <w:tmpl w:val="2A88B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FB46B0B"/>
    <w:multiLevelType w:val="multilevel"/>
    <w:tmpl w:val="2FB46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70C7ED6"/>
    <w:multiLevelType w:val="multilevel"/>
    <w:tmpl w:val="470C7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07AFFA"/>
    <w:multiLevelType w:val="multilevel"/>
    <w:tmpl w:val="6607A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C2311"/>
    <w:rsid w:val="32317519"/>
    <w:rsid w:val="3D6C2311"/>
    <w:rsid w:val="517A013D"/>
    <w:rsid w:val="55840DAC"/>
    <w:rsid w:val="5CA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1823</Words>
  <Characters>2150</Characters>
  <Lines>0</Lines>
  <Paragraphs>0</Paragraphs>
  <TotalTime>70</TotalTime>
  <ScaleCrop>false</ScaleCrop>
  <LinksUpToDate>false</LinksUpToDate>
  <CharactersWithSpaces>2253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2025-05-31T02:28:00Z</dcterms:created>
  <dc:creator>A ripe boy</dc:creator>
  <cp:lastModifiedBy>A ripe boy</cp:lastModifiedBy>
  <dcterms:modified xsi:type="dcterms:W3CDTF">2025-05-31T03:42:16Z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3D0FFC709FE14310B084B5C2CE68DE91_11</vt:lpwstr>
  </property>
  <property fmtid="{D5CDD505-2E9C-101B-9397-08002B2CF9AE}" pid="4" name="KSOTemplateDocerSaveRecord">
    <vt:lpwstr>eyJoZGlkIjoiMmMxYTI0MjhkYzkzNDQ4OTY3MjM1NDhkMzkzNzBhM2MiLCJ1c2VySWQiOiI2NDE2NDM4NjMifQ==</vt:lpwstr>
  </property>
</Properties>
</file>