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F5E0BFA" w:rsidR="00B312DE" w:rsidRDefault="004D4ED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УДК </w:t>
      </w:r>
      <w:r w:rsidR="00FA2D6F" w:rsidRPr="00FA2D6F">
        <w:rPr>
          <w:rFonts w:ascii="Times New Roman" w:eastAsia="Times New Roman" w:hAnsi="Times New Roman" w:cs="Times New Roman"/>
          <w:sz w:val="28"/>
          <w:szCs w:val="28"/>
        </w:rPr>
        <w:t>681.518</w:t>
      </w:r>
    </w:p>
    <w:p w14:paraId="00000002" w14:textId="77777777" w:rsidR="00B312DE" w:rsidRDefault="00B312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3" w14:textId="140512BF" w:rsidR="00B312DE" w:rsidRDefault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44867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</w:p>
    <w:p w14:paraId="00000004" w14:textId="77777777" w:rsidR="00B312DE" w:rsidRDefault="00B312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5" w14:textId="516E9907" w:rsidR="00B312DE" w:rsidRDefault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>. А. </w:t>
      </w:r>
      <w:r>
        <w:rPr>
          <w:rFonts w:ascii="Times New Roman" w:eastAsia="Times New Roman" w:hAnsi="Times New Roman" w:cs="Times New Roman"/>
          <w:sz w:val="28"/>
          <w:szCs w:val="28"/>
        </w:rPr>
        <w:t>Климов</w:t>
      </w:r>
    </w:p>
    <w:p w14:paraId="00000006" w14:textId="77777777" w:rsidR="00B312DE" w:rsidRDefault="00B312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00A7BE1E" w:rsidR="00B312DE" w:rsidRDefault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B1F9A" w:rsidRPr="006B1F9A">
        <w:rPr>
          <w:rFonts w:ascii="Times New Roman" w:eastAsia="Times New Roman" w:hAnsi="Times New Roman" w:cs="Times New Roman"/>
          <w:sz w:val="28"/>
          <w:szCs w:val="28"/>
        </w:rPr>
        <w:t>Новосибирский государственный университет</w:t>
      </w:r>
    </w:p>
    <w:p w14:paraId="1AC46729" w14:textId="3DA51AE0" w:rsidR="00A44867" w:rsidRDefault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B1F9A" w:rsidRPr="006B1F9A">
        <w:rPr>
          <w:rFonts w:ascii="Times New Roman" w:eastAsia="Times New Roman" w:hAnsi="Times New Roman" w:cs="Times New Roman"/>
          <w:sz w:val="28"/>
          <w:szCs w:val="28"/>
        </w:rPr>
        <w:t>Институт химической кинетики и горения им. В. В. Воеводского СО РАН, Новосибирск</w:t>
      </w:r>
    </w:p>
    <w:p w14:paraId="00000008" w14:textId="77777777" w:rsidR="00B312DE" w:rsidRDefault="00B312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65712FE" w14:textId="77777777" w:rsidR="00A44867" w:rsidRPr="00A44867" w:rsidRDefault="00A44867" w:rsidP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Актуальность работы обусловлена необходимостью преодоления ограничений ручного проведения экспериментов по регистрации сигнала и спектра ИК-люминесценции синглетного кислорода. К таким ограничениям относятся длительное время сбора и обработки данных, потребность в постоянном участии исследователя и ограничение проведения экспериментов при быстром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фоторазложении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сенсибилизатора. Автоматизация представляет собой сложную задачу, выходящую за рамки простого написания скриптов, так как требует создания комплексной системы для синхронного управления параметрическим генератором (OPO), монохроматором и измерительными приборами с одновременной обработкой сигналов в реальном времени, что невозможно эффективно реализовать ручными методами.</w:t>
      </w:r>
    </w:p>
    <w:p w14:paraId="758058D6" w14:textId="19B5C3D5" w:rsidR="00A44867" w:rsidRPr="00A44867" w:rsidRDefault="00A44867" w:rsidP="00F219E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44867">
        <w:rPr>
          <w:rFonts w:ascii="Times New Roman" w:eastAsia="Times New Roman" w:hAnsi="Times New Roman" w:cs="Times New Roman"/>
          <w:sz w:val="28"/>
          <w:szCs w:val="28"/>
        </w:rPr>
        <w:t>Целью данной работы является разработка специализированного программного обеспечения для автоматизации цикла измерений спектров ИК-люминесценции синглетного кислорода в зависимости от длины волны возбуждения в рамках конкретной экспериментальной установки, которая включает в себя лазерный источник излучения, кювету с исследуемым веществом, ИК-детектор люминесценции, монохроматор M266-IV (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Solar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Laser Systems)</w:t>
      </w:r>
      <w:r w:rsidR="00DD72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>[1]</w:t>
      </w: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и осциллограф MSOX2024A (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Keysight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>). Лазерное излучение LS-2145-OPO (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Lotis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Tii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>)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 xml:space="preserve"> [</w:t>
      </w:r>
      <w:r w:rsidR="006B1F9A">
        <w:rPr>
          <w:rFonts w:ascii="Times New Roman" w:eastAsia="Times New Roman" w:hAnsi="Times New Roman" w:cs="Times New Roman"/>
          <w:sz w:val="28"/>
          <w:szCs w:val="28"/>
        </w:rPr>
        <w:t>2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>]</w:t>
      </w: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фокусируется на кювету, так чтобы фокусное пятно находилось вне кюветы, а сечение лазерного луча в кювете с исследуемым веществом имело овальную форму. Основная гармоника отделяется с помощью призмы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Пеллин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>-Брока. Энергия лазерного излучения на входе в кювету регистрируется с помощью измерителя энергии QE25SP-S-MT-D0 (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Gentec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-EO) </w:t>
      </w:r>
      <w:r w:rsidR="006B1F9A" w:rsidRPr="006B1F9A">
        <w:rPr>
          <w:rFonts w:ascii="Times New Roman" w:eastAsia="Times New Roman" w:hAnsi="Times New Roman" w:cs="Times New Roman"/>
          <w:sz w:val="28"/>
          <w:szCs w:val="28"/>
        </w:rPr>
        <w:t>[</w:t>
      </w:r>
      <w:r w:rsidR="006B1F9A" w:rsidRPr="004F5884">
        <w:rPr>
          <w:rFonts w:ascii="Times New Roman" w:eastAsia="Times New Roman" w:hAnsi="Times New Roman" w:cs="Times New Roman"/>
          <w:sz w:val="28"/>
          <w:szCs w:val="28"/>
        </w:rPr>
        <w:t>3</w:t>
      </w:r>
      <w:r w:rsidR="006B1F9A" w:rsidRPr="006B1F9A">
        <w:rPr>
          <w:rFonts w:ascii="Times New Roman" w:eastAsia="Times New Roman" w:hAnsi="Times New Roman" w:cs="Times New Roman"/>
          <w:sz w:val="28"/>
          <w:szCs w:val="28"/>
        </w:rPr>
        <w:t xml:space="preserve">] </w:t>
      </w: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и варьируется с помощью набора УФ-ВИД светофильтров. Возбуждаемая лазером ИК-люминесценция фокусируется сферической линзой на входную щель монохроматора и регистрируется ИК-фотодетектором на выходе из монохроматора. В качестве фотодетектора используется широкополосный ИК-фотодетектор на основе фотодиода G12180-250А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InGaAs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F219E5" w:rsidRPr="00F219E5">
        <w:rPr>
          <w:rFonts w:ascii="Times New Roman" w:eastAsia="Times New Roman" w:hAnsi="Times New Roman" w:cs="Times New Roman"/>
          <w:sz w:val="28"/>
          <w:szCs w:val="28"/>
          <w:lang w:val="en-US"/>
        </w:rPr>
        <w:t>Hamamatsu</w:t>
      </w:r>
      <w:r w:rsidR="00F219E5" w:rsidRPr="00F219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219E5" w:rsidRPr="00F219E5">
        <w:rPr>
          <w:rFonts w:ascii="Times New Roman" w:eastAsia="Times New Roman" w:hAnsi="Times New Roman" w:cs="Times New Roman"/>
          <w:sz w:val="28"/>
          <w:szCs w:val="28"/>
          <w:lang w:val="en-US"/>
        </w:rPr>
        <w:t>Photonics</w:t>
      </w:r>
      <w:r w:rsidRPr="00F219E5"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r w:rsidRPr="00A44867">
        <w:rPr>
          <w:rFonts w:ascii="Times New Roman" w:eastAsia="Times New Roman" w:hAnsi="Times New Roman" w:cs="Times New Roman"/>
          <w:sz w:val="28"/>
          <w:szCs w:val="28"/>
        </w:rPr>
        <w:t>Далее сигнал с детектора поступает на осциллограф.</w:t>
      </w:r>
    </w:p>
    <w:p w14:paraId="57DCFD48" w14:textId="77777777" w:rsidR="00A44867" w:rsidRPr="00A44867" w:rsidRDefault="00A44867" w:rsidP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Для достижения этой цели решаются следующие задачи. Создание модулей управления оборудованием (оптическим параметрическим генератором (OPO) для задания длины волны и энергии возбуждения, а также монохроматором). Разработка модуля автоматизированного сбора данных с осциллографа и </w:t>
      </w:r>
      <w:r w:rsidRPr="00A4486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измерителя энергии с их обработкой в реальном времени методом интегрирования сигнала с интерактивным заданием границ интегрирования. Реализация алгоритма аппроксимации сигнала с помощью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биэкспоненциальной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 модели, далее применяется метод нелинейной регрессии для оптимизации коэффициентов и после итеративного подбора подходящих значений следует расчет спектра для результата аппроксимации и сравнение со спектром, рассчитанным для исходного сигнала. Также важной задачей является реализация процедуры автоматической калибровки по данным известного вещества и тестирования работоспособности ПО в условиях реального эксперимента.</w:t>
      </w:r>
    </w:p>
    <w:p w14:paraId="5E6B2307" w14:textId="31AD96A9" w:rsidR="00A44867" w:rsidRDefault="00A44867" w:rsidP="00A448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44867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разработки ожидается создание программного обеспечения, реализующего алгоритм автоматизированного эксперимента. Оно обеспечит повышение скорости и воспроизводимости получения спектров ИК-люминесценции по сравнению с ручным управлением и обработкой. Ключевыми особенностями ПО станут автоматический сбор данных с их обработкой в реальном времени, встроенные процедуры аппроксимации сигналов и </w:t>
      </w:r>
      <w:proofErr w:type="spellStart"/>
      <w:r w:rsidRPr="00A44867">
        <w:rPr>
          <w:rFonts w:ascii="Times New Roman" w:eastAsia="Times New Roman" w:hAnsi="Times New Roman" w:cs="Times New Roman"/>
          <w:sz w:val="28"/>
          <w:szCs w:val="28"/>
        </w:rPr>
        <w:t>автокалибровки</w:t>
      </w:r>
      <w:proofErr w:type="spellEnd"/>
      <w:r w:rsidRPr="00A44867">
        <w:rPr>
          <w:rFonts w:ascii="Times New Roman" w:eastAsia="Times New Roman" w:hAnsi="Times New Roman" w:cs="Times New Roman"/>
          <w:sz w:val="28"/>
          <w:szCs w:val="28"/>
        </w:rPr>
        <w:t>. Апробация ПО подтвердит его практическую значимость путем количественной оценки эффективности по критериям времени выполнения типового эксперимента, стандартного отклонения повторных измерений и удобства для исследователя.</w:t>
      </w:r>
    </w:p>
    <w:p w14:paraId="0000000F" w14:textId="77777777" w:rsidR="00B312DE" w:rsidRDefault="00B312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165BD5DB" w:rsidR="00B312DE" w:rsidRDefault="004D4EDF" w:rsidP="006B1F9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DD72A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 </w:t>
      </w:r>
      <w:r w:rsidR="00DD72AB">
        <w:rPr>
          <w:rFonts w:ascii="Times New Roman" w:eastAsia="Times New Roman" w:hAnsi="Times New Roman" w:cs="Times New Roman"/>
          <w:sz w:val="28"/>
          <w:szCs w:val="28"/>
        </w:rPr>
        <w:t>Официальный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DD72AB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Solar Laser Systems</w:t>
      </w:r>
      <w:r w:rsidRPr="00DD72A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>https://solar-laser.com/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06.02.202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0000012" w14:textId="0209D4F0" w:rsidR="00B312DE" w:rsidRDefault="006B1F9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DD72AB">
        <w:rPr>
          <w:rFonts w:ascii="Times New Roman" w:eastAsia="Times New Roman" w:hAnsi="Times New Roman" w:cs="Times New Roman"/>
          <w:sz w:val="28"/>
          <w:szCs w:val="28"/>
        </w:rPr>
        <w:t>Официальный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D72AB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DD72AB" w:rsidRPr="00A44867">
        <w:rPr>
          <w:rFonts w:ascii="Times New Roman" w:eastAsia="Times New Roman" w:hAnsi="Times New Roman" w:cs="Times New Roman"/>
          <w:sz w:val="28"/>
          <w:szCs w:val="28"/>
        </w:rPr>
        <w:t>Lotis</w:t>
      </w:r>
      <w:proofErr w:type="spellEnd"/>
      <w:r w:rsidR="00DD72AB" w:rsidRPr="00A4486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DD72AB" w:rsidRPr="00A44867">
        <w:rPr>
          <w:rFonts w:ascii="Times New Roman" w:eastAsia="Times New Roman" w:hAnsi="Times New Roman" w:cs="Times New Roman"/>
          <w:sz w:val="28"/>
          <w:szCs w:val="28"/>
        </w:rPr>
        <w:t>Tii</w:t>
      </w:r>
      <w:proofErr w:type="spellEnd"/>
      <w:r w:rsidR="004D4EDF">
        <w:rPr>
          <w:rFonts w:ascii="Times New Roman" w:eastAsia="Times New Roman" w:hAnsi="Times New Roman" w:cs="Times New Roman"/>
          <w:sz w:val="28"/>
          <w:szCs w:val="28"/>
        </w:rPr>
        <w:t xml:space="preserve">. URL: </w:t>
      </w:r>
      <w:r w:rsidR="00DD72AB" w:rsidRPr="00DD72AB">
        <w:rPr>
          <w:rFonts w:ascii="Times New Roman" w:eastAsia="Times New Roman" w:hAnsi="Times New Roman" w:cs="Times New Roman"/>
          <w:sz w:val="28"/>
          <w:szCs w:val="28"/>
        </w:rPr>
        <w:t xml:space="preserve">https://www.lotis-tii.com/ 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>(</w:t>
      </w:r>
      <w:r w:rsidR="00F219E5">
        <w:rPr>
          <w:rFonts w:ascii="Times New Roman" w:eastAsia="Times New Roman" w:hAnsi="Times New Roman" w:cs="Times New Roman"/>
          <w:sz w:val="28"/>
          <w:szCs w:val="28"/>
        </w:rPr>
        <w:t>даты обращения с 01.10.2025 по 06.02.2026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6BA6A47" w14:textId="488BFC69" w:rsidR="004F5884" w:rsidRDefault="006B1F9A" w:rsidP="004F58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6B5EA9">
        <w:rPr>
          <w:rFonts w:ascii="Times New Roman" w:eastAsia="Times New Roman" w:hAnsi="Times New Roman" w:cs="Times New Roman"/>
          <w:sz w:val="28"/>
          <w:szCs w:val="28"/>
        </w:rPr>
        <w:t>Официальный</w:t>
      </w:r>
      <w:r w:rsidR="006B5EA9" w:rsidRPr="00DD72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B5EA9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="006B5EA9" w:rsidRPr="00DD72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6B5EA9" w:rsidRPr="00A44867">
        <w:rPr>
          <w:rFonts w:ascii="Times New Roman" w:eastAsia="Times New Roman" w:hAnsi="Times New Roman" w:cs="Times New Roman"/>
          <w:sz w:val="28"/>
          <w:szCs w:val="28"/>
        </w:rPr>
        <w:t>Gentec</w:t>
      </w:r>
      <w:proofErr w:type="spellEnd"/>
      <w:r w:rsidR="006B5EA9" w:rsidRPr="00A44867">
        <w:rPr>
          <w:rFonts w:ascii="Times New Roman" w:eastAsia="Times New Roman" w:hAnsi="Times New Roman" w:cs="Times New Roman"/>
          <w:sz w:val="28"/>
          <w:szCs w:val="28"/>
        </w:rPr>
        <w:t>-EO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 xml:space="preserve">. URL: </w:t>
      </w:r>
      <w:r w:rsidR="006B5EA9" w:rsidRPr="006B5EA9">
        <w:rPr>
          <w:rFonts w:ascii="Times New Roman" w:eastAsia="Times New Roman" w:hAnsi="Times New Roman" w:cs="Times New Roman"/>
          <w:sz w:val="28"/>
          <w:szCs w:val="28"/>
        </w:rPr>
        <w:t>https://www.gentec-eo.com/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F219E5">
        <w:rPr>
          <w:rFonts w:ascii="Times New Roman" w:eastAsia="Times New Roman" w:hAnsi="Times New Roman" w:cs="Times New Roman"/>
          <w:sz w:val="28"/>
          <w:szCs w:val="28"/>
        </w:rPr>
        <w:t>даты обращения с 01.10.2025 по 06.02.2026</w:t>
      </w:r>
      <w:r w:rsidR="004D4EDF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64B88890" w14:textId="77777777" w:rsidR="006B1F9A" w:rsidRDefault="006B1F9A" w:rsidP="004F58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06FD4508" w:rsidR="00B312DE" w:rsidRDefault="004D4ED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 — к</w:t>
      </w:r>
      <w:r w:rsidR="00A44867" w:rsidRPr="00A44867">
        <w:rPr>
          <w:rFonts w:ascii="Times New Roman" w:eastAsia="Times New Roman" w:hAnsi="Times New Roman" w:cs="Times New Roman"/>
          <w:sz w:val="28"/>
          <w:szCs w:val="28"/>
        </w:rPr>
        <w:t>анд. физ.-мат. наук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FA2D6F">
        <w:rPr>
          <w:rFonts w:ascii="Times New Roman" w:eastAsia="Times New Roman" w:hAnsi="Times New Roman" w:cs="Times New Roman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sz w:val="28"/>
          <w:szCs w:val="28"/>
        </w:rPr>
        <w:t>. </w:t>
      </w:r>
      <w:r w:rsidR="00FA2D6F">
        <w:rPr>
          <w:rFonts w:ascii="Times New Roman" w:eastAsia="Times New Roman" w:hAnsi="Times New Roman" w:cs="Times New Roman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sz w:val="28"/>
          <w:szCs w:val="28"/>
        </w:rPr>
        <w:t>. </w:t>
      </w:r>
      <w:r w:rsidR="00FA2D6F">
        <w:rPr>
          <w:rFonts w:ascii="Times New Roman" w:eastAsia="Times New Roman" w:hAnsi="Times New Roman" w:cs="Times New Roman"/>
          <w:sz w:val="28"/>
          <w:szCs w:val="28"/>
        </w:rPr>
        <w:t>Ершов</w:t>
      </w:r>
    </w:p>
    <w:sectPr w:rsidR="00B312DE">
      <w:pgSz w:w="11906" w:h="16838"/>
      <w:pgMar w:top="1134" w:right="1134" w:bottom="1134" w:left="113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F6C5AE6-7F19-4598-93DF-CA6DDA6BFF2E}"/>
    <w:embedBold r:id="rId2" w:fontKey="{04F9E71F-EBB3-41D1-98FF-28A4D7B840D7}"/>
    <w:embedBoldItalic r:id="rId3" w:fontKey="{BD4792C8-C4A4-4CC1-A513-762C2434B6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B49D6F9-2092-49C8-8E98-67BC7FB8336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2DE"/>
    <w:rsid w:val="0033785B"/>
    <w:rsid w:val="004D4EDF"/>
    <w:rsid w:val="004F5884"/>
    <w:rsid w:val="006B1F9A"/>
    <w:rsid w:val="006B5EA9"/>
    <w:rsid w:val="00A44867"/>
    <w:rsid w:val="00AC730F"/>
    <w:rsid w:val="00B312DE"/>
    <w:rsid w:val="00DD72AB"/>
    <w:rsid w:val="00F219E5"/>
    <w:rsid w:val="00FA2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B24E0"/>
  <w15:docId w15:val="{FE0A0C6A-8B40-4BFE-929B-2743124F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rFonts w:ascii="Cambria" w:eastAsia="Cambria" w:hAnsi="Cambria" w:cs="Cambria"/>
      <w:color w:val="365F91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" w:after="0"/>
      <w:outlineLvl w:val="1"/>
    </w:pPr>
    <w:rPr>
      <w:rFonts w:ascii="Cambria" w:eastAsia="Cambria" w:hAnsi="Cambria" w:cs="Cambria"/>
      <w:color w:val="365F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" w:after="0"/>
      <w:outlineLvl w:val="2"/>
    </w:pPr>
    <w:rPr>
      <w:rFonts w:ascii="Cambria" w:eastAsia="Cambria" w:hAnsi="Cambria" w:cs="Cambria"/>
      <w:color w:val="243F6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a4">
    <w:name w:val="Subtitle"/>
    <w:basedOn w:val="a"/>
    <w:next w:val="a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2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9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29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43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Bogdan Klimov</cp:lastModifiedBy>
  <cp:revision>18</cp:revision>
  <dcterms:created xsi:type="dcterms:W3CDTF">2026-02-17T08:56:00Z</dcterms:created>
  <dcterms:modified xsi:type="dcterms:W3CDTF">2026-02-17T09:52:00Z</dcterms:modified>
</cp:coreProperties>
</file>