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34"/>
        </w:rPr>
        <w:t>Platform for Protecting Water Chlorination Systems from Cyber Attacks</w:t>
      </w:r>
    </w:p>
    <w:p>
      <w:pPr>
        <w:spacing w:after="200"/>
        <w:jc w:val="center"/>
      </w:pPr>
      <w:r>
        <w:rPr>
          <w:i/>
          <w:color w:val="444444"/>
          <w:sz w:val="22"/>
        </w:rPr>
        <w:t>Phase 1 / MVP Progress Report — A Process-Aware OT/ICS Anomaly-Detection and Monitoring System</w:t>
      </w:r>
    </w:p>
    <w:tbl>
      <w:tblPr>
        <w:tblStyle w:val="TableGrid"/>
        <w:tblW w:type="auto" w:w="0"/>
        <w:jc w:val="center"/>
        <w:tblLook w:firstColumn="1" w:firstRow="1" w:lastColumn="0" w:lastRow="0" w:noHBand="0" w:noVBand="1" w:val="04A0"/>
        <w:tblCellMar>
          <w:top w:w="14" w:type="dxa"/>
          <w:bottom w:w="14" w:type="dxa"/>
          <w:left w:w="60" w:type="dxa"/>
          <w:right w:w="60" w:type="dxa"/>
        </w:tblCellMar>
      </w:tblPr>
      <w:tblGrid>
        <w:gridCol w:w="5040"/>
        <w:gridCol w:w="5040"/>
      </w:tblGrid>
      <w:tr>
        <w:tc>
          <w:tcPr>
            <w:tcW w:type="dxa" w:w="2448"/>
            <w:shd w:val="clear" w:fill="1F3A5F"/>
          </w:tcPr>
          <w:p>
            <w:pPr>
              <w:spacing w:after="40" w:before="40"/>
            </w:pPr>
            <w:r>
              <w:rPr>
                <w:b/>
                <w:color w:val="FFFFFF"/>
                <w:sz w:val="19"/>
              </w:rPr>
              <w:t>Field</w:t>
            </w:r>
          </w:p>
        </w:tc>
        <w:tc>
          <w:tcPr>
            <w:tcW w:type="dxa" w:w="6624"/>
            <w:shd w:val="clear" w:fill="1F3A5F"/>
          </w:tcPr>
          <w:p>
            <w:pPr>
              <w:spacing w:after="40" w:before="40"/>
            </w:pPr>
            <w:r>
              <w:rPr>
                <w:b/>
                <w:color w:val="FFFFFF"/>
                <w:sz w:val="19"/>
              </w:rPr>
              <w:t>Value</w:t>
            </w:r>
          </w:p>
        </w:tc>
      </w:tr>
      <w:tr>
        <w:tc>
          <w:tcPr>
            <w:tcW w:type="dxa" w:w="2448"/>
          </w:tcPr>
          <w:p>
            <w:pPr>
              <w:spacing w:after="40" w:before="40"/>
            </w:pPr>
            <w:r>
              <w:rPr>
                <w:sz w:val="19"/>
              </w:rPr>
              <w:t>Student Name(s)</w:t>
            </w:r>
          </w:p>
        </w:tc>
        <w:tc>
          <w:tcPr>
            <w:tcW w:type="dxa" w:w="6624"/>
          </w:tcPr>
          <w:p>
            <w:pPr>
              <w:spacing w:after="40" w:before="40"/>
            </w:pPr>
            <w:r>
              <w:rPr>
                <w:sz w:val="19"/>
              </w:rPr>
              <w:t>Marko; Mahmoud; Kirollos; Kerolos Yousef (team graduation project)</w:t>
            </w:r>
          </w:p>
        </w:tc>
      </w:tr>
      <w:tr>
        <w:tc>
          <w:tcPr>
            <w:tcW w:type="dxa" w:w="2448"/>
            <w:shd w:val="clear" w:fill="F2F5F9"/>
          </w:tcPr>
          <w:p>
            <w:pPr>
              <w:spacing w:after="40" w:before="40"/>
            </w:pPr>
            <w:r>
              <w:rPr>
                <w:sz w:val="19"/>
              </w:rPr>
              <w:t>Student ID</w:t>
            </w:r>
          </w:p>
        </w:tc>
        <w:tc>
          <w:tcPr>
            <w:tcW w:type="dxa" w:w="6624"/>
            <w:shd w:val="clear" w:fill="F2F5F9"/>
          </w:tcPr>
          <w:p>
            <w:pPr>
              <w:spacing w:after="40" w:before="40"/>
            </w:pPr>
            <w:r>
              <w:rPr>
                <w:sz w:val="19"/>
              </w:rPr>
              <w:t>Not recorded in the repository</w:t>
            </w:r>
          </w:p>
        </w:tc>
      </w:tr>
      <w:tr>
        <w:tc>
          <w:tcPr>
            <w:tcW w:type="dxa" w:w="2448"/>
          </w:tcPr>
          <w:p>
            <w:pPr>
              <w:spacing w:after="40" w:before="40"/>
            </w:pPr>
            <w:r>
              <w:rPr>
                <w:sz w:val="19"/>
              </w:rPr>
              <w:t>Program</w:t>
            </w:r>
          </w:p>
        </w:tc>
        <w:tc>
          <w:tcPr>
            <w:tcW w:type="dxa" w:w="6624"/>
          </w:tcPr>
          <w:p>
            <w:pPr>
              <w:spacing w:after="40" w:before="40"/>
            </w:pPr>
            <w:r>
              <w:rPr>
                <w:sz w:val="19"/>
              </w:rPr>
              <w:t>M.S. in Computer Science</w:t>
            </w:r>
          </w:p>
        </w:tc>
      </w:tr>
      <w:tr>
        <w:tc>
          <w:tcPr>
            <w:tcW w:type="dxa" w:w="2448"/>
            <w:shd w:val="clear" w:fill="F2F5F9"/>
          </w:tcPr>
          <w:p>
            <w:pPr>
              <w:spacing w:after="40" w:before="40"/>
            </w:pPr>
            <w:r>
              <w:rPr>
                <w:sz w:val="19"/>
              </w:rPr>
              <w:t>Supervisor / Advisor</w:t>
            </w:r>
          </w:p>
        </w:tc>
        <w:tc>
          <w:tcPr>
            <w:tcW w:type="dxa" w:w="6624"/>
            <w:shd w:val="clear" w:fill="F2F5F9"/>
          </w:tcPr>
          <w:p>
            <w:pPr>
              <w:spacing w:after="40" w:before="40"/>
            </w:pPr>
            <w:r>
              <w:rPr>
                <w:sz w:val="19"/>
              </w:rPr>
              <w:t>Dr. Zulkernine</w:t>
            </w:r>
          </w:p>
        </w:tc>
      </w:tr>
      <w:tr>
        <w:tc>
          <w:tcPr>
            <w:tcW w:type="dxa" w:w="2448"/>
          </w:tcPr>
          <w:p>
            <w:pPr>
              <w:spacing w:after="40" w:before="40"/>
            </w:pPr>
            <w:r>
              <w:rPr>
                <w:sz w:val="19"/>
              </w:rPr>
              <w:t>Co-Advisor</w:t>
            </w:r>
          </w:p>
        </w:tc>
        <w:tc>
          <w:tcPr>
            <w:tcW w:type="dxa" w:w="6624"/>
          </w:tcPr>
          <w:p>
            <w:pPr>
              <w:spacing w:after="40" w:before="40"/>
            </w:pPr>
            <w:r>
              <w:rPr>
                <w:sz w:val="19"/>
              </w:rPr>
              <w:t>None recorded</w:t>
            </w:r>
          </w:p>
        </w:tc>
      </w:tr>
      <w:tr>
        <w:tc>
          <w:tcPr>
            <w:tcW w:type="dxa" w:w="2448"/>
            <w:shd w:val="clear" w:fill="F2F5F9"/>
          </w:tcPr>
          <w:p>
            <w:pPr>
              <w:spacing w:after="40" w:before="40"/>
            </w:pPr>
            <w:r>
              <w:rPr>
                <w:sz w:val="19"/>
              </w:rPr>
              <w:t>Date Submitted</w:t>
            </w:r>
          </w:p>
        </w:tc>
        <w:tc>
          <w:tcPr>
            <w:tcW w:type="dxa" w:w="6624"/>
            <w:shd w:val="clear" w:fill="F2F5F9"/>
          </w:tcPr>
          <w:p>
            <w:pPr>
              <w:spacing w:after="40" w:before="40"/>
            </w:pPr>
            <w:r>
              <w:rPr>
                <w:sz w:val="19"/>
              </w:rPr>
              <w:t>September 11, 2026</w:t>
            </w:r>
          </w:p>
        </w:tc>
      </w:tr>
      <w:tr>
        <w:tc>
          <w:tcPr>
            <w:tcW w:type="dxa" w:w="2448"/>
          </w:tcPr>
          <w:p>
            <w:pPr>
              <w:spacing w:after="40" w:before="40"/>
            </w:pPr>
            <w:r>
              <w:rPr>
                <w:sz w:val="19"/>
              </w:rPr>
              <w:t>Track / Domain</w:t>
            </w:r>
          </w:p>
        </w:tc>
        <w:tc>
          <w:tcPr>
            <w:tcW w:type="dxa" w:w="6624"/>
          </w:tcPr>
          <w:p>
            <w:pPr>
              <w:spacing w:after="40" w:before="40"/>
            </w:pPr>
            <w:r>
              <w:rPr>
                <w:sz w:val="19"/>
              </w:rPr>
              <w:t>OT / ICS Security</w:t>
            </w:r>
          </w:p>
        </w:tc>
      </w:tr>
      <w:tr>
        <w:tc>
          <w:tcPr>
            <w:tcW w:type="dxa" w:w="2448"/>
            <w:shd w:val="clear" w:fill="F2F5F9"/>
          </w:tcPr>
          <w:p>
            <w:pPr>
              <w:spacing w:after="40" w:before="40"/>
            </w:pPr>
            <w:r>
              <w:rPr>
                <w:sz w:val="19"/>
              </w:rPr>
              <w:t>Repository HEAD</w:t>
            </w:r>
          </w:p>
        </w:tc>
        <w:tc>
          <w:tcPr>
            <w:tcW w:type="dxa" w:w="6624"/>
            <w:shd w:val="clear" w:fill="F2F5F9"/>
          </w:tcPr>
          <w:p>
            <w:pPr>
              <w:spacing w:after="40" w:before="40"/>
            </w:pPr>
            <w:r>
              <w:rPr>
                <w:sz w:val="19"/>
              </w:rPr>
              <w:t>e57a18d (branch docs/root-readme)</w:t>
            </w:r>
          </w:p>
        </w:tc>
      </w:tr>
    </w:tbl>
    <w:p>
      <w:pPr>
        <w:spacing w:after="0" w:before="0"/>
      </w:pPr>
    </w:p>
    <w:p>
      <w:pPr>
        <w:spacing w:after="160" w:before="0"/>
      </w:pPr>
      <w:r>
        <w:rPr>
          <w:b w:val="0"/>
          <w:i/>
          <w:color w:val="666666"/>
          <w:sz w:val="16"/>
        </w:rPr>
        <w:t>Student names are taken from the project proposal; student IDs are not recorded in the repository and are left unasserted rather than invented.</w:t>
      </w:r>
    </w:p>
    <w:p>
      <w:pPr>
        <w:pStyle w:val="Heading1"/>
      </w:pPr>
      <w:r>
        <w:t>1. Abstract</w:t>
      </w:r>
    </w:p>
    <w:p>
      <w:pPr>
        <w:spacing w:after="60" w:before="0"/>
        <w:jc w:val="both"/>
      </w:pPr>
      <w:r>
        <w:rPr>
          <w:b w:val="0"/>
          <w:i w:val="0"/>
        </w:rPr>
        <w:t>Water-chlorination plants are governed by programmable logic controllers (PLCs) that must hold dosing inside a narrow safe band; once-isolated, these operational-technology (OT) systems are now networked and expose safety-critical process behaviour to cyber attack. Conventional IT security inspects packets and misses attacks that look like valid control traffic, motivating process-aware detection that reasons about the physics of the plant. This report documents the Phase 1 minimum viable product (MVP): an end-to-end, locally running monitoring system that productionizes a previously selected and trained TranAD transformer anomaly detector for the Secure Water Treatment (SWaT) testbed dataset. The delivered pipeline replays real SWaT telemetry, maintains a rolling 30-sample window of 45 process variables, scores each window with TranAD behind a thin stateless FastAPI boundary, converts detections into deduplicated lifecycle-managed alerts, and surfaces them through monitoring endpoints and an operator dashboard. The system reuses the immutable model artifacts unchanged. Under an honest point-wise protocol at the shipped threshold it achieves precision 0.7822, recall 0.7821, F1 0.7822, and a 3.01% false-positive rate, with threshold-free ROC-AUC 0.9429 and PR-AUC 0.8516; 286 automated tests pass, and a real normal–attack–recovery lifecycle is demonstrated over a live HTTP boundary. The contribution of this phase is the engineered, reproducible, and honestly evaluated integration of a validated detector into a working security product. Cloud deployment, containerization, CI/CD security gates, and alert persistence remain as documented future work.</w:t>
      </w:r>
    </w:p>
    <w:p>
      <w:pPr>
        <w:pStyle w:val="Heading1"/>
      </w:pPr>
      <w:r>
        <w:t>2. Introduction / Background</w:t>
      </w:r>
    </w:p>
    <w:p>
      <w:pPr>
        <w:spacing w:after="60" w:before="0"/>
        <w:jc w:val="both"/>
      </w:pPr>
      <w:r>
        <w:rPr>
          <w:b w:val="0"/>
          <w:i w:val="0"/>
        </w:rPr>
        <w:t>Operational-technology (OT) and industrial control systems (ICS) run the physical processes behind critical infrastructure. In a water-treatment plant, PLCs read sensors and actuate pumps and valves to keep chlorine dosing within a safe range — too little leaves water unsafe to drink, too much makes it hazardous. These systems were historically air-gapped and engineered for reliability and availability, not for adversaries; remote monitoring and cloud integration have since connected them to external networks, yet they still frequently lack IT-grade authentication, encryption, and segmentation.</w:t>
      </w:r>
    </w:p>
    <w:p>
      <w:pPr>
        <w:spacing w:after="60" w:before="0"/>
        <w:jc w:val="both"/>
      </w:pPr>
      <w:r>
        <w:rPr>
          <w:b w:val="0"/>
          <w:i w:val="0"/>
        </w:rPr>
        <w:t>Process-aware detection matters because the most dangerous ICS attacks are not malformed packets but semantically valid commands with malicious physical intent: altering a dosing setpoint, spoofing a sensor so operators see normal while the plant drifts unsafe, injecting unauthorized commands, or disrupting the process. Each can unfold quietly without tripping a conventional network alarm, and the consequence is cyber-physical — a control-layer intrusion can become a public-health emergency. Signature- and perimeter-based IT tooling is therefore necessary but not sufficient: it does not model whether the plant's measured behaviour is physically plausible.</w:t>
      </w:r>
    </w:p>
    <w:p>
      <w:pPr>
        <w:spacing w:after="60" w:before="0"/>
        <w:jc w:val="both"/>
      </w:pPr>
      <w:r>
        <w:rPr>
          <w:b w:val="0"/>
          <w:i w:val="0"/>
        </w:rPr>
        <w:t>This project takes a process-aware stance, modelling the plant's multivariate telemetry and flagging states the model cannot reconstruct. Concretely, this Phase 1 report delivers a working local MVP that wraps a transformer-based TranAD anomaly detector — already selected and trained on the SWaT testbed during an earlier research phase — inside an engineered, testable, operator-facing monitoring system, and evaluates it under a deployment-honest protocol rather than a headline figure.</w:t>
      </w:r>
    </w:p>
    <w:p>
      <w:pPr>
        <w:pStyle w:val="Heading1"/>
      </w:pPr>
      <w:r>
        <w:t>3. Problem Statement</w:t>
      </w:r>
    </w:p>
    <w:p>
      <w:pPr>
        <w:spacing w:after="60" w:before="0"/>
        <w:jc w:val="both"/>
      </w:pPr>
      <w:r>
        <w:rPr>
          <w:b/>
          <w:i w:val="0"/>
        </w:rPr>
        <w:t>How can anomalous, cyber-induced changes in multivariate water-treatment process telemetry be detected and surfaced to an operator through a usable monitoring system?</w:t>
      </w:r>
    </w:p>
    <w:p>
      <w:pPr>
        <w:spacing w:after="60" w:before="0"/>
        <w:jc w:val="both"/>
      </w:pPr>
      <w:r>
        <w:rPr>
          <w:b w:val="0"/>
          <w:i w:val="0"/>
        </w:rPr>
        <w:t>Sub-problems addressed this phase: (i) reproduce the preprocessing/scoring contract byte-for-byte so the pipeline never silently changes the quantity the threshold was calibrated against; (ii) turn a detector that scores one fixed-size window into a streaming system that buffers live telemetry correctly; (iii) convert per-window decisions into a small number of deduplicated incidents rather than one alert per window; and (iv) report detection quality under a protocol that reflects deployment. The problem is bounded to testbed data and defensive monitoring; it does not include controlling a real plant.</w:t>
      </w:r>
    </w:p>
    <w:p>
      <w:pPr>
        <w:pStyle w:val="Heading1"/>
      </w:pPr>
      <w:r>
        <w:t>4. Research Objectives</w:t>
      </w:r>
    </w:p>
    <w:p>
      <w:pPr>
        <w:spacing w:after="80" w:before="0"/>
      </w:pPr>
      <w:r>
        <w:rPr>
          <w:b w:val="0"/>
          <w:i w:val="0"/>
        </w:rPr>
        <w:t>The objectives below are paraphrased from the project proposal and the project's research question (“can a PLC-aware anomaly-detection system reliably identify malicious setpoint changes or abnormal process behaviour using process data?”). Each is annotated with its current status.</w:t>
      </w:r>
    </w:p>
    <w:tbl>
      <w:tblPr>
        <w:tblStyle w:val="TableGrid"/>
        <w:tblW w:type="auto" w:w="0"/>
        <w:jc w:val="center"/>
        <w:tblLook w:firstColumn="1" w:firstRow="1" w:lastColumn="0" w:lastRow="0" w:noHBand="0" w:noVBand="1" w:val="04A0"/>
        <w:tblCellMar>
          <w:top w:w="14" w:type="dxa"/>
          <w:bottom w:w="14" w:type="dxa"/>
          <w:left w:w="60" w:type="dxa"/>
          <w:right w:w="60" w:type="dxa"/>
        </w:tblCellMar>
      </w:tblPr>
      <w:tblGrid>
        <w:gridCol w:w="2520"/>
        <w:gridCol w:w="2520"/>
        <w:gridCol w:w="2520"/>
        <w:gridCol w:w="2520"/>
      </w:tblGrid>
      <w:tr>
        <w:tc>
          <w:tcPr>
            <w:tcW w:type="dxa" w:w="432"/>
            <w:shd w:val="clear" w:fill="1F3A5F"/>
          </w:tcPr>
          <w:p>
            <w:pPr>
              <w:spacing w:after="40" w:before="40"/>
            </w:pPr>
            <w:r>
              <w:rPr>
                <w:b/>
                <w:color w:val="FFFFFF"/>
                <w:sz w:val="17"/>
              </w:rPr>
              <w:t>#</w:t>
            </w:r>
          </w:p>
        </w:tc>
        <w:tc>
          <w:tcPr>
            <w:tcW w:type="dxa" w:w="3312"/>
            <w:shd w:val="clear" w:fill="1F3A5F"/>
          </w:tcPr>
          <w:p>
            <w:pPr>
              <w:spacing w:after="40" w:before="40"/>
            </w:pPr>
            <w:r>
              <w:rPr>
                <w:b/>
                <w:color w:val="FFFFFF"/>
                <w:sz w:val="17"/>
              </w:rPr>
              <w:t>Objective (from proposal)</w:t>
            </w:r>
          </w:p>
        </w:tc>
        <w:tc>
          <w:tcPr>
            <w:tcW w:type="dxa" w:w="1440"/>
            <w:shd w:val="clear" w:fill="1F3A5F"/>
          </w:tcPr>
          <w:p>
            <w:pPr>
              <w:spacing w:after="40" w:before="40"/>
            </w:pPr>
            <w:r>
              <w:rPr>
                <w:b/>
                <w:color w:val="FFFFFF"/>
                <w:sz w:val="17"/>
              </w:rPr>
              <w:t>Status</w:t>
            </w:r>
          </w:p>
        </w:tc>
        <w:tc>
          <w:tcPr>
            <w:tcW w:type="dxa" w:w="3888"/>
            <w:shd w:val="clear" w:fill="1F3A5F"/>
          </w:tcPr>
          <w:p>
            <w:pPr>
              <w:spacing w:after="40" w:before="40"/>
            </w:pPr>
            <w:r>
              <w:rPr>
                <w:b/>
                <w:color w:val="FFFFFF"/>
                <w:sz w:val="17"/>
              </w:rPr>
              <w:t>Evidence in current work</w:t>
            </w:r>
          </w:p>
        </w:tc>
      </w:tr>
      <w:tr>
        <w:tc>
          <w:tcPr>
            <w:tcW w:type="dxa" w:w="432"/>
          </w:tcPr>
          <w:p>
            <w:pPr>
              <w:spacing w:after="40" w:before="40"/>
            </w:pPr>
            <w:r>
              <w:rPr>
                <w:sz w:val="17"/>
              </w:rPr>
              <w:t>O1</w:t>
            </w:r>
          </w:p>
        </w:tc>
        <w:tc>
          <w:tcPr>
            <w:tcW w:type="dxa" w:w="3312"/>
          </w:tcPr>
          <w:p>
            <w:pPr>
              <w:spacing w:after="40" w:before="40"/>
            </w:pPr>
            <w:r>
              <w:rPr>
                <w:sz w:val="17"/>
              </w:rPr>
              <w:t>Analyze the SWaT dataset (normal behaviour and labelled attack scenarios).</w:t>
            </w:r>
          </w:p>
        </w:tc>
        <w:tc>
          <w:tcPr>
            <w:tcW w:type="dxa" w:w="1440"/>
          </w:tcPr>
          <w:p>
            <w:pPr>
              <w:spacing w:after="40" w:before="40"/>
            </w:pPr>
            <w:r>
              <w:rPr>
                <w:sz w:val="17"/>
              </w:rPr>
              <w:t>ACHIEVED</w:t>
            </w:r>
          </w:p>
        </w:tc>
        <w:tc>
          <w:tcPr>
            <w:tcW w:type="dxa" w:w="3888"/>
          </w:tcPr>
          <w:p>
            <w:pPr>
              <w:spacing w:after="40" w:before="40"/>
            </w:pPr>
            <w:r>
              <w:rPr>
                <w:sz w:val="17"/>
              </w:rPr>
              <w:t>Verified provenance record; clean Attack_v0 reconstruction (449,919 rows, 12.14% attacks, 35 label segments).</w:t>
            </w:r>
          </w:p>
        </w:tc>
      </w:tr>
      <w:tr>
        <w:tc>
          <w:tcPr>
            <w:tcW w:type="dxa" w:w="432"/>
            <w:shd w:val="clear" w:fill="F2F5F9"/>
          </w:tcPr>
          <w:p>
            <w:pPr>
              <w:spacing w:after="40" w:before="40"/>
            </w:pPr>
            <w:r>
              <w:rPr>
                <w:sz w:val="17"/>
              </w:rPr>
              <w:t>O2</w:t>
            </w:r>
          </w:p>
        </w:tc>
        <w:tc>
          <w:tcPr>
            <w:tcW w:type="dxa" w:w="3312"/>
            <w:shd w:val="clear" w:fill="F2F5F9"/>
          </w:tcPr>
          <w:p>
            <w:pPr>
              <w:spacing w:after="40" w:before="40"/>
            </w:pPr>
            <w:r>
              <w:rPr>
                <w:sz w:val="17"/>
              </w:rPr>
              <w:t>Build a process-aware anomaly-detection model with documented F1, detection rate, and FPR.</w:t>
            </w:r>
          </w:p>
        </w:tc>
        <w:tc>
          <w:tcPr>
            <w:tcW w:type="dxa" w:w="1440"/>
            <w:shd w:val="clear" w:fill="F2F5F9"/>
          </w:tcPr>
          <w:p>
            <w:pPr>
              <w:spacing w:after="40" w:before="40"/>
            </w:pPr>
            <w:r>
              <w:rPr>
                <w:sz w:val="17"/>
              </w:rPr>
              <w:t>ACHIEVED</w:t>
            </w:r>
          </w:p>
        </w:tc>
        <w:tc>
          <w:tcPr>
            <w:tcW w:type="dxa" w:w="3888"/>
            <w:shd w:val="clear" w:fill="F2F5F9"/>
          </w:tcPr>
          <w:p>
            <w:pPr>
              <w:spacing w:after="40" w:before="40"/>
            </w:pPr>
            <w:r>
              <w:rPr>
                <w:sz w:val="17"/>
              </w:rPr>
              <w:t>TranAD selected/trained in research phase; metrics re-measured honestly (§7).</w:t>
            </w:r>
          </w:p>
        </w:tc>
      </w:tr>
      <w:tr>
        <w:tc>
          <w:tcPr>
            <w:tcW w:type="dxa" w:w="432"/>
          </w:tcPr>
          <w:p>
            <w:pPr>
              <w:spacing w:after="40" w:before="40"/>
            </w:pPr>
            <w:r>
              <w:rPr>
                <w:sz w:val="17"/>
              </w:rPr>
              <w:t>O3</w:t>
            </w:r>
          </w:p>
        </w:tc>
        <w:tc>
          <w:tcPr>
            <w:tcW w:type="dxa" w:w="3312"/>
          </w:tcPr>
          <w:p>
            <w:pPr>
              <w:spacing w:after="40" w:before="40"/>
            </w:pPr>
            <w:r>
              <w:rPr>
                <w:sz w:val="17"/>
              </w:rPr>
              <w:t>Deliver a monitoring platform with a real-time operator dashboard.</w:t>
            </w:r>
          </w:p>
        </w:tc>
        <w:tc>
          <w:tcPr>
            <w:tcW w:type="dxa" w:w="1440"/>
          </w:tcPr>
          <w:p>
            <w:pPr>
              <w:spacing w:after="40" w:before="40"/>
            </w:pPr>
            <w:r>
              <w:rPr>
                <w:sz w:val="17"/>
              </w:rPr>
              <w:t>ACHIEVED (local)</w:t>
            </w:r>
          </w:p>
        </w:tc>
        <w:tc>
          <w:tcPr>
            <w:tcW w:type="dxa" w:w="3888"/>
          </w:tcPr>
          <w:p>
            <w:pPr>
              <w:spacing w:after="40" w:before="40"/>
            </w:pPr>
            <w:r>
              <w:rPr>
                <w:sz w:val="17"/>
              </w:rPr>
              <w:t>FastAPI monitoring API + zero-build dashboard over in-memory alert state.</w:t>
            </w:r>
          </w:p>
        </w:tc>
      </w:tr>
      <w:tr>
        <w:tc>
          <w:tcPr>
            <w:tcW w:type="dxa" w:w="432"/>
            <w:shd w:val="clear" w:fill="F2F5F9"/>
          </w:tcPr>
          <w:p>
            <w:pPr>
              <w:spacing w:after="40" w:before="40"/>
            </w:pPr>
            <w:r>
              <w:rPr>
                <w:sz w:val="17"/>
              </w:rPr>
              <w:t>O4</w:t>
            </w:r>
          </w:p>
        </w:tc>
        <w:tc>
          <w:tcPr>
            <w:tcW w:type="dxa" w:w="3312"/>
            <w:shd w:val="clear" w:fill="F2F5F9"/>
          </w:tcPr>
          <w:p>
            <w:pPr>
              <w:spacing w:after="40" w:before="40"/>
            </w:pPr>
            <w:r>
              <w:rPr>
                <w:sz w:val="17"/>
              </w:rPr>
              <w:t>Demonstrate detection live on SWaT attack scenarios (low latency, low false positives).</w:t>
            </w:r>
          </w:p>
        </w:tc>
        <w:tc>
          <w:tcPr>
            <w:tcW w:type="dxa" w:w="1440"/>
            <w:shd w:val="clear" w:fill="F2F5F9"/>
          </w:tcPr>
          <w:p>
            <w:pPr>
              <w:spacing w:after="40" w:before="40"/>
            </w:pPr>
            <w:r>
              <w:rPr>
                <w:sz w:val="17"/>
              </w:rPr>
              <w:t>PARTIALLY ACHIEVED</w:t>
            </w:r>
          </w:p>
        </w:tc>
        <w:tc>
          <w:tcPr>
            <w:tcW w:type="dxa" w:w="3888"/>
            <w:shd w:val="clear" w:fill="F2F5F9"/>
          </w:tcPr>
          <w:p>
            <w:pPr>
              <w:spacing w:after="40" w:before="40"/>
            </w:pPr>
            <w:r>
              <w:rPr>
                <w:sz w:val="17"/>
              </w:rPr>
              <w:t>End-to-end normal→attack→recovery demo over real HTTP; FPR ~3% documented, not yet reduced.</w:t>
            </w:r>
          </w:p>
        </w:tc>
      </w:tr>
      <w:tr>
        <w:tc>
          <w:tcPr>
            <w:tcW w:type="dxa" w:w="432"/>
          </w:tcPr>
          <w:p>
            <w:pPr>
              <w:spacing w:after="40" w:before="40"/>
            </w:pPr>
            <w:r>
              <w:rPr>
                <w:sz w:val="17"/>
              </w:rPr>
              <w:t>O5</w:t>
            </w:r>
          </w:p>
        </w:tc>
        <w:tc>
          <w:tcPr>
            <w:tcW w:type="dxa" w:w="3312"/>
          </w:tcPr>
          <w:p>
            <w:pPr>
              <w:spacing w:after="40" w:before="40"/>
            </w:pPr>
            <w:r>
              <w:rPr>
                <w:sz w:val="17"/>
              </w:rPr>
              <w:t>Treat detection as a secure software product: cloud, containers, CI/CD with security gates.</w:t>
            </w:r>
          </w:p>
        </w:tc>
        <w:tc>
          <w:tcPr>
            <w:tcW w:type="dxa" w:w="1440"/>
          </w:tcPr>
          <w:p>
            <w:pPr>
              <w:spacing w:after="40" w:before="40"/>
            </w:pPr>
            <w:r>
              <w:rPr>
                <w:sz w:val="17"/>
              </w:rPr>
              <w:t>FUTURE</w:t>
            </w:r>
          </w:p>
        </w:tc>
        <w:tc>
          <w:tcPr>
            <w:tcW w:type="dxa" w:w="3888"/>
          </w:tcPr>
          <w:p>
            <w:pPr>
              <w:spacing w:after="40" w:before="40"/>
            </w:pPr>
            <w:r>
              <w:rPr>
                <w:sz w:val="17"/>
              </w:rPr>
              <w:t>Explicitly out of scope for Phase 1; tracked in roadmap (§8.2, §9).</w:t>
            </w:r>
          </w:p>
        </w:tc>
      </w:tr>
      <w:tr>
        <w:tc>
          <w:tcPr>
            <w:tcW w:type="dxa" w:w="432"/>
            <w:shd w:val="clear" w:fill="F2F5F9"/>
          </w:tcPr>
          <w:p>
            <w:pPr>
              <w:spacing w:after="40" w:before="40"/>
            </w:pPr>
            <w:r>
              <w:rPr>
                <w:sz w:val="17"/>
              </w:rPr>
              <w:t>O6</w:t>
            </w:r>
          </w:p>
        </w:tc>
        <w:tc>
          <w:tcPr>
            <w:tcW w:type="dxa" w:w="3312"/>
            <w:shd w:val="clear" w:fill="F2F5F9"/>
          </w:tcPr>
          <w:p>
            <w:pPr>
              <w:spacing w:after="40" w:before="40"/>
            </w:pPr>
            <w:r>
              <w:rPr>
                <w:sz w:val="17"/>
              </w:rPr>
              <w:t>Produce technical documentation and a final live attack demonstration.</w:t>
            </w:r>
          </w:p>
        </w:tc>
        <w:tc>
          <w:tcPr>
            <w:tcW w:type="dxa" w:w="1440"/>
            <w:shd w:val="clear" w:fill="F2F5F9"/>
          </w:tcPr>
          <w:p>
            <w:pPr>
              <w:spacing w:after="40" w:before="40"/>
            </w:pPr>
            <w:r>
              <w:rPr>
                <w:sz w:val="17"/>
              </w:rPr>
              <w:t>PARTIALLY ACHIEVED</w:t>
            </w:r>
          </w:p>
        </w:tc>
        <w:tc>
          <w:tcPr>
            <w:tcW w:type="dxa" w:w="3888"/>
            <w:shd w:val="clear" w:fill="F2F5F9"/>
          </w:tcPr>
          <w:p>
            <w:pPr>
              <w:spacing w:after="40" w:before="40"/>
            </w:pPr>
            <w:r>
              <w:rPr>
                <w:sz w:val="17"/>
              </w:rPr>
              <w:t>Provenance, architecture, and module docs exist; final demo/presentation pending.</w:t>
            </w:r>
          </w:p>
        </w:tc>
      </w:tr>
    </w:tbl>
    <w:p>
      <w:pPr>
        <w:spacing w:after="0" w:before="0"/>
      </w:pPr>
    </w:p>
    <w:p>
      <w:pPr>
        <w:pStyle w:val="Heading1"/>
      </w:pPr>
      <w:r>
        <w:t>5. Related Work / Literature Review</w:t>
      </w:r>
    </w:p>
    <w:p>
      <w:pPr>
        <w:spacing w:after="60" w:before="0"/>
        <w:jc w:val="both"/>
      </w:pPr>
      <w:r>
        <w:rPr>
          <w:b w:val="0"/>
          <w:i w:val="0"/>
        </w:rPr>
        <w:t>ICS / water-treatment security. The SWaT testbed was built by iTrust (SUTD) to support research on securing water treatment, and its public dataset records eleven days of operation with labelled attacks [1], [2]. The companion WADI water-distribution testbed extends this to distribution networks [3]. Such testbeds underpin most recent ICS-anomaly-detection work because real plant attack data is otherwise unavailable.</w:t>
      </w:r>
    </w:p>
    <w:p>
      <w:pPr>
        <w:spacing w:after="60" w:before="0"/>
        <w:jc w:val="both"/>
      </w:pPr>
      <w:r>
        <w:rPr>
          <w:b w:val="0"/>
          <w:i w:val="0"/>
        </w:rPr>
        <w:t>Multivariate, reconstruction-based detection. Process-aware detection is typically framed as unsupervised multivariate time-series anomaly detection: learn normal dynamics, then flag states with high reconstruction or prediction error. USAD couples adversarially-trained autoencoders [4]; GDN learns sensor relationships with graph neural networks [5]. TranAD [6] — the model productionized here — uses a transformer with two decoders and a focus-score mechanism, reconstructing the final timestep of each window and scoring the blended reconstruction error; it is strong on SWaT/WADI while remaining lightweight enough for CPU inference.</w:t>
      </w:r>
    </w:p>
    <w:p>
      <w:pPr>
        <w:spacing w:after="60" w:before="0"/>
        <w:jc w:val="both"/>
      </w:pPr>
      <w:r>
        <w:rPr>
          <w:b w:val="0"/>
          <w:i w:val="0"/>
        </w:rPr>
        <w:t>Rigorous evaluation. A recurring methodological hazard is the point-adjustment protocol, which marks a whole attack segment detected if any single point in it is flagged. Kim et al. [7] show this systematically overstates performance — even a random detector scores highly — so point-adjusted F1 must not be quoted as a deployment figure. This directly shapes the evaluation in §7, where point-wise metrics are treated as primary.</w:t>
      </w:r>
    </w:p>
    <w:p>
      <w:pPr>
        <w:spacing w:after="60" w:before="0"/>
        <w:jc w:val="both"/>
      </w:pPr>
      <w:r>
        <w:rPr>
          <w:b w:val="0"/>
          <w:i w:val="0"/>
        </w:rPr>
        <w:t>ML systems / productionization. Deploying detection as software draws on ML-systems and DevSecOps practice — immutable versioned artifacts, reproducible preprocessing, thin service boundaries, and (later) security gates in CI/CD [8]; this work applies the first three now and defers pipeline hardening.</w:t>
      </w:r>
    </w:p>
    <w:p>
      <w:pPr>
        <w:pStyle w:val="Heading1"/>
      </w:pPr>
      <w:r>
        <w:t>6. Proposed Approach / Methodology</w:t>
      </w:r>
    </w:p>
    <w:p>
      <w:pPr>
        <w:spacing w:after="60" w:before="0"/>
        <w:jc w:val="both"/>
      </w:pPr>
      <w:r>
        <w:rPr>
          <w:b w:val="0"/>
          <w:i w:val="0"/>
        </w:rPr>
        <w:t>The MVP is a layered pipeline with deliberately clean boundaries. The governing architectural principle is a strict separation of concerns: the client owns buffering, the detector is stateless, the API is a thin boundary, and exactly one stage (the alert engine) is stateful. Figure 1 shows the current (not generic) data flow.</w:t>
      </w:r>
    </w:p>
    <w:p>
      <w:pPr>
        <w:spacing w:after="60"/>
        <w:jc w:val="center"/>
      </w:pPr>
      <w:r>
        <w:rPr>
          <w:b/>
          <w:color w:val="1F3A5F"/>
          <w:sz w:val="18"/>
        </w:rPr>
        <w:t>SWaT telemetry  →  SWaTReplay  →  RollingWindow  →  30 × 45 window  →  FastAPI /score  →  TranADDetector  →  Anomaly score + 45-way attribution  →  AlertEngine  →  Monitoring API  →  Operator Dashboard</w:t>
      </w:r>
    </w:p>
    <w:tbl>
      <w:tblPr>
        <w:tblStyle w:val="TableGrid"/>
        <w:tblW w:type="auto" w:w="0"/>
        <w:jc w:val="center"/>
        <w:tblLook w:firstColumn="1" w:firstRow="1" w:lastColumn="0" w:lastRow="0" w:noHBand="0" w:noVBand="1" w:val="04A0"/>
        <w:tblCellMar>
          <w:top w:w="14" w:type="dxa"/>
          <w:bottom w:w="14" w:type="dxa"/>
          <w:left w:w="60" w:type="dxa"/>
          <w:right w:w="60" w:type="dxa"/>
        </w:tblCellMar>
      </w:tblPr>
      <w:tblGrid>
        <w:gridCol w:w="5040"/>
        <w:gridCol w:w="5040"/>
      </w:tblGrid>
      <w:tr>
        <w:tc>
          <w:tcPr>
            <w:tcW w:type="dxa" w:w="3312"/>
            <w:shd w:val="clear" w:fill="E8EEF5"/>
          </w:tcPr>
          <w:p>
            <w:pPr>
              <w:spacing w:after="20" w:before="20"/>
            </w:pPr>
            <w:r>
              <w:rPr>
                <w:b/>
                <w:color w:val="1F3A5F"/>
                <w:sz w:val="17"/>
              </w:rPr>
              <w:t>SWaT telemetry</w:t>
            </w:r>
          </w:p>
        </w:tc>
        <w:tc>
          <w:tcPr>
            <w:tcW w:type="dxa" w:w="5760"/>
          </w:tcPr>
          <w:p>
            <w:pPr>
              <w:spacing w:after="20" w:before="20"/>
            </w:pPr>
            <w:r>
              <w:rPr>
                <w:sz w:val="17"/>
              </w:rPr>
              <w:t>licensed clean Attack_v0 CSVs (not committed)</w:t>
            </w:r>
          </w:p>
        </w:tc>
      </w:tr>
      <w:tr>
        <w:tc>
          <w:tcPr>
            <w:tcW w:type="dxa" w:w="3312"/>
            <w:shd w:val="clear" w:fill="E8EEF5"/>
          </w:tcPr>
          <w:p>
            <w:pPr>
              <w:spacing w:after="20" w:before="20"/>
            </w:pPr>
            <w:r>
              <w:rPr>
                <w:b/>
                <w:color w:val="1F3A5F"/>
                <w:sz w:val="17"/>
              </w:rPr>
              <w:t>SWaTReplay</w:t>
            </w:r>
          </w:p>
        </w:tc>
        <w:tc>
          <w:tcPr>
            <w:tcW w:type="dxa" w:w="5760"/>
          </w:tcPr>
          <w:p>
            <w:pPr>
              <w:spacing w:after="20" w:before="20"/>
            </w:pPr>
            <w:r>
              <w:rPr>
                <w:sz w:val="17"/>
              </w:rPr>
              <w:t>ordered 1 Hz stream, subsample 5 → 5 s cadence</w:t>
            </w:r>
          </w:p>
        </w:tc>
      </w:tr>
      <w:tr>
        <w:tc>
          <w:tcPr>
            <w:tcW w:type="dxa" w:w="3312"/>
            <w:shd w:val="clear" w:fill="E8EEF5"/>
          </w:tcPr>
          <w:p>
            <w:pPr>
              <w:spacing w:after="20" w:before="20"/>
            </w:pPr>
            <w:r>
              <w:rPr>
                <w:b/>
                <w:color w:val="1F3A5F"/>
                <w:sz w:val="17"/>
              </w:rPr>
              <w:t>RollingWindow</w:t>
            </w:r>
          </w:p>
        </w:tc>
        <w:tc>
          <w:tcPr>
            <w:tcW w:type="dxa" w:w="5760"/>
          </w:tcPr>
          <w:p>
            <w:pPr>
              <w:spacing w:after="20" w:before="20"/>
            </w:pPr>
            <w:r>
              <w:rPr>
                <w:sz w:val="17"/>
              </w:rPr>
              <w:t>owns the 30-sample ring buffer, stride 1</w:t>
            </w:r>
          </w:p>
        </w:tc>
      </w:tr>
      <w:tr>
        <w:tc>
          <w:tcPr>
            <w:tcW w:type="dxa" w:w="3312"/>
            <w:shd w:val="clear" w:fill="E8EEF5"/>
          </w:tcPr>
          <w:p>
            <w:pPr>
              <w:spacing w:after="20" w:before="20"/>
            </w:pPr>
            <w:r>
              <w:rPr>
                <w:b/>
                <w:color w:val="1F3A5F"/>
                <w:sz w:val="17"/>
              </w:rPr>
              <w:t>30 × 45 window</w:t>
            </w:r>
          </w:p>
        </w:tc>
        <w:tc>
          <w:tcPr>
            <w:tcW w:type="dxa" w:w="5760"/>
          </w:tcPr>
          <w:p>
            <w:pPr>
              <w:spacing w:after="20" w:before="20"/>
            </w:pPr>
            <w:r>
              <w:rPr>
                <w:sz w:val="17"/>
              </w:rPr>
              <w:t>raw telemetry, feature-name order</w:t>
            </w:r>
          </w:p>
        </w:tc>
      </w:tr>
      <w:tr>
        <w:tc>
          <w:tcPr>
            <w:tcW w:type="dxa" w:w="3312"/>
            <w:shd w:val="clear" w:fill="E8EEF5"/>
          </w:tcPr>
          <w:p>
            <w:pPr>
              <w:spacing w:after="20" w:before="20"/>
            </w:pPr>
            <w:r>
              <w:rPr>
                <w:b/>
                <w:color w:val="1F3A5F"/>
                <w:sz w:val="17"/>
              </w:rPr>
              <w:t>FastAPI /score</w:t>
            </w:r>
          </w:p>
        </w:tc>
        <w:tc>
          <w:tcPr>
            <w:tcW w:type="dxa" w:w="5760"/>
          </w:tcPr>
          <w:p>
            <w:pPr>
              <w:spacing w:after="20" w:before="20"/>
            </w:pPr>
            <w:r>
              <w:rPr>
                <w:sz w:val="17"/>
              </w:rPr>
              <w:t>thin boundary: validate → delegate</w:t>
            </w:r>
          </w:p>
        </w:tc>
      </w:tr>
      <w:tr>
        <w:tc>
          <w:tcPr>
            <w:tcW w:type="dxa" w:w="3312"/>
            <w:shd w:val="clear" w:fill="E8EEF5"/>
          </w:tcPr>
          <w:p>
            <w:pPr>
              <w:spacing w:after="20" w:before="20"/>
            </w:pPr>
            <w:r>
              <w:rPr>
                <w:b/>
                <w:color w:val="1F3A5F"/>
                <w:sz w:val="17"/>
              </w:rPr>
              <w:t>TranADDetector</w:t>
            </w:r>
          </w:p>
        </w:tc>
        <w:tc>
          <w:tcPr>
            <w:tcW w:type="dxa" w:w="5760"/>
          </w:tcPr>
          <w:p>
            <w:pPr>
              <w:spacing w:after="20" w:before="20"/>
            </w:pPr>
            <w:r>
              <w:rPr>
                <w:sz w:val="17"/>
              </w:rPr>
              <w:t>stateless: preprocess → reconstruct → score</w:t>
            </w:r>
          </w:p>
        </w:tc>
      </w:tr>
      <w:tr>
        <w:tc>
          <w:tcPr>
            <w:tcW w:type="dxa" w:w="3312"/>
            <w:shd w:val="clear" w:fill="E8EEF5"/>
          </w:tcPr>
          <w:p>
            <w:pPr>
              <w:spacing w:after="20" w:before="20"/>
            </w:pPr>
            <w:r>
              <w:rPr>
                <w:b/>
                <w:color w:val="1F3A5F"/>
                <w:sz w:val="17"/>
              </w:rPr>
              <w:t>Anomaly score + 45-way attribution</w:t>
            </w:r>
          </w:p>
        </w:tc>
        <w:tc>
          <w:tcPr>
            <w:tcW w:type="dxa" w:w="5760"/>
          </w:tcPr>
          <w:p>
            <w:pPr>
              <w:spacing w:after="20" w:before="20"/>
            </w:pPr>
            <w:r>
              <w:rPr>
                <w:sz w:val="17"/>
              </w:rPr>
              <w:t>per-feature reconstruction error</w:t>
            </w:r>
          </w:p>
        </w:tc>
      </w:tr>
      <w:tr>
        <w:tc>
          <w:tcPr>
            <w:tcW w:type="dxa" w:w="3312"/>
            <w:shd w:val="clear" w:fill="E8EEF5"/>
          </w:tcPr>
          <w:p>
            <w:pPr>
              <w:spacing w:after="20" w:before="20"/>
            </w:pPr>
            <w:r>
              <w:rPr>
                <w:b/>
                <w:color w:val="1F3A5F"/>
                <w:sz w:val="17"/>
              </w:rPr>
              <w:t>AlertEngine</w:t>
            </w:r>
          </w:p>
        </w:tc>
        <w:tc>
          <w:tcPr>
            <w:tcW w:type="dxa" w:w="5760"/>
          </w:tcPr>
          <w:p>
            <w:pPr>
              <w:spacing w:after="20" w:before="20"/>
            </w:pPr>
            <w:r>
              <w:rPr>
                <w:sz w:val="17"/>
              </w:rPr>
              <w:t>stateful, in-memory: dedup, OPEN → CLOSED</w:t>
            </w:r>
          </w:p>
        </w:tc>
      </w:tr>
      <w:tr>
        <w:tc>
          <w:tcPr>
            <w:tcW w:type="dxa" w:w="3312"/>
            <w:shd w:val="clear" w:fill="E8EEF5"/>
          </w:tcPr>
          <w:p>
            <w:pPr>
              <w:spacing w:after="20" w:before="20"/>
            </w:pPr>
            <w:r>
              <w:rPr>
                <w:b/>
                <w:color w:val="1F3A5F"/>
                <w:sz w:val="17"/>
              </w:rPr>
              <w:t>Monitoring API</w:t>
            </w:r>
          </w:p>
        </w:tc>
        <w:tc>
          <w:tcPr>
            <w:tcW w:type="dxa" w:w="5760"/>
          </w:tcPr>
          <w:p>
            <w:pPr>
              <w:spacing w:after="20" w:before="20"/>
            </w:pPr>
            <w:r>
              <w:rPr>
                <w:sz w:val="17"/>
              </w:rPr>
              <w:t>/status, /alerts, /alerts/active</w:t>
            </w:r>
          </w:p>
        </w:tc>
      </w:tr>
      <w:tr>
        <w:tc>
          <w:tcPr>
            <w:tcW w:type="dxa" w:w="3312"/>
            <w:shd w:val="clear" w:fill="E8EEF5"/>
          </w:tcPr>
          <w:p>
            <w:pPr>
              <w:spacing w:after="20" w:before="20"/>
            </w:pPr>
            <w:r>
              <w:rPr>
                <w:b/>
                <w:color w:val="1F3A5F"/>
                <w:sz w:val="17"/>
              </w:rPr>
              <w:t>Operator Dashboard</w:t>
            </w:r>
          </w:p>
        </w:tc>
        <w:tc>
          <w:tcPr>
            <w:tcW w:type="dxa" w:w="5760"/>
          </w:tcPr>
          <w:p>
            <w:pPr>
              <w:spacing w:after="20" w:before="20"/>
            </w:pPr>
            <w:r>
              <w:rPr>
                <w:sz w:val="17"/>
              </w:rPr>
              <w:t>zero-build HTML/JS, polling</w:t>
            </w:r>
          </w:p>
        </w:tc>
      </w:tr>
    </w:tbl>
    <w:p>
      <w:pPr>
        <w:spacing w:before="60" w:after="200"/>
        <w:jc w:val="center"/>
      </w:pPr>
      <w:r>
        <w:rPr>
          <w:i/>
          <w:color w:val="555555"/>
          <w:sz w:val="18"/>
        </w:rPr>
        <w:t>Figure 1. Current MVP detection pipeline (Phase 5A). Buffering stays in RollingWindow; scoring stays behind the API; incident state lives only in AlertEngine.</w:t>
      </w:r>
    </w:p>
    <w:p>
      <w:pPr>
        <w:spacing w:after="40" w:before="0"/>
      </w:pPr>
      <w:r>
        <w:rPr>
          <w:b/>
          <w:i w:val="0"/>
        </w:rPr>
        <w:t>Key architectural decisions (elaborating Figure 1).</w:t>
      </w:r>
    </w:p>
    <w:p>
      <w:pPr>
        <w:pStyle w:val="ListBullet"/>
        <w:spacing w:after="40"/>
      </w:pPr>
      <w:r>
        <w:rPr>
          <w:b/>
        </w:rPr>
        <w:t xml:space="preserve">RollingWindow owns the buffer — </w:t>
      </w:r>
      <w:r>
        <w:t>a deque of maxlen 30 gives automatic stride-1 eviction; it validates feature count and finiteness, copies inputs, and emits a self-describing (30×45) window, importing neither torch nor FastAPI.</w:t>
      </w:r>
    </w:p>
    <w:p>
      <w:pPr>
        <w:pStyle w:val="ListBullet"/>
        <w:spacing w:after="40"/>
      </w:pPr>
      <w:r>
        <w:rPr>
          <w:b/>
        </w:rPr>
        <w:t xml:space="preserve">FastAPI is a thin boundary — </w:t>
      </w:r>
      <w:r>
        <w:t>it validates shape/feature identity and order, delegates, and shapes the response; it does NOT buffer, does NOT duplicate ML logic, and holds no per-request or streaming state (dependency direction strictly backend → ml.src).</w:t>
      </w:r>
    </w:p>
    <w:p>
      <w:pPr>
        <w:pStyle w:val="ListBullet"/>
        <w:spacing w:after="40"/>
      </w:pPr>
      <w:r>
        <w:rPr>
          <w:b/>
        </w:rPr>
        <w:t xml:space="preserve">TranADDetector is stateless — </w:t>
      </w:r>
      <w:r>
        <w:t>one (30×45) window in, one DetectionResult out, keeping it trivially testable and horizontally scalable.</w:t>
      </w:r>
    </w:p>
    <w:p>
      <w:pPr>
        <w:pStyle w:val="ListBullet"/>
        <w:spacing w:after="40"/>
      </w:pPr>
      <w:r>
        <w:rPr>
          <w:b/>
        </w:rPr>
        <w:t xml:space="preserve">AlertEngine is the one stateful layer — </w:t>
      </w:r>
      <w:r>
        <w:t>a small state machine turns many consecutive anomalous windows into ONE alert (OPEN → dedup → CLOSE), tracking the peak window; severity is an explicitly-labelled heuristic (score/threshold ratio), not an ML output. Alert state is in-memory only.</w:t>
      </w:r>
    </w:p>
    <w:p>
      <w:pPr>
        <w:spacing w:after="40" w:before="0"/>
      </w:pPr>
      <w:r>
        <w:rPr>
          <w:b/>
          <w:i w:val="0"/>
        </w:rPr>
        <w:t>The TranAD model.</w:t>
      </w:r>
    </w:p>
    <w:p>
      <w:pPr>
        <w:spacing w:after="60" w:before="0"/>
        <w:jc w:val="both"/>
      </w:pPr>
      <w:r>
        <w:rPr>
          <w:b w:val="0"/>
          <w:i w:val="0"/>
        </w:rPr>
        <w:t>TranAD is the selected and trained MVP detector; model selection is complete and is not revisited in this phase. The model consumes a 30-timestep window of 45 features. Because subsampling keeps every 5th 1 Hz sample, each step is 5 s apart, so one window spans 150 s of plant context — which is also the buffer-fill time and the hard floor on detection latency (a single reading is not scoreable). 30 samples are required because the transformer's positional encoding and window contract are fixed at training time; 45 features remain after six near-constant columns were dropped during training (std ≤ 1e-8). A rolling window is therefore needed to assemble that 150 s of multivariate context online from a one-sample-at-a-time feed.</w:t>
      </w:r>
    </w:p>
    <w:p>
      <w:pPr>
        <w:spacing w:after="60" w:before="0"/>
        <w:jc w:val="both"/>
      </w:pPr>
      <w:r>
        <w:rPr>
          <w:b w:val="0"/>
          <w:i w:val="0"/>
        </w:rPr>
        <w:t>Scoring reconstructs only the window's last timestep with two decoders; the anomaly score is the equal-weight blend 0.5·MSE(x₁,elem) + 0.5·MSE(x₂,elem) averaged over the 45 features, compared strictly against the fixed threshold. Taking the squared error before the feature-dimension mean yields a 45-length per-feature error vector — which sensors drove the alert — at zero extra cost; this attribution is the concrete evidence for the process-aware claim and is carried through to the operator.</w:t>
      </w:r>
    </w:p>
    <w:p>
      <w:pPr>
        <w:pStyle w:val="Heading2"/>
      </w:pPr>
      <w:r>
        <w:t>6.1 Data</w:t>
      </w:r>
    </w:p>
    <w:p>
      <w:pPr>
        <w:spacing w:after="60" w:before="0"/>
        <w:jc w:val="both"/>
      </w:pPr>
      <w:r>
        <w:rPr>
          <w:b w:val="0"/>
          <w:i w:val="0"/>
        </w:rPr>
        <w:t>Source and access. The dataset is the iTrust SWaT (Secure Water Treatment) testbed data, licensed from SUTD and held locally only (CSV files are excluded from version control). Three files are present: attack.csv (54,621 rows), normal.csv (1,387,098 rows), and merged.csv. merged.csv is excluded because it carries the identical data defect described below and is not a cleaner alternative.</w:t>
      </w:r>
    </w:p>
    <w:p>
      <w:pPr>
        <w:spacing w:after="60" w:before="0"/>
        <w:jc w:val="both"/>
      </w:pPr>
      <w:r>
        <w:rPr>
          <w:b w:val="0"/>
          <w:i w:val="0"/>
        </w:rPr>
        <w:t>Clean reconstruction. Rather than scoring the raw concatenation, the replay uses a reconstructed clean Attack_v0: attack.csv plus the genuine attack-period normal rows, merged by timestamp into the original normal → attack → normal sequence — 449,919 rows, zero missing values, all 45 features populated, at the true 12.14% attack ratio, with labels forming 35 contiguous attack segments. (The proposal's “36 attacks” refers to attacks launched on the testbed; back-to-back attacks merge into 35 contiguous label runs.)</w:t>
      </w:r>
    </w:p>
    <w:p>
      <w:pPr>
        <w:spacing w:after="60" w:before="0"/>
        <w:jc w:val="both"/>
      </w:pPr>
      <w:r>
        <w:rPr>
          <w:b w:val="0"/>
          <w:i w:val="0"/>
        </w:rPr>
        <w:t>Preprocessing chain (reproduced byte-for-byte from the research pipeline): select and order the 45 features per feature_names.json → StandardScaler (per-feature, float64) → cast to float32 → C-order (timestep-major) flatten to a 1350-dimensional vector → MinMaxScaler with clip=False → reshape back to (30×45). Three properties are load-bearing and each fails silently if broken, so each has a regression test: C-order flattening (index = t·45 + f), clip=False (attack windows scale outside [0,1], which is the detection signal), and the full 1350-column MinMax artifact (kept for bit-exactness). Windowing is length 30, stride 1; subsample = 5 gives the 5 s cadence and 150 s context. Unlike the research notebook, the production preprocessor rejects non-finite input instead of forward-filling it — a stuck or absent channel is treated as an operational fault, not silently imputed.</w:t>
      </w:r>
    </w:p>
    <w:p>
      <w:pPr>
        <w:spacing w:after="40" w:before="0"/>
      </w:pPr>
      <w:r>
        <w:rPr>
          <w:b/>
          <w:i w:val="0"/>
        </w:rPr>
        <w:t>Provenance findings and their engineering impact.</w:t>
      </w:r>
    </w:p>
    <w:p>
      <w:pPr>
        <w:spacing w:after="60" w:before="0"/>
        <w:jc w:val="both"/>
      </w:pPr>
      <w:r>
        <w:rPr>
          <w:b w:val="0"/>
          <w:i w:val="0"/>
        </w:rPr>
        <w:t>Auditing the data surfaced four findings that shaped design and evaluation. (1) Duplicated normal block: ~991,800 rows of normal.csv are the pre-attack run present twice, deflating the raw attack ratio to 3.79%. (2) Header-spelling mismatch: seven columns carry a leading space in the attack file and are empty in the duplicated block; the notebook's forward-fill then froze six model features to constants. (3) Consequently the shipped threshold (99th percentile of normal-validation scores) was calibrated on frozen-feature data, so its nominal 1% false-positive rate does not hold on complete telemetry. (4) On the clean slice the only genuinely constant feature is P301, confirming the training-time frozen features were the data gap, not physical constants. These findings led to using the clean Attack_v0 for replay/evaluation, surfacing the threshold caveat rather than silently correcting it, rejecting (not imputing) non-finite input, and reporting point-wise metrics at the true base rate.</w:t>
      </w:r>
    </w:p>
    <w:p>
      <w:pPr>
        <w:pStyle w:val="Heading2"/>
      </w:pPr>
      <w:r>
        <w:t>6.2 Implementation Plan</w:t>
      </w:r>
    </w:p>
    <w:p>
      <w:pPr>
        <w:spacing w:after="60" w:before="0"/>
        <w:jc w:val="both"/>
      </w:pPr>
      <w:r>
        <w:rPr>
          <w:b w:val="0"/>
          <w:i w:val="0"/>
        </w:rPr>
        <w:t>Stack. Python; PyTorch (TranAD inference); scikit-learn 1.7.2 (the two scalers, version-pinned by the joblib artifacts); NumPy ≥ 2.0; joblib (artifact loading); FastAPI + Uvicorn (HTTP boundary); vanilla HTML/CSS/JavaScript (zero-build dashboard); pytest (286 tests); and a SWaT replay layer. Inference runs on CPU — no GPU is required for the MVP.</w:t>
      </w:r>
    </w:p>
    <w:p>
      <w:pPr>
        <w:spacing w:after="40" w:before="0"/>
      </w:pPr>
      <w:r>
        <w:rPr>
          <w:b/>
          <w:i w:val="0"/>
        </w:rPr>
        <w:t>Module boundaries.</w:t>
      </w:r>
    </w:p>
    <w:p>
      <w:pPr>
        <w:pStyle w:val="ListBullet"/>
        <w:spacing w:after="40"/>
      </w:pPr>
      <w:r>
        <w:rPr>
          <w:b/>
        </w:rPr>
        <w:t xml:space="preserve">ml/ — </w:t>
      </w:r>
      <w:r>
        <w:t>production TranAD inference (model, preprocessing, scoring, detector, metrics) plus immutable artifacts and a verified config; research notebooks are kept separate under research/.</w:t>
      </w:r>
    </w:p>
    <w:p>
      <w:pPr>
        <w:pStyle w:val="ListBullet"/>
        <w:spacing w:after="40"/>
      </w:pPr>
      <w:r>
        <w:rPr>
          <w:b/>
        </w:rPr>
        <w:t xml:space="preserve">simulator/ — </w:t>
      </w:r>
      <w:r>
        <w:t>SWaTReplay, RollingWindow, and the end-to-end pipeline glue; imports neither torch nor FastAPI.</w:t>
      </w:r>
    </w:p>
    <w:p>
      <w:pPr>
        <w:pStyle w:val="ListBullet"/>
        <w:spacing w:after="40"/>
      </w:pPr>
      <w:r>
        <w:rPr>
          <w:b/>
        </w:rPr>
        <w:t xml:space="preserve">backend/ — </w:t>
      </w:r>
      <w:r>
        <w:t>the thin FastAPI app and request/response schemas.</w:t>
      </w:r>
    </w:p>
    <w:p>
      <w:pPr>
        <w:pStyle w:val="ListBullet"/>
        <w:spacing w:after="40"/>
      </w:pPr>
      <w:r>
        <w:rPr>
          <w:b/>
        </w:rPr>
        <w:t xml:space="preserve">alerting/ — </w:t>
      </w:r>
      <w:r>
        <w:t>the stateful alert engine and the Alert value object; duck-types on the detector's output, importing none of torch/FastAPI/ml.src/simulator.</w:t>
      </w:r>
    </w:p>
    <w:p>
      <w:pPr>
        <w:pStyle w:val="ListBullet"/>
        <w:spacing w:after="40"/>
      </w:pPr>
      <w:r>
        <w:rPr>
          <w:b/>
        </w:rPr>
        <w:t xml:space="preserve">frontend/ — </w:t>
      </w:r>
      <w:r>
        <w:t>the single-file operator dashboard.</w:t>
      </w:r>
    </w:p>
    <w:p>
      <w:pPr>
        <w:pStyle w:val="ListBullet"/>
        <w:spacing w:after="40"/>
      </w:pPr>
      <w:r>
        <w:rPr>
          <w:b/>
        </w:rPr>
        <w:t xml:space="preserve">tests/ — </w:t>
      </w:r>
      <w:r>
        <w:t>unit, ML-inference (golden-vector), API, integration, and end-to-end suites. docs/ holds proposal, provenance, and architecture material.</w:t>
      </w:r>
    </w:p>
    <w:p>
      <w:pPr>
        <w:spacing w:after="40" w:before="0"/>
      </w:pPr>
      <w:r>
        <w:rPr>
          <w:b/>
          <w:i w:val="0"/>
        </w:rPr>
        <w:t>Implementation sequence (actual).</w:t>
      </w:r>
    </w:p>
    <w:p>
      <w:pPr>
        <w:spacing w:after="60" w:before="0"/>
        <w:jc w:val="both"/>
      </w:pPr>
      <w:r>
        <w:rPr>
          <w:b w:val="0"/>
          <w:i w:val="0"/>
        </w:rPr>
        <w:t>Phase 0 (provenance/environment) → Phase 1 (TranAD inference library + golden vectors) → Phase 1.5 (threshold-honest metrics) → Phase 2A (SWaT replay + rolling window) → Phase 2B (FastAPI) → Phase 3 (end-to-end integration) → Phase 4 (alert engine) → Phase 5A (monitoring API + dashboard). Notably, Phase 2A was built before Phase 2B on purpose: the rolling-window ownership question had to be resolved first so the API could be designed as a thin, stateless boundary with the 30-sample buffer owned entirely by the caller, rather than smuggling buffering state into the service.</w:t>
      </w:r>
    </w:p>
    <w:p>
      <w:pPr>
        <w:pStyle w:val="Heading1"/>
      </w:pPr>
      <w:r>
        <w:t>7. Evaluation Plan and Preliminary Results</w:t>
      </w:r>
    </w:p>
    <w:p>
      <w:pPr>
        <w:spacing w:after="60" w:before="0"/>
        <w:jc w:val="both"/>
      </w:pPr>
      <w:r>
        <w:rPr>
          <w:b w:val="0"/>
          <w:i w:val="0"/>
        </w:rPr>
        <w:t>Protocol. Detection quality is reported point-wise — each window scored against ground truth at its last timestep, which is the only sample TranAD reconstructs. Point-wise evaluation is adopted as the primary deployment-oriented protocol because the widely used point-adjusted protocol marks an entire attack segment detected from a single flagged point and, per Kim et al. [7], systematically overstates performance. Threshold-free metrics (ROC-AUC, PR-AUC) are also reported to characterize the model independently of the shipped threshold.</w:t>
      </w:r>
    </w:p>
    <w:p>
      <w:pPr>
        <w:spacing w:after="60" w:before="0"/>
        <w:jc w:val="both"/>
      </w:pPr>
      <w:r>
        <w:rPr>
          <w:b/>
          <w:i w:val="0"/>
        </w:rPr>
        <w:t>Primary deployment-oriented metrics (point-wise, clean Attack_v0, at the shipped threshold 9.269035945180804e-05): Precision = 0.7822, Recall = 0.7821, F1 = 0.7822, and false-positive rate = 3.0117%. Threshold-free: ROC-AUC = 0.9429 and PR-AUC = 0.8516 (at the true 12.15% attack base rate). These point-wise figures at the shipped threshold are the numbers to quote for deployment.</w:t>
      </w:r>
    </w:p>
    <w:p>
      <w:pPr>
        <w:spacing w:after="60" w:before="0"/>
        <w:jc w:val="both"/>
      </w:pPr>
      <w:r>
        <w:rPr>
          <w:b w:val="0"/>
          <w:i w:val="0"/>
        </w:rPr>
        <w:t>Why not the higher numbers. An F1 ≈ 0.9999 in earlier research material comes from a threshold searched on the test set and must not be reported (the notebook warns that column “can read ~1.0 even for a broken model”); the point-adjusted F1 ≈ 0.7934 that pairs with the shipped threshold is likewise not the deployment figure. The ladder below changes one variable per rung — dataset defect, labelling convention, then point adjustment — so the drop to the deployment figure is attributable, not merely smaller.</w:t>
      </w:r>
    </w:p>
    <w:tbl>
      <w:tblPr>
        <w:tblStyle w:val="TableGrid"/>
        <w:tblW w:type="auto" w:w="0"/>
        <w:jc w:val="center"/>
        <w:tblLook w:firstColumn="1" w:firstRow="1" w:lastColumn="0" w:lastRow="0" w:noHBand="0" w:noVBand="1" w:val="04A0"/>
        <w:tblCellMar>
          <w:top w:w="14" w:type="dxa"/>
          <w:bottom w:w="14" w:type="dxa"/>
          <w:left w:w="60" w:type="dxa"/>
          <w:right w:w="60" w:type="dxa"/>
        </w:tblCellMar>
      </w:tblPr>
      <w:tblGrid>
        <w:gridCol w:w="2016"/>
        <w:gridCol w:w="2016"/>
        <w:gridCol w:w="2016"/>
        <w:gridCol w:w="2016"/>
        <w:gridCol w:w="2016"/>
      </w:tblGrid>
      <w:tr>
        <w:tc>
          <w:tcPr>
            <w:tcW w:type="dxa" w:w="720"/>
            <w:shd w:val="clear" w:fill="1F3A5F"/>
          </w:tcPr>
          <w:p>
            <w:pPr>
              <w:spacing w:after="40" w:before="40"/>
            </w:pPr>
            <w:r>
              <w:rPr>
                <w:b/>
                <w:color w:val="FFFFFF"/>
                <w:sz w:val="17"/>
              </w:rPr>
              <w:t>Rung</w:t>
            </w:r>
          </w:p>
        </w:tc>
        <w:tc>
          <w:tcPr>
            <w:tcW w:type="dxa" w:w="4896"/>
            <w:shd w:val="clear" w:fill="1F3A5F"/>
          </w:tcPr>
          <w:p>
            <w:pPr>
              <w:spacing w:after="40" w:before="40"/>
            </w:pPr>
            <w:r>
              <w:rPr>
                <w:b/>
                <w:color w:val="FFFFFF"/>
                <w:sz w:val="17"/>
              </w:rPr>
              <w:t>Dataset / labelling / protocol</w:t>
            </w:r>
          </w:p>
        </w:tc>
        <w:tc>
          <w:tcPr>
            <w:tcW w:type="dxa" w:w="1296"/>
            <w:shd w:val="clear" w:fill="1F3A5F"/>
          </w:tcPr>
          <w:p>
            <w:pPr>
              <w:spacing w:after="40" w:before="40"/>
            </w:pPr>
            <w:r>
              <w:rPr>
                <w:b/>
                <w:color w:val="FFFFFF"/>
                <w:sz w:val="17"/>
              </w:rPr>
              <w:t>Precision</w:t>
            </w:r>
          </w:p>
        </w:tc>
        <w:tc>
          <w:tcPr>
            <w:tcW w:type="dxa" w:w="1152"/>
            <w:shd w:val="clear" w:fill="1F3A5F"/>
          </w:tcPr>
          <w:p>
            <w:pPr>
              <w:spacing w:after="40" w:before="40"/>
            </w:pPr>
            <w:r>
              <w:rPr>
                <w:b/>
                <w:color w:val="FFFFFF"/>
                <w:sz w:val="17"/>
              </w:rPr>
              <w:t>Recall</w:t>
            </w:r>
          </w:p>
        </w:tc>
        <w:tc>
          <w:tcPr>
            <w:tcW w:type="dxa" w:w="1152"/>
            <w:shd w:val="clear" w:fill="1F3A5F"/>
          </w:tcPr>
          <w:p>
            <w:pPr>
              <w:spacing w:after="40" w:before="40"/>
            </w:pPr>
            <w:r>
              <w:rPr>
                <w:b/>
                <w:color w:val="FFFFFF"/>
                <w:sz w:val="17"/>
              </w:rPr>
              <w:t>F1</w:t>
            </w:r>
          </w:p>
        </w:tc>
      </w:tr>
      <w:tr>
        <w:tc>
          <w:tcPr>
            <w:tcW w:type="dxa" w:w="720"/>
          </w:tcPr>
          <w:p>
            <w:pPr>
              <w:spacing w:after="40" w:before="40"/>
            </w:pPr>
            <w:r>
              <w:rPr>
                <w:sz w:val="17"/>
              </w:rPr>
              <w:t>1</w:t>
            </w:r>
          </w:p>
        </w:tc>
        <w:tc>
          <w:tcPr>
            <w:tcW w:type="dxa" w:w="4896"/>
          </w:tcPr>
          <w:p>
            <w:pPr>
              <w:spacing w:after="40" w:before="40"/>
            </w:pPr>
            <w:r>
              <w:rPr>
                <w:sz w:val="17"/>
              </w:rPr>
              <w:t>research concat (defective) / any-in-window / point-adjusted</w:t>
            </w:r>
          </w:p>
        </w:tc>
        <w:tc>
          <w:tcPr>
            <w:tcW w:type="dxa" w:w="1296"/>
          </w:tcPr>
          <w:p>
            <w:pPr>
              <w:spacing w:after="40" w:before="40"/>
            </w:pPr>
            <w:r>
              <w:rPr>
                <w:sz w:val="17"/>
              </w:rPr>
              <w:t>0.6575</w:t>
            </w:r>
          </w:p>
        </w:tc>
        <w:tc>
          <w:tcPr>
            <w:tcW w:type="dxa" w:w="1152"/>
          </w:tcPr>
          <w:p>
            <w:pPr>
              <w:spacing w:after="40" w:before="40"/>
            </w:pPr>
            <w:r>
              <w:rPr>
                <w:sz w:val="17"/>
              </w:rPr>
              <w:t>1.0000</w:t>
            </w:r>
          </w:p>
        </w:tc>
        <w:tc>
          <w:tcPr>
            <w:tcW w:type="dxa" w:w="1152"/>
          </w:tcPr>
          <w:p>
            <w:pPr>
              <w:spacing w:after="40" w:before="40"/>
            </w:pPr>
            <w:r>
              <w:rPr>
                <w:sz w:val="17"/>
              </w:rPr>
              <w:t>0.7934</w:t>
            </w:r>
          </w:p>
        </w:tc>
      </w:tr>
      <w:tr>
        <w:tc>
          <w:tcPr>
            <w:tcW w:type="dxa" w:w="720"/>
            <w:shd w:val="clear" w:fill="F2F5F9"/>
          </w:tcPr>
          <w:p>
            <w:pPr>
              <w:spacing w:after="40" w:before="40"/>
            </w:pPr>
            <w:r>
              <w:rPr>
                <w:sz w:val="17"/>
              </w:rPr>
              <w:t>2</w:t>
            </w:r>
          </w:p>
        </w:tc>
        <w:tc>
          <w:tcPr>
            <w:tcW w:type="dxa" w:w="4896"/>
            <w:shd w:val="clear" w:fill="F2F5F9"/>
          </w:tcPr>
          <w:p>
            <w:pPr>
              <w:spacing w:after="40" w:before="40"/>
            </w:pPr>
            <w:r>
              <w:rPr>
                <w:sz w:val="17"/>
              </w:rPr>
              <w:t>clean Attack_v0 / any-in-window / point-adjusted</w:t>
            </w:r>
          </w:p>
        </w:tc>
        <w:tc>
          <w:tcPr>
            <w:tcW w:type="dxa" w:w="1296"/>
            <w:shd w:val="clear" w:fill="F2F5F9"/>
          </w:tcPr>
          <w:p>
            <w:pPr>
              <w:spacing w:after="40" w:before="40"/>
            </w:pPr>
            <w:r>
              <w:rPr>
                <w:sz w:val="17"/>
              </w:rPr>
              <w:t>0.8450</w:t>
            </w:r>
          </w:p>
        </w:tc>
        <w:tc>
          <w:tcPr>
            <w:tcW w:type="dxa" w:w="1152"/>
            <w:shd w:val="clear" w:fill="F2F5F9"/>
          </w:tcPr>
          <w:p>
            <w:pPr>
              <w:spacing w:after="40" w:before="40"/>
            </w:pPr>
            <w:r>
              <w:rPr>
                <w:sz w:val="17"/>
              </w:rPr>
              <w:t>0.9655</w:t>
            </w:r>
          </w:p>
        </w:tc>
        <w:tc>
          <w:tcPr>
            <w:tcW w:type="dxa" w:w="1152"/>
            <w:shd w:val="clear" w:fill="F2F5F9"/>
          </w:tcPr>
          <w:p>
            <w:pPr>
              <w:spacing w:after="40" w:before="40"/>
            </w:pPr>
            <w:r>
              <w:rPr>
                <w:sz w:val="17"/>
              </w:rPr>
              <w:t>0.9012</w:t>
            </w:r>
          </w:p>
        </w:tc>
      </w:tr>
      <w:tr>
        <w:tc>
          <w:tcPr>
            <w:tcW w:type="dxa" w:w="720"/>
          </w:tcPr>
          <w:p>
            <w:pPr>
              <w:spacing w:after="40" w:before="40"/>
            </w:pPr>
            <w:r>
              <w:rPr>
                <w:sz w:val="17"/>
              </w:rPr>
              <w:t>3</w:t>
            </w:r>
          </w:p>
        </w:tc>
        <w:tc>
          <w:tcPr>
            <w:tcW w:type="dxa" w:w="4896"/>
          </w:tcPr>
          <w:p>
            <w:pPr>
              <w:spacing w:after="40" w:before="40"/>
            </w:pPr>
            <w:r>
              <w:rPr>
                <w:sz w:val="17"/>
              </w:rPr>
              <w:t>clean Attack_v0 / last-timestep / point-adjusted</w:t>
            </w:r>
          </w:p>
        </w:tc>
        <w:tc>
          <w:tcPr>
            <w:tcW w:type="dxa" w:w="1296"/>
          </w:tcPr>
          <w:p>
            <w:pPr>
              <w:spacing w:after="40" w:before="40"/>
            </w:pPr>
            <w:r>
              <w:rPr>
                <w:sz w:val="17"/>
              </w:rPr>
              <w:t>0.8151</w:t>
            </w:r>
          </w:p>
        </w:tc>
        <w:tc>
          <w:tcPr>
            <w:tcW w:type="dxa" w:w="1152"/>
          </w:tcPr>
          <w:p>
            <w:pPr>
              <w:spacing w:after="40" w:before="40"/>
            </w:pPr>
            <w:r>
              <w:rPr>
                <w:sz w:val="17"/>
              </w:rPr>
              <w:t>0.9597</w:t>
            </w:r>
          </w:p>
        </w:tc>
        <w:tc>
          <w:tcPr>
            <w:tcW w:type="dxa" w:w="1152"/>
          </w:tcPr>
          <w:p>
            <w:pPr>
              <w:spacing w:after="40" w:before="40"/>
            </w:pPr>
            <w:r>
              <w:rPr>
                <w:sz w:val="17"/>
              </w:rPr>
              <w:t>0.8815</w:t>
            </w:r>
          </w:p>
        </w:tc>
      </w:tr>
      <w:tr>
        <w:tc>
          <w:tcPr>
            <w:tcW w:type="dxa" w:w="720"/>
            <w:shd w:val="clear" w:fill="F2F5F9"/>
          </w:tcPr>
          <w:p>
            <w:pPr>
              <w:spacing w:after="40" w:before="40"/>
            </w:pPr>
            <w:r>
              <w:rPr>
                <w:sz w:val="17"/>
              </w:rPr>
              <w:t>4</w:t>
            </w:r>
          </w:p>
        </w:tc>
        <w:tc>
          <w:tcPr>
            <w:tcW w:type="dxa" w:w="4896"/>
            <w:shd w:val="clear" w:fill="F2F5F9"/>
          </w:tcPr>
          <w:p>
            <w:pPr>
              <w:spacing w:after="40" w:before="40"/>
            </w:pPr>
            <w:r>
              <w:rPr>
                <w:sz w:val="17"/>
              </w:rPr>
              <w:t>clean Attack_v0 / last-timestep / point-wise (deployment)</w:t>
            </w:r>
          </w:p>
        </w:tc>
        <w:tc>
          <w:tcPr>
            <w:tcW w:type="dxa" w:w="1296"/>
            <w:shd w:val="clear" w:fill="F2F5F9"/>
          </w:tcPr>
          <w:p>
            <w:pPr>
              <w:spacing w:after="40" w:before="40"/>
            </w:pPr>
            <w:r>
              <w:rPr>
                <w:sz w:val="17"/>
              </w:rPr>
              <w:t>0.7822</w:t>
            </w:r>
          </w:p>
        </w:tc>
        <w:tc>
          <w:tcPr>
            <w:tcW w:type="dxa" w:w="1152"/>
            <w:shd w:val="clear" w:fill="F2F5F9"/>
          </w:tcPr>
          <w:p>
            <w:pPr>
              <w:spacing w:after="40" w:before="40"/>
            </w:pPr>
            <w:r>
              <w:rPr>
                <w:sz w:val="17"/>
              </w:rPr>
              <w:t>0.7821</w:t>
            </w:r>
          </w:p>
        </w:tc>
        <w:tc>
          <w:tcPr>
            <w:tcW w:type="dxa" w:w="1152"/>
            <w:shd w:val="clear" w:fill="F2F5F9"/>
          </w:tcPr>
          <w:p>
            <w:pPr>
              <w:spacing w:after="40" w:before="40"/>
            </w:pPr>
            <w:r>
              <w:rPr>
                <w:sz w:val="17"/>
              </w:rPr>
              <w:t>0.7822</w:t>
            </w:r>
          </w:p>
        </w:tc>
      </w:tr>
    </w:tbl>
    <w:p>
      <w:pPr>
        <w:spacing w:after="0" w:before="0"/>
      </w:pPr>
    </w:p>
    <w:p>
      <w:pPr>
        <w:spacing w:before="60" w:after="200"/>
        <w:jc w:val="center"/>
      </w:pPr>
      <w:r>
        <w:rPr>
          <w:i/>
          <w:color w:val="555555"/>
          <w:sz w:val="18"/>
        </w:rPr>
        <w:t>Table 1. Evaluation ladder. Rung 4 is the honest deployment number; each rung isolates one cause of inflation (see docs/provenance/measured_detection_metrics.md).</w:t>
      </w:r>
    </w:p>
    <w:p>
      <w:pPr>
        <w:spacing w:after="40" w:before="0"/>
      </w:pPr>
      <w:r>
        <w:rPr>
          <w:b/>
          <w:i w:val="0"/>
        </w:rPr>
        <w:t>System-level validation.</w:t>
      </w:r>
    </w:p>
    <w:p>
      <w:pPr>
        <w:pStyle w:val="ListBullet"/>
        <w:spacing w:after="40"/>
      </w:pPr>
      <w:r>
        <w:rPr>
          <w:b/>
        </w:rPr>
        <w:t xml:space="preserve">Automated tests — </w:t>
      </w:r>
      <w:r>
        <w:t>the full suite is 286 tests passing (pytest), spanning unit, golden-vector ML-inference parity, backend API, monitoring API, Phase 3 end-to-end integration, and Phase 4 alert-engine cases.</w:t>
      </w:r>
    </w:p>
    <w:p>
      <w:pPr>
        <w:pStyle w:val="ListBullet"/>
        <w:spacing w:after="40"/>
      </w:pPr>
      <w:r>
        <w:rPr>
          <w:b/>
        </w:rPr>
        <w:t xml:space="preserve">Model validation — </w:t>
      </w:r>
      <w:r>
        <w:t>golden-vector tests assert bit-level reconstruction parity; regression tests guard the silent-corruption properties (C-order flatten, clip=False).</w:t>
      </w:r>
    </w:p>
    <w:p>
      <w:pPr>
        <w:pStyle w:val="ListBullet"/>
        <w:spacing w:after="40"/>
      </w:pPr>
      <w:r>
        <w:rPr>
          <w:b/>
        </w:rPr>
        <w:t xml:space="preserve">End-to-end / HTTP — </w:t>
      </w:r>
      <w:r>
        <w:t>the pipeline is verified on real SWaT replay, both in-process (ASGI) and over a real Uvicorn socket, exercising the normal → attack → recovery lifecycle through /score into the alert engine.</w:t>
      </w:r>
    </w:p>
    <w:p>
      <w:pPr>
        <w:pStyle w:val="ListBullet"/>
        <w:spacing w:after="40"/>
      </w:pPr>
      <w:r>
        <w:rPr>
          <w:b/>
        </w:rPr>
        <w:t xml:space="preserve">Manual smoke testing — </w:t>
      </w:r>
      <w:r>
        <w:t>the operator dashboard renders live status and alerts against the running API.</w:t>
      </w:r>
    </w:p>
    <w:p>
      <w:pPr>
        <w:spacing w:after="60" w:before="0"/>
        <w:jc w:val="both"/>
      </w:pPr>
      <w:r>
        <w:rPr>
          <w:b w:val="0"/>
          <w:i/>
        </w:rPr>
        <w:t>Demo vs. metric. The end-to-end demo auto-selects the attack segment that reads most clearly at onset and can report 100% detection on that segment; this is a demonstration result for one chosen segment, not a full-dataset performance figure. The full-dataset, deployment-honest numbers are those in the table above.</w:t>
      </w:r>
    </w:p>
    <w:p>
      <w:pPr>
        <w:pStyle w:val="Heading1"/>
      </w:pPr>
      <w:r>
        <w:t>8. Expected Outcomes / Deliverables</w:t>
      </w:r>
    </w:p>
    <w:p>
      <w:pPr>
        <w:spacing w:after="20" w:before="0"/>
      </w:pPr>
      <w:r>
        <w:rPr>
          <w:b/>
          <w:i w:val="0"/>
        </w:rPr>
        <w:t>8.1 Achieved outcomes / current MVP.</w:t>
      </w:r>
    </w:p>
    <w:p>
      <w:pPr>
        <w:spacing w:after="60" w:before="0"/>
        <w:jc w:val="both"/>
      </w:pPr>
      <w:r>
        <w:rPr>
          <w:b w:val="0"/>
          <w:i w:val="0"/>
        </w:rPr>
        <w:t>Delivered and tested: a TranAD inference engine (stateless detector over immutable artifacts); a reproducible, byte-exact preprocessing pipeline with regression guards; SWaT telemetry replay of the clean Attack_v0 series; a caller-owned rolling 30-sample window; a thin, stateless FastAPI backend (/health, /score); a stateful in-memory alert engine (dedup + OPEN→CLOSED lifecycle); a monitoring API (/status, /alerts, /alerts/active) with a zero-build operator dashboard; an end-to-end demonstration over a real HTTP boundary (normal/attack/recovery); deployment-honest evaluation (point-wise metrics + provenance); and 286 automated tests across unit, ML, API, integration, and end-to-end suites.</w:t>
      </w:r>
    </w:p>
    <w:p>
      <w:pPr>
        <w:spacing w:after="20" w:before="0"/>
      </w:pPr>
      <w:r>
        <w:rPr>
          <w:b/>
          <w:i w:val="0"/>
        </w:rPr>
        <w:t>8.2 Remaining outcomes for final delivery (future work).</w:t>
      </w:r>
    </w:p>
    <w:p>
      <w:pPr>
        <w:spacing w:after="60" w:before="0"/>
        <w:jc w:val="both"/>
      </w:pPr>
      <w:r>
        <w:rPr>
          <w:b w:val="0"/>
          <w:i w:val="0"/>
        </w:rPr>
        <w:t>Not yet implemented: alert persistence/database (replacing in-memory state); stuck/frozen-channel detection at ingest; Docker containerization; a CI/CD pipeline with integrated DevSecOps security gates (SAST, dependency and container scanning); AWS deployment and Terraform infrastructure-as-code; Kubernetes orchestration (a stretch goal); authentication and alert notifications; observability (metrics/logging/tracing); final hardening and performance/latency testing; and an optional, approval-gated threshold recalibration on a clean split (sibling artifact, no retraining). All of these are future work and are not present in the current repository.</w:t>
      </w:r>
    </w:p>
    <w:p>
      <w:pPr>
        <w:pStyle w:val="Heading1"/>
      </w:pPr>
      <w:r>
        <w:t>9. Timeline</w:t>
      </w:r>
    </w:p>
    <w:p>
      <w:pPr>
        <w:spacing w:after="60" w:before="0"/>
      </w:pPr>
      <w:r>
        <w:rPr>
          <w:b w:val="0"/>
          <w:i w:val="0"/>
        </w:rPr>
        <w:t>Original proposal plan (proposal Slide 9 sequencing, expressed in the template's Phase/Task/Weeks form):</w:t>
      </w:r>
    </w:p>
    <w:tbl>
      <w:tblPr>
        <w:tblStyle w:val="TableGrid"/>
        <w:tblW w:type="auto" w:w="0"/>
        <w:jc w:val="center"/>
        <w:tblLook w:firstColumn="1" w:firstRow="1" w:lastColumn="0" w:lastRow="0" w:noHBand="0" w:noVBand="1" w:val="04A0"/>
        <w:tblCellMar>
          <w:top w:w="14" w:type="dxa"/>
          <w:bottom w:w="14" w:type="dxa"/>
          <w:left w:w="60" w:type="dxa"/>
          <w:right w:w="60" w:type="dxa"/>
        </w:tblCellMar>
      </w:tblPr>
      <w:tblGrid>
        <w:gridCol w:w="3360"/>
        <w:gridCol w:w="3360"/>
        <w:gridCol w:w="3360"/>
      </w:tblGrid>
      <w:tr>
        <w:tc>
          <w:tcPr>
            <w:tcW w:type="dxa" w:w="1008"/>
            <w:shd w:val="clear" w:fill="1F3A5F"/>
          </w:tcPr>
          <w:p>
            <w:pPr>
              <w:spacing w:after="40" w:before="40"/>
            </w:pPr>
            <w:r>
              <w:rPr>
                <w:b/>
                <w:color w:val="FFFFFF"/>
                <w:sz w:val="18"/>
              </w:rPr>
              <w:t>Phase</w:t>
            </w:r>
          </w:p>
        </w:tc>
        <w:tc>
          <w:tcPr>
            <w:tcW w:type="dxa" w:w="6336"/>
            <w:shd w:val="clear" w:fill="1F3A5F"/>
          </w:tcPr>
          <w:p>
            <w:pPr>
              <w:spacing w:after="40" w:before="40"/>
            </w:pPr>
            <w:r>
              <w:rPr>
                <w:b/>
                <w:color w:val="FFFFFF"/>
                <w:sz w:val="18"/>
              </w:rPr>
              <w:t>Task</w:t>
            </w:r>
          </w:p>
        </w:tc>
        <w:tc>
          <w:tcPr>
            <w:tcW w:type="dxa" w:w="1440"/>
            <w:shd w:val="clear" w:fill="1F3A5F"/>
          </w:tcPr>
          <w:p>
            <w:pPr>
              <w:spacing w:after="40" w:before="40"/>
            </w:pPr>
            <w:r>
              <w:rPr>
                <w:b/>
                <w:color w:val="FFFFFF"/>
                <w:sz w:val="18"/>
              </w:rPr>
              <w:t>Weeks</w:t>
            </w:r>
          </w:p>
        </w:tc>
      </w:tr>
      <w:tr>
        <w:tc>
          <w:tcPr>
            <w:tcW w:type="dxa" w:w="1008"/>
          </w:tcPr>
          <w:p>
            <w:pPr>
              <w:spacing w:after="40" w:before="40"/>
            </w:pPr>
            <w:r>
              <w:rPr>
                <w:sz w:val="18"/>
              </w:rPr>
              <w:t>1</w:t>
            </w:r>
          </w:p>
        </w:tc>
        <w:tc>
          <w:tcPr>
            <w:tcW w:type="dxa" w:w="6336"/>
          </w:tcPr>
          <w:p>
            <w:pPr>
              <w:spacing w:after="40" w:before="40"/>
            </w:pPr>
            <w:r>
              <w:rPr>
                <w:sz w:val="18"/>
              </w:rPr>
              <w:t>Literature review + SWaT dataset analysis</w:t>
            </w:r>
          </w:p>
        </w:tc>
        <w:tc>
          <w:tcPr>
            <w:tcW w:type="dxa" w:w="1440"/>
          </w:tcPr>
          <w:p>
            <w:pPr>
              <w:spacing w:after="40" w:before="40"/>
            </w:pPr>
            <w:r>
              <w:rPr>
                <w:sz w:val="18"/>
              </w:rPr>
              <w:t>1–2</w:t>
            </w:r>
          </w:p>
        </w:tc>
      </w:tr>
      <w:tr>
        <w:tc>
          <w:tcPr>
            <w:tcW w:type="dxa" w:w="1008"/>
            <w:shd w:val="clear" w:fill="F2F5F9"/>
          </w:tcPr>
          <w:p>
            <w:pPr>
              <w:spacing w:after="40" w:before="40"/>
            </w:pPr>
            <w:r>
              <w:rPr>
                <w:sz w:val="18"/>
              </w:rPr>
              <w:t>2</w:t>
            </w:r>
          </w:p>
        </w:tc>
        <w:tc>
          <w:tcPr>
            <w:tcW w:type="dxa" w:w="6336"/>
            <w:shd w:val="clear" w:fill="F2F5F9"/>
          </w:tcPr>
          <w:p>
            <w:pPr>
              <w:spacing w:after="40" w:before="40"/>
            </w:pPr>
            <w:r>
              <w:rPr>
                <w:sz w:val="18"/>
              </w:rPr>
              <w:t>Data collection &amp; normalization pipeline</w:t>
            </w:r>
          </w:p>
        </w:tc>
        <w:tc>
          <w:tcPr>
            <w:tcW w:type="dxa" w:w="1440"/>
            <w:shd w:val="clear" w:fill="F2F5F9"/>
          </w:tcPr>
          <w:p>
            <w:pPr>
              <w:spacing w:after="40" w:before="40"/>
            </w:pPr>
            <w:r>
              <w:rPr>
                <w:sz w:val="18"/>
              </w:rPr>
              <w:t>3–4</w:t>
            </w:r>
          </w:p>
        </w:tc>
      </w:tr>
      <w:tr>
        <w:tc>
          <w:tcPr>
            <w:tcW w:type="dxa" w:w="1008"/>
          </w:tcPr>
          <w:p>
            <w:pPr>
              <w:spacing w:after="40" w:before="40"/>
            </w:pPr>
            <w:r>
              <w:rPr>
                <w:sz w:val="18"/>
              </w:rPr>
              <w:t>3</w:t>
            </w:r>
          </w:p>
        </w:tc>
        <w:tc>
          <w:tcPr>
            <w:tcW w:type="dxa" w:w="6336"/>
          </w:tcPr>
          <w:p>
            <w:pPr>
              <w:spacing w:after="40" w:before="40"/>
            </w:pPr>
            <w:r>
              <w:rPr>
                <w:sz w:val="18"/>
              </w:rPr>
              <w:t>Train &amp; evaluate ML anomaly-detection model</w:t>
            </w:r>
          </w:p>
        </w:tc>
        <w:tc>
          <w:tcPr>
            <w:tcW w:type="dxa" w:w="1440"/>
          </w:tcPr>
          <w:p>
            <w:pPr>
              <w:spacing w:after="40" w:before="40"/>
            </w:pPr>
            <w:r>
              <w:rPr>
                <w:sz w:val="18"/>
              </w:rPr>
              <w:t>5–7</w:t>
            </w:r>
          </w:p>
        </w:tc>
      </w:tr>
      <w:tr>
        <w:tc>
          <w:tcPr>
            <w:tcW w:type="dxa" w:w="1008"/>
            <w:shd w:val="clear" w:fill="F2F5F9"/>
          </w:tcPr>
          <w:p>
            <w:pPr>
              <w:spacing w:after="40" w:before="40"/>
            </w:pPr>
            <w:r>
              <w:rPr>
                <w:sz w:val="18"/>
              </w:rPr>
              <w:t>4</w:t>
            </w:r>
          </w:p>
        </w:tc>
        <w:tc>
          <w:tcPr>
            <w:tcW w:type="dxa" w:w="6336"/>
            <w:shd w:val="clear" w:fill="F2F5F9"/>
          </w:tcPr>
          <w:p>
            <w:pPr>
              <w:spacing w:after="40" w:before="40"/>
            </w:pPr>
            <w:r>
              <w:rPr>
                <w:sz w:val="18"/>
              </w:rPr>
              <w:t>Cloud infrastructure + monitoring dashboard (in parallel)</w:t>
            </w:r>
          </w:p>
        </w:tc>
        <w:tc>
          <w:tcPr>
            <w:tcW w:type="dxa" w:w="1440"/>
            <w:shd w:val="clear" w:fill="F2F5F9"/>
          </w:tcPr>
          <w:p>
            <w:pPr>
              <w:spacing w:after="40" w:before="40"/>
            </w:pPr>
            <w:r>
              <w:rPr>
                <w:sz w:val="18"/>
              </w:rPr>
              <w:t>6–9</w:t>
            </w:r>
          </w:p>
        </w:tc>
      </w:tr>
      <w:tr>
        <w:tc>
          <w:tcPr>
            <w:tcW w:type="dxa" w:w="1008"/>
          </w:tcPr>
          <w:p>
            <w:pPr>
              <w:spacing w:after="40" w:before="40"/>
            </w:pPr>
            <w:r>
              <w:rPr>
                <w:sz w:val="18"/>
              </w:rPr>
              <w:t>5</w:t>
            </w:r>
          </w:p>
        </w:tc>
        <w:tc>
          <w:tcPr>
            <w:tcW w:type="dxa" w:w="6336"/>
          </w:tcPr>
          <w:p>
            <w:pPr>
              <w:spacing w:after="40" w:before="40"/>
            </w:pPr>
            <w:r>
              <w:rPr>
                <w:sz w:val="18"/>
              </w:rPr>
              <w:t>CI/CD pipeline + security-gate integration</w:t>
            </w:r>
          </w:p>
        </w:tc>
        <w:tc>
          <w:tcPr>
            <w:tcW w:type="dxa" w:w="1440"/>
          </w:tcPr>
          <w:p>
            <w:pPr>
              <w:spacing w:after="40" w:before="40"/>
            </w:pPr>
            <w:r>
              <w:rPr>
                <w:sz w:val="18"/>
              </w:rPr>
              <w:t>9–11</w:t>
            </w:r>
          </w:p>
        </w:tc>
      </w:tr>
      <w:tr>
        <w:tc>
          <w:tcPr>
            <w:tcW w:type="dxa" w:w="1008"/>
            <w:shd w:val="clear" w:fill="F2F5F9"/>
          </w:tcPr>
          <w:p>
            <w:pPr>
              <w:spacing w:after="40" w:before="40"/>
            </w:pPr>
            <w:r>
              <w:rPr>
                <w:sz w:val="18"/>
              </w:rPr>
              <w:t>6</w:t>
            </w:r>
          </w:p>
        </w:tc>
        <w:tc>
          <w:tcPr>
            <w:tcW w:type="dxa" w:w="6336"/>
            <w:shd w:val="clear" w:fill="F2F5F9"/>
          </w:tcPr>
          <w:p>
            <w:pPr>
              <w:spacing w:after="40" w:before="40"/>
            </w:pPr>
            <w:r>
              <w:rPr>
                <w:sz w:val="18"/>
              </w:rPr>
              <w:t>Testing, validation, performance tuning</w:t>
            </w:r>
          </w:p>
        </w:tc>
        <w:tc>
          <w:tcPr>
            <w:tcW w:type="dxa" w:w="1440"/>
            <w:shd w:val="clear" w:fill="F2F5F9"/>
          </w:tcPr>
          <w:p>
            <w:pPr>
              <w:spacing w:after="40" w:before="40"/>
            </w:pPr>
            <w:r>
              <w:rPr>
                <w:sz w:val="18"/>
              </w:rPr>
              <w:t>11–13</w:t>
            </w:r>
          </w:p>
        </w:tc>
      </w:tr>
      <w:tr>
        <w:tc>
          <w:tcPr>
            <w:tcW w:type="dxa" w:w="1008"/>
          </w:tcPr>
          <w:p>
            <w:pPr>
              <w:spacing w:after="40" w:before="40"/>
            </w:pPr>
            <w:r>
              <w:rPr>
                <w:sz w:val="18"/>
              </w:rPr>
              <w:t>7</w:t>
            </w:r>
          </w:p>
        </w:tc>
        <w:tc>
          <w:tcPr>
            <w:tcW w:type="dxa" w:w="6336"/>
          </w:tcPr>
          <w:p>
            <w:pPr>
              <w:spacing w:after="40" w:before="40"/>
            </w:pPr>
            <w:r>
              <w:rPr>
                <w:sz w:val="18"/>
              </w:rPr>
              <w:t>Final demonstration + technical documentation</w:t>
            </w:r>
          </w:p>
        </w:tc>
        <w:tc>
          <w:tcPr>
            <w:tcW w:type="dxa" w:w="1440"/>
          </w:tcPr>
          <w:p>
            <w:pPr>
              <w:spacing w:after="40" w:before="40"/>
            </w:pPr>
            <w:r>
              <w:rPr>
                <w:sz w:val="18"/>
              </w:rPr>
              <w:t>13–14</w:t>
            </w:r>
          </w:p>
        </w:tc>
      </w:tr>
    </w:tbl>
    <w:p>
      <w:pPr>
        <w:spacing w:after="0" w:before="0"/>
      </w:pPr>
    </w:p>
    <w:p>
      <w:pPr>
        <w:spacing w:after="40" w:before="0"/>
      </w:pPr>
      <w:r>
        <w:rPr>
          <w:b/>
          <w:i w:val="0"/>
        </w:rPr>
        <w:t>Actual progress.</w:t>
      </w:r>
    </w:p>
    <w:p>
      <w:pPr>
        <w:spacing w:after="60" w:before="0"/>
        <w:jc w:val="both"/>
      </w:pPr>
      <w:r>
        <w:rPr>
          <w:b w:val="0"/>
          <w:i w:val="0"/>
        </w:rPr>
        <w:t>Proposal Phases 1–3 are complete: the dataset was analyzed and its provenance verified, the preprocessing pipeline reproduced, and the TranAD model trained, evaluated, and honestly re-measured. Proposal Phase 4 is partially complete — the monitoring dashboard and API are delivered locally, but cloud infrastructure is not. The implementation evolved in finer-grained engineering phases (0, 1, 1.5, 2A, 2B, 3, 4, 5A; see §6.2), and the build order was deliberately adjusted so telemetry replay and the rolling window (2A) preceded the API (2B). Remaining future work corresponds to proposal Phases 5–7 (CI/CD security gates, full validation/performance tuning, final demo) plus cloud deployment and alert persistence.</w:t>
      </w:r>
    </w:p>
    <w:p>
      <w:pPr>
        <w:pStyle w:val="Heading1"/>
      </w:pPr>
      <w:r>
        <w:t>10. Risks and Mitigation</w:t>
      </w:r>
    </w:p>
    <w:tbl>
      <w:tblPr>
        <w:tblStyle w:val="TableGrid"/>
        <w:tblW w:type="auto" w:w="0"/>
        <w:jc w:val="center"/>
        <w:tblLook w:firstColumn="1" w:firstRow="1" w:lastColumn="0" w:lastRow="0" w:noHBand="0" w:noVBand="1" w:val="04A0"/>
        <w:tblCellMar>
          <w:top w:w="14" w:type="dxa"/>
          <w:bottom w:w="14" w:type="dxa"/>
          <w:left w:w="60" w:type="dxa"/>
          <w:right w:w="60" w:type="dxa"/>
        </w:tblCellMar>
      </w:tblPr>
      <w:tblGrid>
        <w:gridCol w:w="2520"/>
        <w:gridCol w:w="2520"/>
        <w:gridCol w:w="2520"/>
        <w:gridCol w:w="2520"/>
      </w:tblGrid>
      <w:tr>
        <w:tc>
          <w:tcPr>
            <w:tcW w:type="dxa" w:w="2880"/>
            <w:shd w:val="clear" w:fill="1F3A5F"/>
          </w:tcPr>
          <w:p>
            <w:pPr>
              <w:spacing w:after="40" w:before="40"/>
            </w:pPr>
            <w:r>
              <w:rPr>
                <w:b/>
                <w:color w:val="FFFFFF"/>
                <w:sz w:val="16"/>
              </w:rPr>
              <w:t>Risk</w:t>
            </w:r>
          </w:p>
        </w:tc>
        <w:tc>
          <w:tcPr>
            <w:tcW w:type="dxa" w:w="1152"/>
            <w:shd w:val="clear" w:fill="1F3A5F"/>
          </w:tcPr>
          <w:p>
            <w:pPr>
              <w:spacing w:after="40" w:before="40"/>
            </w:pPr>
            <w:r>
              <w:rPr>
                <w:b/>
                <w:color w:val="FFFFFF"/>
                <w:sz w:val="16"/>
              </w:rPr>
              <w:t>Likelihood</w:t>
            </w:r>
          </w:p>
        </w:tc>
        <w:tc>
          <w:tcPr>
            <w:tcW w:type="dxa" w:w="1008"/>
            <w:shd w:val="clear" w:fill="1F3A5F"/>
          </w:tcPr>
          <w:p>
            <w:pPr>
              <w:spacing w:after="40" w:before="40"/>
            </w:pPr>
            <w:r>
              <w:rPr>
                <w:b/>
                <w:color w:val="FFFFFF"/>
                <w:sz w:val="16"/>
              </w:rPr>
              <w:t>Impact</w:t>
            </w:r>
          </w:p>
        </w:tc>
        <w:tc>
          <w:tcPr>
            <w:tcW w:type="dxa" w:w="4032"/>
            <w:shd w:val="clear" w:fill="1F3A5F"/>
          </w:tcPr>
          <w:p>
            <w:pPr>
              <w:spacing w:after="40" w:before="40"/>
            </w:pPr>
            <w:r>
              <w:rPr>
                <w:b/>
                <w:color w:val="FFFFFF"/>
                <w:sz w:val="16"/>
              </w:rPr>
              <w:t>Mitigation</w:t>
            </w:r>
          </w:p>
        </w:tc>
      </w:tr>
      <w:tr>
        <w:tc>
          <w:tcPr>
            <w:tcW w:type="dxa" w:w="2880"/>
          </w:tcPr>
          <w:p>
            <w:pPr>
              <w:spacing w:after="40" w:before="40"/>
            </w:pPr>
            <w:r>
              <w:rPr>
                <w:sz w:val="16"/>
              </w:rPr>
              <w:t>SWaT data-quality / provenance defects (duplicated block, header mismatch, frozen features)</w:t>
            </w:r>
          </w:p>
        </w:tc>
        <w:tc>
          <w:tcPr>
            <w:tcW w:type="dxa" w:w="1152"/>
          </w:tcPr>
          <w:p>
            <w:pPr>
              <w:spacing w:after="40" w:before="40"/>
            </w:pPr>
            <w:r>
              <w:rPr>
                <w:sz w:val="16"/>
              </w:rPr>
              <w:t>Occurred</w:t>
            </w:r>
          </w:p>
        </w:tc>
        <w:tc>
          <w:tcPr>
            <w:tcW w:type="dxa" w:w="1008"/>
          </w:tcPr>
          <w:p>
            <w:pPr>
              <w:spacing w:after="40" w:before="40"/>
            </w:pPr>
            <w:r>
              <w:rPr>
                <w:sz w:val="16"/>
              </w:rPr>
              <w:t>High</w:t>
            </w:r>
          </w:p>
        </w:tc>
        <w:tc>
          <w:tcPr>
            <w:tcW w:type="dxa" w:w="4032"/>
          </w:tcPr>
          <w:p>
            <w:pPr>
              <w:spacing w:after="40" w:before="40"/>
            </w:pPr>
            <w:r>
              <w:rPr>
                <w:sz w:val="16"/>
              </w:rPr>
              <w:t>Fully documented; clean Attack_v0 reconstruction used; findings version-controlled.</w:t>
            </w:r>
          </w:p>
        </w:tc>
      </w:tr>
      <w:tr>
        <w:tc>
          <w:tcPr>
            <w:tcW w:type="dxa" w:w="2880"/>
            <w:shd w:val="clear" w:fill="F2F5F9"/>
          </w:tcPr>
          <w:p>
            <w:pPr>
              <w:spacing w:after="40" w:before="40"/>
            </w:pPr>
            <w:r>
              <w:rPr>
                <w:sz w:val="16"/>
              </w:rPr>
              <w:t>Threshold caveat → elevated false positives (~3% FPR; nominal 1% not held)</w:t>
            </w:r>
          </w:p>
        </w:tc>
        <w:tc>
          <w:tcPr>
            <w:tcW w:type="dxa" w:w="1152"/>
            <w:shd w:val="clear" w:fill="F2F5F9"/>
          </w:tcPr>
          <w:p>
            <w:pPr>
              <w:spacing w:after="40" w:before="40"/>
            </w:pPr>
            <w:r>
              <w:rPr>
                <w:sz w:val="16"/>
              </w:rPr>
              <w:t>Occurred</w:t>
            </w:r>
          </w:p>
        </w:tc>
        <w:tc>
          <w:tcPr>
            <w:tcW w:type="dxa" w:w="1008"/>
            <w:shd w:val="clear" w:fill="F2F5F9"/>
          </w:tcPr>
          <w:p>
            <w:pPr>
              <w:spacing w:after="40" w:before="40"/>
            </w:pPr>
            <w:r>
              <w:rPr>
                <w:sz w:val="16"/>
              </w:rPr>
              <w:t>Medium</w:t>
            </w:r>
          </w:p>
        </w:tc>
        <w:tc>
          <w:tcPr>
            <w:tcW w:type="dxa" w:w="4032"/>
            <w:shd w:val="clear" w:fill="F2F5F9"/>
          </w:tcPr>
          <w:p>
            <w:pPr>
              <w:spacing w:after="40" w:before="40"/>
            </w:pPr>
            <w:r>
              <w:rPr>
                <w:sz w:val="16"/>
              </w:rPr>
              <w:t>Caveat surfaced in code/docs; honest point-wise metrics reported; severity heuristic + dedup reduce noise; recalibration deferred and approval-gated.</w:t>
            </w:r>
          </w:p>
        </w:tc>
      </w:tr>
      <w:tr>
        <w:tc>
          <w:tcPr>
            <w:tcW w:type="dxa" w:w="2880"/>
          </w:tcPr>
          <w:p>
            <w:pPr>
              <w:spacing w:after="40" w:before="40"/>
            </w:pPr>
            <w:r>
              <w:rPr>
                <w:sz w:val="16"/>
              </w:rPr>
              <w:t>150 s context / detection-latency floor</w:t>
            </w:r>
          </w:p>
        </w:tc>
        <w:tc>
          <w:tcPr>
            <w:tcW w:type="dxa" w:w="1152"/>
          </w:tcPr>
          <w:p>
            <w:pPr>
              <w:spacing w:after="40" w:before="40"/>
            </w:pPr>
            <w:r>
              <w:rPr>
                <w:sz w:val="16"/>
              </w:rPr>
              <w:t>Certain</w:t>
            </w:r>
          </w:p>
        </w:tc>
        <w:tc>
          <w:tcPr>
            <w:tcW w:type="dxa" w:w="1008"/>
          </w:tcPr>
          <w:p>
            <w:pPr>
              <w:spacing w:after="40" w:before="40"/>
            </w:pPr>
            <w:r>
              <w:rPr>
                <w:sz w:val="16"/>
              </w:rPr>
              <w:t>Low–Med</w:t>
            </w:r>
          </w:p>
        </w:tc>
        <w:tc>
          <w:tcPr>
            <w:tcW w:type="dxa" w:w="4032"/>
          </w:tcPr>
          <w:p>
            <w:pPr>
              <w:spacing w:after="40" w:before="40"/>
            </w:pPr>
            <w:r>
              <w:rPr>
                <w:sz w:val="16"/>
              </w:rPr>
              <w:t>Inherent to the model; documented as a floor; real-time-factor knob for demos.</w:t>
            </w:r>
          </w:p>
        </w:tc>
      </w:tr>
      <w:tr>
        <w:tc>
          <w:tcPr>
            <w:tcW w:type="dxa" w:w="2880"/>
            <w:shd w:val="clear" w:fill="F2F5F9"/>
          </w:tcPr>
          <w:p>
            <w:pPr>
              <w:spacing w:after="40" w:before="40"/>
            </w:pPr>
            <w:r>
              <w:rPr>
                <w:sz w:val="16"/>
              </w:rPr>
              <w:t>Stuck / plausibly-frozen sensor channel passes silently</w:t>
            </w:r>
          </w:p>
        </w:tc>
        <w:tc>
          <w:tcPr>
            <w:tcW w:type="dxa" w:w="1152"/>
            <w:shd w:val="clear" w:fill="F2F5F9"/>
          </w:tcPr>
          <w:p>
            <w:pPr>
              <w:spacing w:after="40" w:before="40"/>
            </w:pPr>
            <w:r>
              <w:rPr>
                <w:sz w:val="16"/>
              </w:rPr>
              <w:t>Medium</w:t>
            </w:r>
          </w:p>
        </w:tc>
        <w:tc>
          <w:tcPr>
            <w:tcW w:type="dxa" w:w="1008"/>
            <w:shd w:val="clear" w:fill="F2F5F9"/>
          </w:tcPr>
          <w:p>
            <w:pPr>
              <w:spacing w:after="40" w:before="40"/>
            </w:pPr>
            <w:r>
              <w:rPr>
                <w:sz w:val="16"/>
              </w:rPr>
              <w:t>Medium</w:t>
            </w:r>
          </w:p>
        </w:tc>
        <w:tc>
          <w:tcPr>
            <w:tcW w:type="dxa" w:w="4032"/>
            <w:shd w:val="clear" w:fill="F2F5F9"/>
          </w:tcPr>
          <w:p>
            <w:pPr>
              <w:spacing w:after="40" w:before="40"/>
            </w:pPr>
            <w:r>
              <w:rPr>
                <w:sz w:val="16"/>
              </w:rPr>
              <w:t>Non-finite input rejected now; dedicated stuck-channel check planned at ingest.</w:t>
            </w:r>
          </w:p>
        </w:tc>
      </w:tr>
      <w:tr>
        <w:tc>
          <w:tcPr>
            <w:tcW w:type="dxa" w:w="2880"/>
          </w:tcPr>
          <w:p>
            <w:pPr>
              <w:spacing w:after="40" w:before="40"/>
            </w:pPr>
            <w:r>
              <w:rPr>
                <w:sz w:val="16"/>
              </w:rPr>
              <w:t>Alert state lost on restart (in-memory only)</w:t>
            </w:r>
          </w:p>
        </w:tc>
        <w:tc>
          <w:tcPr>
            <w:tcW w:type="dxa" w:w="1152"/>
          </w:tcPr>
          <w:p>
            <w:pPr>
              <w:spacing w:after="40" w:before="40"/>
            </w:pPr>
            <w:r>
              <w:rPr>
                <w:sz w:val="16"/>
              </w:rPr>
              <w:t>Certain</w:t>
            </w:r>
          </w:p>
        </w:tc>
        <w:tc>
          <w:tcPr>
            <w:tcW w:type="dxa" w:w="1008"/>
          </w:tcPr>
          <w:p>
            <w:pPr>
              <w:spacing w:after="40" w:before="40"/>
            </w:pPr>
            <w:r>
              <w:rPr>
                <w:sz w:val="16"/>
              </w:rPr>
              <w:t>Medium</w:t>
            </w:r>
          </w:p>
        </w:tc>
        <w:tc>
          <w:tcPr>
            <w:tcW w:type="dxa" w:w="4032"/>
          </w:tcPr>
          <w:p>
            <w:pPr>
              <w:spacing w:after="40" w:before="40"/>
            </w:pPr>
            <w:r>
              <w:rPr>
                <w:sz w:val="16"/>
              </w:rPr>
              <w:t>Documented limitation; persistence/database is prioritized future work.</w:t>
            </w:r>
          </w:p>
        </w:tc>
      </w:tr>
      <w:tr>
        <w:tc>
          <w:tcPr>
            <w:tcW w:type="dxa" w:w="2880"/>
            <w:shd w:val="clear" w:fill="F2F5F9"/>
          </w:tcPr>
          <w:p>
            <w:pPr>
              <w:spacing w:after="40" w:before="40"/>
            </w:pPr>
            <w:r>
              <w:rPr>
                <w:sz w:val="16"/>
              </w:rPr>
              <w:t>Dataset access / licensing (not redistributable)</w:t>
            </w:r>
          </w:p>
        </w:tc>
        <w:tc>
          <w:tcPr>
            <w:tcW w:type="dxa" w:w="1152"/>
            <w:shd w:val="clear" w:fill="F2F5F9"/>
          </w:tcPr>
          <w:p>
            <w:pPr>
              <w:spacing w:after="40" w:before="40"/>
            </w:pPr>
            <w:r>
              <w:rPr>
                <w:sz w:val="16"/>
              </w:rPr>
              <w:t>Low</w:t>
            </w:r>
          </w:p>
        </w:tc>
        <w:tc>
          <w:tcPr>
            <w:tcW w:type="dxa" w:w="1008"/>
            <w:shd w:val="clear" w:fill="F2F5F9"/>
          </w:tcPr>
          <w:p>
            <w:pPr>
              <w:spacing w:after="40" w:before="40"/>
            </w:pPr>
            <w:r>
              <w:rPr>
                <w:sz w:val="16"/>
              </w:rPr>
              <w:t>Medium</w:t>
            </w:r>
          </w:p>
        </w:tc>
        <w:tc>
          <w:tcPr>
            <w:tcW w:type="dxa" w:w="4032"/>
            <w:shd w:val="clear" w:fill="F2F5F9"/>
          </w:tcPr>
          <w:p>
            <w:pPr>
              <w:spacing w:after="40" w:before="40"/>
            </w:pPr>
            <w:r>
              <w:rPr>
                <w:sz w:val="16"/>
              </w:rPr>
              <w:t>CSVs kept local and git-ignored; obtained under iTrust license; path via env var.</w:t>
            </w:r>
          </w:p>
        </w:tc>
      </w:tr>
      <w:tr>
        <w:tc>
          <w:tcPr>
            <w:tcW w:type="dxa" w:w="2880"/>
          </w:tcPr>
          <w:p>
            <w:pPr>
              <w:spacing w:after="40" w:before="40"/>
            </w:pPr>
            <w:r>
              <w:rPr>
                <w:sz w:val="16"/>
              </w:rPr>
              <w:t>Artifact reproducibility / environment drift</w:t>
            </w:r>
          </w:p>
        </w:tc>
        <w:tc>
          <w:tcPr>
            <w:tcW w:type="dxa" w:w="1152"/>
          </w:tcPr>
          <w:p>
            <w:pPr>
              <w:spacing w:after="40" w:before="40"/>
            </w:pPr>
            <w:r>
              <w:rPr>
                <w:sz w:val="16"/>
              </w:rPr>
              <w:t>Low</w:t>
            </w:r>
          </w:p>
        </w:tc>
        <w:tc>
          <w:tcPr>
            <w:tcW w:type="dxa" w:w="1008"/>
          </w:tcPr>
          <w:p>
            <w:pPr>
              <w:spacing w:after="40" w:before="40"/>
            </w:pPr>
            <w:r>
              <w:rPr>
                <w:sz w:val="16"/>
              </w:rPr>
              <w:t>High</w:t>
            </w:r>
          </w:p>
        </w:tc>
        <w:tc>
          <w:tcPr>
            <w:tcW w:type="dxa" w:w="4032"/>
          </w:tcPr>
          <w:p>
            <w:pPr>
              <w:spacing w:after="40" w:before="40"/>
            </w:pPr>
            <w:r>
              <w:rPr>
                <w:sz w:val="16"/>
              </w:rPr>
              <w:t>Artifacts immutable with SHA-256 pins; scikit-learn/torch/numpy pinned; golden-vector parity test.</w:t>
            </w:r>
          </w:p>
        </w:tc>
      </w:tr>
    </w:tbl>
    <w:p>
      <w:pPr>
        <w:spacing w:after="0" w:before="0"/>
      </w:pPr>
    </w:p>
    <w:p>
      <w:pPr>
        <w:pStyle w:val="Heading1"/>
      </w:pPr>
      <w:r>
        <w:t>11. Resources Required</w:t>
      </w:r>
    </w:p>
    <w:p>
      <w:pPr>
        <w:spacing w:after="60" w:before="0"/>
        <w:jc w:val="both"/>
      </w:pPr>
      <w:r>
        <w:rPr>
          <w:b w:val="0"/>
          <w:i w:val="0"/>
        </w:rPr>
        <w:t>Development environment: a Linux workstation with a standard CPU — no GPU is required for TranAD inference or the current evaluation. Python environment: a Python 3.10 virtualenv with pinned PyTorch 2.9.1, scikit-learn 1.7.2, NumPy ≥ 2.0, joblib, FastAPI, Uvicorn, httpx, and pytest; the dashboard is vanilla HTML/CSS/JS with no build toolchain. Dataset: the licensed iTrust SWaT CSVs, held locally (not in version control) and provided via $SWAT_DATASET_DIR. Tooling: Git/GitHub for source and documentation. Future cloud resources (needed only for the deferred cloud/CI-CD phases, not the current local MVP): an AWS account, a container registry, Terraform, and optionally Kubernetes. The project also requires ongoing team collaboration and periodic supervisor review.</w:t>
      </w:r>
    </w:p>
    <w:p>
      <w:pPr>
        <w:pStyle w:val="Heading1"/>
      </w:pPr>
      <w:r>
        <w:t>12. References</w:t>
      </w:r>
    </w:p>
    <w:p>
      <w:pPr>
        <w:spacing w:after="20" w:line="235" w:lineRule="auto"/>
        <w:ind w:left="403" w:hanging="403"/>
      </w:pPr>
      <w:r>
        <w:rPr>
          <w:b/>
          <w:sz w:val="17"/>
        </w:rPr>
        <w:t xml:space="preserve">[1] </w:t>
      </w:r>
      <w:r>
        <w:rPr>
          <w:sz w:val="17"/>
        </w:rPr>
        <w:t>J. Goh, S. Adepu, K. N. Junejo, and A. Mathur, “A dataset to support research in the design of secure water treatment systems,” in Proc. Int. Conf. Critical Information Infrastructures Security (CRITIS), 2016, pp. 88–99.</w:t>
      </w:r>
    </w:p>
    <w:p>
      <w:pPr>
        <w:spacing w:after="20" w:line="235" w:lineRule="auto"/>
        <w:ind w:left="403" w:hanging="403"/>
      </w:pPr>
      <w:r>
        <w:rPr>
          <w:b/>
          <w:sz w:val="17"/>
        </w:rPr>
        <w:t xml:space="preserve">[2] </w:t>
      </w:r>
      <w:r>
        <w:rPr>
          <w:sz w:val="17"/>
        </w:rPr>
        <w:t>A. P. Mathur and N. O. Tippenhauer, “SWaT: A water treatment testbed for research and training on ICS security,” in Proc. Int. Workshop on Cyber-Physical Systems for Smart Water Networks (CySWater), 2016, pp. 31–36.</w:t>
      </w:r>
    </w:p>
    <w:p>
      <w:pPr>
        <w:spacing w:after="20" w:line="235" w:lineRule="auto"/>
        <w:ind w:left="403" w:hanging="403"/>
      </w:pPr>
      <w:r>
        <w:rPr>
          <w:b/>
          <w:sz w:val="17"/>
        </w:rPr>
        <w:t xml:space="preserve">[3] </w:t>
      </w:r>
      <w:r>
        <w:rPr>
          <w:sz w:val="17"/>
        </w:rPr>
        <w:t>C. M. Ahmed, V. R. Palleti, and A. P. Mathur, “WADI: A water distribution testbed for research in the design of secure cyber physical systems,” in Proc. 3rd Int. Workshop on Cyber-Physical Systems for Smart Water Networks (CySWATER), 2017, pp. 25–28.</w:t>
      </w:r>
    </w:p>
    <w:p>
      <w:pPr>
        <w:spacing w:after="20" w:line="235" w:lineRule="auto"/>
        <w:ind w:left="403" w:hanging="403"/>
      </w:pPr>
      <w:r>
        <w:rPr>
          <w:b/>
          <w:sz w:val="17"/>
        </w:rPr>
        <w:t xml:space="preserve">[4] </w:t>
      </w:r>
      <w:r>
        <w:rPr>
          <w:sz w:val="17"/>
        </w:rPr>
        <w:t>J. Audibert, P. Michiardi, F. Guyard, S. Marti, and M. A. Zuluaga, “USAD: Unsupervised anomaly detection on multivariate time series,” in Proc. 26th ACM SIGKDD Int. Conf. Knowledge Discovery &amp; Data Mining (KDD), 2020, pp. 3395–3404.</w:t>
      </w:r>
    </w:p>
    <w:p>
      <w:pPr>
        <w:spacing w:after="20" w:line="235" w:lineRule="auto"/>
        <w:ind w:left="403" w:hanging="403"/>
      </w:pPr>
      <w:r>
        <w:rPr>
          <w:b/>
          <w:sz w:val="17"/>
        </w:rPr>
        <w:t xml:space="preserve">[5] </w:t>
      </w:r>
      <w:r>
        <w:rPr>
          <w:sz w:val="17"/>
        </w:rPr>
        <w:t>A. Deng and B. Hooi, “Graph neural network-based anomaly detection in multivariate time series,” in Proc. AAAI Conf. Artificial Intelligence, vol. 35, no. 5, 2021, pp. 4027–4035.</w:t>
      </w:r>
    </w:p>
    <w:p>
      <w:pPr>
        <w:spacing w:after="20" w:line="235" w:lineRule="auto"/>
        <w:ind w:left="403" w:hanging="403"/>
      </w:pPr>
      <w:r>
        <w:rPr>
          <w:b/>
          <w:sz w:val="17"/>
        </w:rPr>
        <w:t xml:space="preserve">[6] </w:t>
      </w:r>
      <w:r>
        <w:rPr>
          <w:sz w:val="17"/>
        </w:rPr>
        <w:t>S. Tuli, G. Casale, and N. R. Jennings, “TranAD: Deep transformer networks for anomaly detection in multivariate time series data,” Proc. VLDB Endowment, vol. 15, no. 6, pp. 1201–1214, 2022.</w:t>
      </w:r>
    </w:p>
    <w:p>
      <w:pPr>
        <w:spacing w:after="20" w:line="235" w:lineRule="auto"/>
        <w:ind w:left="403" w:hanging="403"/>
      </w:pPr>
      <w:r>
        <w:rPr>
          <w:b/>
          <w:sz w:val="17"/>
        </w:rPr>
        <w:t xml:space="preserve">[7] </w:t>
      </w:r>
      <w:r>
        <w:rPr>
          <w:sz w:val="17"/>
        </w:rPr>
        <w:t>S. Kim, K. Choi, H.-S. Choi, B. Lee, and S. Yoon, “Towards a rigorous evaluation of time-series anomaly detection,” in Proc. AAAI Conf. Artificial Intelligence, vol. 36, no. 7, 2022, pp. 7194–7201.</w:t>
      </w:r>
    </w:p>
    <w:p>
      <w:pPr>
        <w:spacing w:after="20" w:line="235" w:lineRule="auto"/>
        <w:ind w:left="403" w:hanging="403"/>
      </w:pPr>
      <w:r>
        <w:rPr>
          <w:b/>
          <w:sz w:val="17"/>
        </w:rPr>
        <w:t xml:space="preserve">[8] </w:t>
      </w:r>
      <w:r>
        <w:rPr>
          <w:sz w:val="17"/>
        </w:rPr>
        <w:t>D. Sculley et al., “Hidden technical debt in machine learning systems,” in Advances in Neural Information Processing Systems (NeurIPS), vol. 28, 2015, pp. 2503–2511.</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0"/>
      <w:outlineLvl w:val="0"/>
    </w:pPr>
    <w:rPr>
      <w:rFonts w:asciiTheme="majorHAnsi" w:eastAsiaTheme="majorEastAsia" w:hAnsiTheme="majorHAnsi" w:cstheme="majorBidi" w:ascii="Calibri" w:hAnsi="Calibri"/>
      <w:b/>
      <w:bCs/>
      <w:color w:val="1F3A5F"/>
      <w:sz w:val="25"/>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1F3A5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