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№3: отчет.</w:t>
      </w:r>
    </w:p>
    <w:p>
      <w:pPr>
        <w:pStyle w:val="Subtitle"/>
      </w:pPr>
      <w:r>
        <w:t xml:space="preserve">Шифры простой замены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понятие Гаммирование и его особенности и типы.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End w:id="22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— это метод шифрования, при котором каждый символ открытого</w:t>
      </w:r>
      <w:r>
        <w:t xml:space="preserve"> </w:t>
      </w:r>
      <w:r>
        <w:t xml:space="preserve">текста складывается с соответствующим символом гаммы (ключа) для получения</w:t>
      </w:r>
      <w:r>
        <w:t xml:space="preserve"> </w:t>
      </w:r>
      <w:r>
        <w:t xml:space="preserve">зашифрованного текста. Гамма — это последовательность символов, которая</w:t>
      </w:r>
      <w:r>
        <w:t xml:space="preserve"> </w:t>
      </w:r>
      <w:r>
        <w:t xml:space="preserve">используется для шифрования.</w:t>
      </w:r>
    </w:p>
    <w:bookmarkStart w:id="23" w:name="справка-по-способам"/>
    <w:p>
      <w:pPr>
        <w:pStyle w:val="Heading2"/>
      </w:pPr>
      <w:r>
        <w:t xml:space="preserve">Справка по способам</w:t>
      </w:r>
    </w:p>
    <w:p>
      <w:pPr>
        <w:pStyle w:val="FirstParagraph"/>
      </w:pPr>
      <w:r>
        <w:t xml:space="preserve">Процедура наложения гаммы на исходный текст может быть различной. Например,</w:t>
      </w:r>
      <w:r>
        <w:t xml:space="preserve"> </w:t>
      </w:r>
      <w:r>
        <w:t xml:space="preserve">символы исходного текста и гаммы заменяются цифровыми эквивалентами, которые</w:t>
      </w:r>
      <w:r>
        <w:t xml:space="preserve"> </w:t>
      </w:r>
      <w:r>
        <w:t xml:space="preserve">затем складываются или вычитаются. Или символы исходного текста и гаммы</w:t>
      </w:r>
      <w:r>
        <w:t xml:space="preserve"> </w:t>
      </w:r>
      <w:r>
        <w:t xml:space="preserve">представляются в виде двоичного кода, затем соответствующие разряды</w:t>
      </w:r>
      <w:r>
        <w:t xml:space="preserve"> </w:t>
      </w:r>
      <w:r>
        <w:t xml:space="preserve">складываются по модулю 2. Также можно использовать преобразование по правилу</w:t>
      </w:r>
      <w:r>
        <w:t xml:space="preserve"> </w:t>
      </w:r>
      <w:r>
        <w:t xml:space="preserve">логической эквивалентности (неэквивалентности) и другие логические операции.</w:t>
      </w:r>
    </w:p>
    <w:p>
      <w:pPr>
        <w:pStyle w:val="BodyText"/>
      </w:pPr>
      <w:r>
        <w:t xml:space="preserve">В качестве гаммы может быть использована любая последовательность случайных</w:t>
      </w:r>
      <w:r>
        <w:t xml:space="preserve"> </w:t>
      </w:r>
      <w:r>
        <w:t xml:space="preserve">символов, например, последовательность цифр числа пи (3,14…). При ручном</w:t>
      </w:r>
      <w:r>
        <w:t xml:space="preserve"> </w:t>
      </w:r>
      <w:r>
        <w:t xml:space="preserve">шифровании для формирования случайной цифровой последовательности любой длины</w:t>
      </w:r>
      <w:r>
        <w:t xml:space="preserve"> </w:t>
      </w:r>
      <w:r>
        <w:t xml:space="preserve">можно использовать фортунку-рулетку, раскручивая стрелку. Шкала вертушки</w:t>
      </w:r>
      <w:r>
        <w:t xml:space="preserve"> </w:t>
      </w:r>
      <w:r>
        <w:t xml:space="preserve">разделена на 10 равных секторов, которые помечены цифрами от 0 до 9.</w:t>
      </w:r>
    </w:p>
    <w:bookmarkEnd w:id="23"/>
    <w:bookmarkStart w:id="24" w:name="алгоритм-гаммирования-бесконечный-случай"/>
    <w:p>
      <w:pPr>
        <w:pStyle w:val="Heading2"/>
      </w:pPr>
      <w:r>
        <w:t xml:space="preserve">Алгоритм Гаммирования: Бесконечный случай</w:t>
      </w:r>
    </w:p>
    <w:p>
      <w:pPr>
        <w:pStyle w:val="Compact"/>
        <w:numPr>
          <w:ilvl w:val="0"/>
          <w:numId w:val="1001"/>
        </w:numPr>
      </w:pPr>
      <w:r>
        <w:t xml:space="preserve">Гамма: Бесконечная псевдослучайная последовательность символов.</w:t>
      </w:r>
    </w:p>
    <w:p>
      <w:pPr>
        <w:pStyle w:val="FirstParagraph"/>
      </w:pPr>
      <w:r>
        <w:t xml:space="preserve">Шифрование:</w:t>
      </w:r>
    </w:p>
    <w:p>
      <w:pPr>
        <w:pStyle w:val="Compact"/>
        <w:numPr>
          <w:ilvl w:val="0"/>
          <w:numId w:val="1002"/>
        </w:numPr>
      </w:pPr>
      <w:r>
        <w:t xml:space="preserve">Для каждого символа открытого текста P[i] и соответствующего символа гаммы G[i].</w:t>
      </w:r>
    </w:p>
    <w:p>
      <w:pPr>
        <w:pStyle w:val="Compact"/>
        <w:numPr>
          <w:ilvl w:val="0"/>
          <w:numId w:val="1002"/>
        </w:numPr>
      </w:pPr>
      <w:r>
        <w:t xml:space="preserve">Вычислить зашифрованный символ C[i] = P[i] ⊕ G[i] (побитовое XOR).</w:t>
      </w:r>
    </w:p>
    <w:p>
      <w:pPr>
        <w:pStyle w:val="FirstParagraph"/>
      </w:pPr>
      <w:r>
        <w:t xml:space="preserve">Дешифрование:</w:t>
      </w:r>
    </w:p>
    <w:p>
      <w:pPr>
        <w:pStyle w:val="Compact"/>
        <w:numPr>
          <w:ilvl w:val="0"/>
          <w:numId w:val="1003"/>
        </w:numPr>
      </w:pPr>
      <w:r>
        <w:t xml:space="preserve">Для каждого символа зашифрованного текста C[i] и соответствующего символа гаммы G[i].</w:t>
      </w:r>
    </w:p>
    <w:p>
      <w:pPr>
        <w:pStyle w:val="Compact"/>
        <w:numPr>
          <w:ilvl w:val="0"/>
          <w:numId w:val="1003"/>
        </w:numPr>
      </w:pPr>
      <w:r>
        <w:t xml:space="preserve">Вычислить открытый символ P[i] = C[i] ⊕ G[i] (побитовое XOR).</w:t>
      </w:r>
    </w:p>
    <w:bookmarkEnd w:id="24"/>
    <w:bookmarkStart w:id="25" w:name="алгоритм-гаммирования-конечная-гамма"/>
    <w:p>
      <w:pPr>
        <w:pStyle w:val="Heading2"/>
      </w:pPr>
      <w:r>
        <w:t xml:space="preserve">Алгоритм Гаммирования: Конечная гамма</w:t>
      </w:r>
    </w:p>
    <w:p>
      <w:pPr>
        <w:pStyle w:val="Compact"/>
        <w:numPr>
          <w:ilvl w:val="0"/>
          <w:numId w:val="1004"/>
        </w:numPr>
      </w:pPr>
      <w:r>
        <w:t xml:space="preserve">Гамма: Конечная последовательность символов, которая повторяется, если</w:t>
      </w:r>
      <w:r>
        <w:t xml:space="preserve"> </w:t>
      </w:r>
      <w:r>
        <w:t xml:space="preserve">длина открытого текста превышает длину гаммы.</w:t>
      </w:r>
    </w:p>
    <w:p>
      <w:pPr>
        <w:pStyle w:val="FirstParagraph"/>
      </w:pPr>
      <w:r>
        <w:t xml:space="preserve">Шифрование:</w:t>
      </w:r>
    </w:p>
    <w:p>
      <w:pPr>
        <w:pStyle w:val="Compact"/>
        <w:numPr>
          <w:ilvl w:val="0"/>
          <w:numId w:val="1005"/>
        </w:numPr>
      </w:pPr>
      <w:r>
        <w:t xml:space="preserve">Для каждого символа открытого текста P[i] и соответствующего символа гаммы G[i % len(G)].</w:t>
      </w:r>
    </w:p>
    <w:p>
      <w:pPr>
        <w:pStyle w:val="Compact"/>
        <w:numPr>
          <w:ilvl w:val="0"/>
          <w:numId w:val="1005"/>
        </w:numPr>
      </w:pPr>
      <w:r>
        <w:t xml:space="preserve">Вычислить зашифрованный символ C[i] = P[i] ⊕ G[i % len(G)] (побитовое XOR).</w:t>
      </w:r>
    </w:p>
    <w:p>
      <w:pPr>
        <w:pStyle w:val="FirstParagraph"/>
      </w:pPr>
      <w:r>
        <w:t xml:space="preserve">Дешифрование:</w:t>
      </w:r>
    </w:p>
    <w:p>
      <w:pPr>
        <w:pStyle w:val="Compact"/>
        <w:numPr>
          <w:ilvl w:val="0"/>
          <w:numId w:val="1006"/>
        </w:numPr>
      </w:pPr>
      <w:r>
        <w:t xml:space="preserve">Для каждого символа зашифрованного текста C[i] и соответствующего символа гаммы G[i % len(G)].</w:t>
      </w:r>
    </w:p>
    <w:p>
      <w:pPr>
        <w:pStyle w:val="Compact"/>
        <w:numPr>
          <w:ilvl w:val="0"/>
          <w:numId w:val="1006"/>
        </w:numPr>
      </w:pPr>
      <w:r>
        <w:t xml:space="preserve">Вычислить открытый символ P[i] = C[i] ⊕ G[i % len(G)] (побитовое XOR).</w:t>
      </w:r>
    </w:p>
    <w:bookmarkEnd w:id="25"/>
    <w:bookmarkEnd w:id="26"/>
    <w:bookmarkStart w:id="51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В ходе выполнения задания было создано 2 вариант простейшего гаммирования</w:t>
      </w:r>
      <w:r>
        <w:t xml:space="preserve"> </w:t>
      </w:r>
      <w:r>
        <w:t xml:space="preserve">на основе логической операции XOR.</w:t>
      </w:r>
    </w:p>
    <w:bookmarkStart w:id="31" w:name="вариант-1"/>
    <w:p>
      <w:pPr>
        <w:pStyle w:val="Heading2"/>
      </w:pPr>
      <w:r>
        <w:t xml:space="preserve">Вариант 1</w:t>
      </w:r>
    </w:p>
    <w:p>
      <w:pPr>
        <w:pStyle w:val="FirstParagraph"/>
      </w:pPr>
      <w:r>
        <w:t xml:space="preserve">В первом варианте реализации метода Гаммирования я использовал</w:t>
      </w:r>
      <w:r>
        <w:t xml:space="preserve"> </w:t>
      </w:r>
      <w:r>
        <w:t xml:space="preserve">возможности Julia для использования всего диапазона всех</w:t>
      </w:r>
      <w:r>
        <w:t xml:space="preserve"> </w:t>
      </w:r>
      <w:r>
        <w:t xml:space="preserve">ASCII/Unicode символов.</w:t>
      </w:r>
    </w:p>
    <w:bookmarkStart w:id="30" w:name="fig:001"/>
    <w:p>
      <w:pPr>
        <w:pStyle w:val="CaptionedFigure"/>
      </w:pPr>
      <w:r>
        <w:drawing>
          <wp:inline>
            <wp:extent cx="3733800" cy="1774707"/>
            <wp:effectExtent b="0" l="0" r="0" t="0"/>
            <wp:docPr descr="Первый вариант гаммирования" title="" id="28" name="Picture"/>
            <a:graphic>
              <a:graphicData uri="http://schemas.openxmlformats.org/drawingml/2006/picture">
                <pic:pic>
                  <pic:nvPicPr>
                    <pic:cNvPr descr="image/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вариант гаммирования</w:t>
      </w:r>
    </w:p>
    <w:bookmarkEnd w:id="30"/>
    <w:bookmarkEnd w:id="31"/>
    <w:bookmarkStart w:id="36" w:name="результат-1"/>
    <w:p>
      <w:pPr>
        <w:pStyle w:val="Heading2"/>
      </w:pPr>
      <w:r>
        <w:t xml:space="preserve">Результат 1</w:t>
      </w:r>
    </w:p>
    <w:bookmarkStart w:id="35" w:name="fig:002"/>
    <w:p>
      <w:pPr>
        <w:pStyle w:val="CaptionedFigure"/>
      </w:pPr>
      <w:r>
        <w:drawing>
          <wp:inline>
            <wp:extent cx="3733800" cy="1533083"/>
            <wp:effectExtent b="0" l="0" r="0" t="0"/>
            <wp:docPr descr="Результат первого вариант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первого варианта</w:t>
      </w:r>
    </w:p>
    <w:bookmarkEnd w:id="35"/>
    <w:bookmarkEnd w:id="36"/>
    <w:bookmarkStart w:id="45" w:name="вариант-2"/>
    <w:p>
      <w:pPr>
        <w:pStyle w:val="Heading2"/>
      </w:pPr>
      <w:r>
        <w:t xml:space="preserve">Вариант 2</w:t>
      </w:r>
    </w:p>
    <w:p>
      <w:pPr>
        <w:pStyle w:val="FirstParagraph"/>
      </w:pPr>
      <w:r>
        <w:t xml:space="preserve">Для второго варианта реализации метода Гаммирования уже был</w:t>
      </w:r>
      <w:r>
        <w:t xml:space="preserve"> </w:t>
      </w:r>
      <w:r>
        <w:t xml:space="preserve">создан список символов состоящих из обычных и заглавных букв</w:t>
      </w:r>
      <w:r>
        <w:t xml:space="preserve"> </w:t>
      </w:r>
      <w:r>
        <w:t xml:space="preserve">русского и английского алфавита.</w:t>
      </w:r>
    </w:p>
    <w:bookmarkStart w:id="40" w:name="fig:003"/>
    <w:p>
      <w:pPr>
        <w:pStyle w:val="CaptionedFigure"/>
      </w:pPr>
      <w:r>
        <w:drawing>
          <wp:inline>
            <wp:extent cx="3733800" cy="1642320"/>
            <wp:effectExtent b="0" l="0" r="0" t="0"/>
            <wp:docPr descr="Список используемых символов" title="" id="38" name="Picture"/>
            <a:graphic>
              <a:graphicData uri="http://schemas.openxmlformats.org/drawingml/2006/picture">
                <pic:pic>
                  <pic:nvPicPr>
                    <pic:cNvPr descr="image/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используемых символов</w:t>
      </w:r>
    </w:p>
    <w:bookmarkEnd w:id="40"/>
    <w:bookmarkStart w:id="44" w:name="fig:004"/>
    <w:p>
      <w:pPr>
        <w:pStyle w:val="CaptionedFigure"/>
      </w:pPr>
      <w:r>
        <w:drawing>
          <wp:inline>
            <wp:extent cx="3733800" cy="2138960"/>
            <wp:effectExtent b="0" l="0" r="0" t="0"/>
            <wp:docPr descr="Второй вариант гаммирования" title="" id="42" name="Picture"/>
            <a:graphic>
              <a:graphicData uri="http://schemas.openxmlformats.org/drawingml/2006/picture">
                <pic:pic>
                  <pic:nvPicPr>
                    <pic:cNvPr descr="image/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вариант гаммирования</w:t>
      </w:r>
    </w:p>
    <w:bookmarkEnd w:id="44"/>
    <w:bookmarkEnd w:id="45"/>
    <w:bookmarkStart w:id="50" w:name="результат-2"/>
    <w:p>
      <w:pPr>
        <w:pStyle w:val="Heading2"/>
      </w:pPr>
      <w:r>
        <w:t xml:space="preserve">Результат 2</w:t>
      </w:r>
    </w:p>
    <w:bookmarkStart w:id="49" w:name="fig:005"/>
    <w:p>
      <w:pPr>
        <w:pStyle w:val="CaptionedFigure"/>
      </w:pPr>
      <w:r>
        <w:drawing>
          <wp:inline>
            <wp:extent cx="3733800" cy="1637749"/>
            <wp:effectExtent b="0" l="0" r="0" t="0"/>
            <wp:docPr descr="Результат второго варианта" title="" id="47" name="Picture"/>
            <a:graphic>
              <a:graphicData uri="http://schemas.openxmlformats.org/drawingml/2006/picture">
                <pic:pic>
                  <pic:nvPicPr>
                    <pic:cNvPr descr="image/0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второго варианта</w:t>
      </w:r>
    </w:p>
    <w:bookmarkEnd w:id="49"/>
    <w:bookmarkEnd w:id="50"/>
    <w:bookmarkEnd w:id="51"/>
    <w:bookmarkStart w:id="53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52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понятие</w:t>
      </w:r>
      <w:r>
        <w:t xml:space="preserve"> </w:t>
      </w:r>
      <w:r>
        <w:t xml:space="preserve">гаммирование и его принципах работы. Применены некоторые способы</w:t>
      </w:r>
      <w:r>
        <w:t xml:space="preserve"> </w:t>
      </w:r>
      <w:r>
        <w:t xml:space="preserve">его реализации и рассмотрены разные его типы.</w:t>
      </w:r>
    </w:p>
    <w:bookmarkEnd w:id="52"/>
    <w:bookmarkEnd w:id="53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54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pStyle w:val="Compact"/>
        <w:numPr>
          <w:ilvl w:val="0"/>
          <w:numId w:val="1007"/>
        </w:numPr>
      </w:pPr>
      <w:hyperlink r:id="rId55">
        <w:r>
          <w:rPr>
            <w:rStyle w:val="Hyperlink"/>
          </w:rPr>
          <w:t xml:space="preserve">МАТЕМАТИЧЕСКИЕ МЕТОДЫ ЗАЩИТЫ ИНФОРМАЦИИ Рацеева С.М. (стр. 292)</w:t>
        </w:r>
      </w:hyperlink>
    </w:p>
    <w:p>
      <w:pPr>
        <w:pStyle w:val="Compact"/>
        <w:numPr>
          <w:ilvl w:val="0"/>
          <w:numId w:val="1007"/>
        </w:numPr>
      </w:pPr>
      <w:hyperlink r:id="rId56">
        <w:r>
          <w:rPr>
            <w:rStyle w:val="Hyperlink"/>
          </w:rPr>
          <w:t xml:space="preserve">88-97, 174. метод гаммирования Евгений Александрович Лыгин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hyperlink" Id="rId56" Target="https://proza.ru/2024/03/10/839" TargetMode="External" /><Relationship Type="http://schemas.openxmlformats.org/officeDocument/2006/relationships/hyperlink" Id="rId54" Target="https://studfile.net/preview/9721709/page:5/" TargetMode="External" /><Relationship Type="http://schemas.openxmlformats.org/officeDocument/2006/relationships/hyperlink" Id="rId55" Target="https://www.ulsu.ru/media/documents/&#1056;&#1072;&#1094;&#1077;&#1077;&#1074;_&#1057;.&#1052;._&#1052;&#1072;&#1090;&#1077;&#1084;&#1072;&#1090;&#1080;&#1095;&#1077;&#1089;&#1082;&#1080;&#1077;_&#1084;&#1077;&#1090;&#1086;&#1076;&#1099;_&#1079;&#1072;&#1097;&#1080;&#1090;&#1099;_&#1080;&#1085;&#1092;&#1086;&#1088;&#1084;&#1072;&#1094;&#1080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proza.ru/2024/03/10/839" TargetMode="External" /><Relationship Type="http://schemas.openxmlformats.org/officeDocument/2006/relationships/hyperlink" Id="rId54" Target="https://studfile.net/preview/9721709/page:5/" TargetMode="External" /><Relationship Type="http://schemas.openxmlformats.org/officeDocument/2006/relationships/hyperlink" Id="rId55" Target="https://www.ulsu.ru/media/documents/&#1056;&#1072;&#1094;&#1077;&#1077;&#1074;_&#1057;.&#1052;._&#1052;&#1072;&#1090;&#1077;&#1084;&#1072;&#1090;&#1080;&#1095;&#1077;&#1089;&#1082;&#1080;&#1077;_&#1084;&#1077;&#1090;&#1086;&#1076;&#1099;_&#1079;&#1072;&#1097;&#1080;&#1090;&#1099;_&#1080;&#1085;&#1092;&#1086;&#1088;&#1084;&#1072;&#1094;&#1080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№3: отчет.</dc:title>
  <dc:creator>Евдокимов Максим Михайлович. Группа - НФИмд-01-24.</dc:creator>
  <dc:language>ru-RU</dc:language>
  <cp:keywords/>
  <dcterms:created xsi:type="dcterms:W3CDTF">2024-09-29T23:16:00Z</dcterms:created>
  <dcterms:modified xsi:type="dcterms:W3CDTF">2024-09-29T23:16:00Z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простой замены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