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3" w:name="указание-к-работе"/>
    <w:p>
      <w:pPr>
        <w:pStyle w:val="Heading1"/>
      </w:pPr>
      <w:r>
        <w:t xml:space="preserve">Указание к работе</w:t>
      </w:r>
    </w:p>
    <w:bookmarkStart w:id="22" w:name="основные-термины-emacs"/>
    <w:p>
      <w:pPr>
        <w:pStyle w:val="Heading2"/>
      </w:pPr>
      <w:r>
        <w:t xml:space="preserve">Основные термины Emacs</w:t>
      </w:r>
    </w:p>
    <w:p>
      <w:pPr>
        <w:pStyle w:val="FirstParagraph"/>
      </w:pPr>
      <w:r>
        <w:rPr>
          <w:iCs/>
          <w:i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 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rPr>
          <w:iCs/>
          <w:i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rPr>
          <w:iCs/>
          <w:i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iCs/>
          <w:i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iCs/>
          <w:i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iCs/>
          <w:i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2"/>
    <w:bookmarkEnd w:id="23"/>
    <w:bookmarkStart w:id="10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pStyle w:val="CaptionedFigure"/>
      </w:pPr>
      <w:r>
        <w:drawing>
          <wp:inline>
            <wp:extent cx="3733800" cy="2051718"/>
            <wp:effectExtent b="0" l="0" r="0" t="0"/>
            <wp:docPr descr="Открытие emacs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emacs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pStyle w:val="CaptionedFigure"/>
      </w:pPr>
      <w:r>
        <w:drawing>
          <wp:inline>
            <wp:extent cx="3733800" cy="3902242"/>
            <wp:effectExtent b="0" l="0" r="0" t="0"/>
            <wp:docPr descr="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Наберите текст указанный в задание.</w:t>
      </w:r>
    </w:p>
    <w:p>
      <w:pPr>
        <w:pStyle w:val="CaptionedFigure"/>
      </w:pPr>
      <w:r>
        <w:drawing>
          <wp:inline>
            <wp:extent cx="3733800" cy="3906921"/>
            <wp:effectExtent b="0" l="0" r="0" t="0"/>
            <wp:docPr descr="Ввод текст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5"/>
        </w:numPr>
        <w:pStyle w:val="Compact"/>
      </w:pPr>
      <w:r>
        <w:t xml:space="preserve">Сохранить файл с помощью комбинации Ctrl-x Ctrl-s (C-x C-s).</w:t>
      </w:r>
    </w:p>
    <w:p>
      <w:pPr>
        <w:pStyle w:val="CaptionedFigure"/>
      </w:pPr>
      <w:r>
        <w:drawing>
          <wp:inline>
            <wp:extent cx="3733800" cy="3980819"/>
            <wp:effectExtent b="0" l="0" r="0" t="0"/>
            <wp:docPr descr="Сохронение файл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Сохронение файла</w:t>
      </w:r>
    </w:p>
    <w:p>
      <w:pPr>
        <w:numPr>
          <w:ilvl w:val="0"/>
          <w:numId w:val="1006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клавиш:</w:t>
      </w:r>
    </w:p>
    <w:p>
      <w:pPr>
        <w:pStyle w:val="CaptionedFigure"/>
      </w:pPr>
      <w:r>
        <w:drawing>
          <wp:inline>
            <wp:extent cx="3733800" cy="3957637"/>
            <wp:effectExtent b="0" l="0" r="0" t="0"/>
            <wp:docPr descr="Редактировать текст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Редактировать текст</w:t>
      </w:r>
    </w:p>
    <w:p>
      <w:pPr>
        <w:pStyle w:val="BodyText"/>
      </w:pPr>
      <w:r>
        <w:t xml:space="preserve">5.1. Вырезать одной командой целую строку (С-k).</w:t>
      </w:r>
    </w:p>
    <w:p>
      <w:pPr>
        <w:pStyle w:val="CaptionedFigure"/>
      </w:pPr>
      <w:r>
        <w:drawing>
          <wp:inline>
            <wp:extent cx="3733800" cy="3982720"/>
            <wp:effectExtent b="0" l="0" r="0" t="0"/>
            <wp:docPr descr="Веделение строк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Веделение строк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CaptionedFigure"/>
      </w:pPr>
      <w:r>
        <w:drawing>
          <wp:inline>
            <wp:extent cx="3733800" cy="4012872"/>
            <wp:effectExtent b="0" l="0" r="0" t="0"/>
            <wp:docPr descr="Вставка текста в конец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 в конец</w:t>
      </w:r>
    </w:p>
    <w:p>
      <w:pPr>
        <w:pStyle w:val="BodyText"/>
      </w:pPr>
      <w:r>
        <w:t xml:space="preserve">5.3. Выделить область текста (C-space).</w:t>
      </w:r>
    </w:p>
    <w:p>
      <w:pPr>
        <w:pStyle w:val="CaptionedFigure"/>
      </w:pPr>
      <w:r>
        <w:drawing>
          <wp:inline>
            <wp:extent cx="3733800" cy="4055511"/>
            <wp:effectExtent b="0" l="0" r="0" t="0"/>
            <wp:docPr descr="Выделение области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CaptionedFigure"/>
      </w:pPr>
      <w:r>
        <w:drawing>
          <wp:inline>
            <wp:extent cx="3733800" cy="4084461"/>
            <wp:effectExtent b="0" l="0" r="0" t="0"/>
            <wp:docPr descr="Копирование в буфер обмена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буфер обмена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CaptionedFigure"/>
      </w:pPr>
      <w:r>
        <w:drawing>
          <wp:inline>
            <wp:extent cx="3733800" cy="4078155"/>
            <wp:effectExtent b="0" l="0" r="0" t="0"/>
            <wp:docPr descr="Вставка из буфера обмен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из буфера обмена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CaptionedFigure"/>
      </w:pPr>
      <w:r>
        <w:drawing>
          <wp:inline>
            <wp:extent cx="3733800" cy="4052718"/>
            <wp:effectExtent b="0" l="0" r="0" t="0"/>
            <wp:docPr descr="Вырезание области в буфер обмен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области в буфер обмена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pStyle w:val="CaptionedFigure"/>
      </w:pPr>
      <w:r>
        <w:drawing>
          <wp:inline>
            <wp:extent cx="3733800" cy="4123972"/>
            <wp:effectExtent b="0" l="0" r="0" t="0"/>
            <wp:docPr descr="Отмена действий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действий</w:t>
      </w:r>
    </w:p>
    <w:p>
      <w:pPr>
        <w:numPr>
          <w:ilvl w:val="0"/>
          <w:numId w:val="1007"/>
        </w:numPr>
        <w:pStyle w:val="Compact"/>
      </w:pPr>
      <w:r>
        <w:t xml:space="preserve">Научитесь использовать команды по перемещению курсора: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CaptionedFigure"/>
      </w:pPr>
      <w:r>
        <w:drawing>
          <wp:inline>
            <wp:extent cx="3733800" cy="4137050"/>
            <wp:effectExtent b="0" l="0" r="0" t="0"/>
            <wp:docPr descr="Переход в начало строк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начало строки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CaptionedFigure"/>
      </w:pPr>
      <w:r>
        <w:drawing>
          <wp:inline>
            <wp:extent cx="3733800" cy="4024368"/>
            <wp:effectExtent b="0" l="0" r="0" t="0"/>
            <wp:docPr descr="Переход в конец строк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конец строки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CaptionedFigure"/>
      </w:pPr>
      <w:r>
        <w:drawing>
          <wp:inline>
            <wp:extent cx="3733800" cy="4158095"/>
            <wp:effectExtent b="0" l="0" r="0" t="0"/>
            <wp:docPr descr="Перещение в начало буфера курсор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Перещение в начало буфера курсора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pStyle w:val="CaptionedFigure"/>
      </w:pPr>
      <w:r>
        <w:drawing>
          <wp:inline>
            <wp:extent cx="3733800" cy="4093387"/>
            <wp:effectExtent b="0" l="0" r="0" t="0"/>
            <wp:docPr descr="Перещение в конец буфера курсор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Перещение в конец буфера курсора</w:t>
      </w:r>
    </w:p>
    <w:p>
      <w:pPr>
        <w:numPr>
          <w:ilvl w:val="0"/>
          <w:numId w:val="1008"/>
        </w:numPr>
        <w:pStyle w:val="Compact"/>
      </w:pPr>
      <w:r>
        <w:t xml:space="preserve">Управление буферами:</w:t>
      </w:r>
    </w:p>
    <w:p>
      <w:pPr>
        <w:pStyle w:val="FirstParagraph"/>
      </w:pPr>
      <w:r>
        <w:t xml:space="preserve">7.1. Вывести список активных буферов на экран (C-x C-b).</w:t>
      </w:r>
    </w:p>
    <w:p>
      <w:pPr>
        <w:pStyle w:val="CaptionedFigure"/>
      </w:pPr>
      <w:r>
        <w:drawing>
          <wp:inline>
            <wp:extent cx="3733800" cy="3973453"/>
            <wp:effectExtent b="0" l="0" r="0" t="0"/>
            <wp:docPr descr="Список активных буферов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CaptionedFigure"/>
      </w:pPr>
      <w:r>
        <w:drawing>
          <wp:inline>
            <wp:extent cx="3733800" cy="4076799"/>
            <wp:effectExtent b="0" l="0" r="0" t="0"/>
            <wp:docPr descr="Перемещение между буферами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буферами</w:t>
      </w:r>
    </w:p>
    <w:p>
      <w:pPr>
        <w:pStyle w:val="BodyText"/>
      </w:pPr>
      <w:r>
        <w:t xml:space="preserve">7.3. Закройте это окно (C-x 0).</w:t>
      </w:r>
    </w:p>
    <w:p>
      <w:pPr>
        <w:pStyle w:val="CaptionedFigure"/>
      </w:pPr>
      <w:r>
        <w:drawing>
          <wp:inline>
            <wp:extent cx="3733800" cy="4174839"/>
            <wp:effectExtent b="0" l="0" r="0" t="0"/>
            <wp:docPr descr="Закрытие сторонних окон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сторонних окон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CaptionedFigure"/>
      </w:pPr>
      <w:r>
        <w:drawing>
          <wp:inline>
            <wp:extent cx="3733800" cy="3953154"/>
            <wp:effectExtent b="0" l="0" r="0" t="0"/>
            <wp:docPr descr="Переключение между буферами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буферами</w:t>
      </w:r>
    </w:p>
    <w:p>
      <w:pPr>
        <w:numPr>
          <w:ilvl w:val="0"/>
          <w:numId w:val="1009"/>
        </w:numPr>
        <w:pStyle w:val="Compact"/>
      </w:pPr>
      <w:r>
        <w:t xml:space="preserve">Управление окнами: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(см. рис. 9.1).</w:t>
      </w:r>
    </w:p>
    <w:p>
      <w:pPr>
        <w:pStyle w:val="CaptionedFigure"/>
      </w:pPr>
      <w:r>
        <w:drawing>
          <wp:inline>
            <wp:extent cx="3733800" cy="3874521"/>
            <wp:effectExtent b="0" l="0" r="0" t="0"/>
            <wp:docPr descr="Разделение на 2 буфер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на 2 буфера</w:t>
      </w:r>
    </w:p>
    <w:p>
      <w:pPr>
        <w:pStyle w:val="CaptionedFigure"/>
      </w:pPr>
      <w:r>
        <w:drawing>
          <wp:inline>
            <wp:extent cx="3733800" cy="3874344"/>
            <wp:effectExtent b="0" l="0" r="0" t="0"/>
            <wp:docPr descr="Разделение на 4 буфер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на 4 буфера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pStyle w:val="CaptionedFigure"/>
      </w:pPr>
      <w:r>
        <w:drawing>
          <wp:inline>
            <wp:extent cx="3733800" cy="3974070"/>
            <wp:effectExtent b="0" l="0" r="0" t="0"/>
            <wp:docPr descr="Одновременное редактирование нескольких файлов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Одновременное редактирование нескольких файлов</w:t>
      </w:r>
    </w:p>
    <w:p>
      <w:pPr>
        <w:numPr>
          <w:ilvl w:val="0"/>
          <w:numId w:val="1010"/>
        </w:numPr>
        <w:pStyle w:val="Compact"/>
      </w:pPr>
      <w:r>
        <w:t xml:space="preserve">Режим поиска:</w:t>
      </w:r>
    </w:p>
    <w:p>
      <w:pPr>
        <w:pStyle w:val="FirstParagraph"/>
      </w:pPr>
      <w:r>
        <w:t xml:space="preserve">9.1. Переключитесь в режим поиска (C-s) и найдите несколько слов, присутствующих в тексте.</w:t>
      </w:r>
    </w:p>
    <w:p>
      <w:pPr>
        <w:pStyle w:val="CaptionedFigure"/>
      </w:pPr>
      <w:r>
        <w:drawing>
          <wp:inline>
            <wp:extent cx="3733800" cy="3993626"/>
            <wp:effectExtent b="0" l="0" r="0" t="0"/>
            <wp:docPr descr="Поиск по файлу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по файлу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CaptionedFigure"/>
      </w:pPr>
      <w:r>
        <w:drawing>
          <wp:inline>
            <wp:extent cx="3733800" cy="4053558"/>
            <wp:effectExtent b="0" l="0" r="0" t="0"/>
            <wp:docPr descr="Переход между результатами поиска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между результатами поиска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CaptionedFigure"/>
      </w:pPr>
      <w:r>
        <w:drawing>
          <wp:inline>
            <wp:extent cx="3733800" cy="3943885"/>
            <wp:effectExtent b="0" l="0" r="0" t="0"/>
            <wp:docPr descr="Выход из режима поиска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pStyle w:val="CaptionedFigure"/>
      </w:pPr>
      <w:r>
        <w:drawing>
          <wp:inline>
            <wp:extent cx="3733800" cy="4138669"/>
            <wp:effectExtent b="0" l="0" r="0" t="0"/>
            <wp:docPr descr="Поиск с заменой (нет)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 заменой (нет)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</w:p>
    <w:p>
      <w:pPr>
        <w:pStyle w:val="CaptionedFigure"/>
      </w:pPr>
      <w:r>
        <w:drawing>
          <wp:inline>
            <wp:extent cx="3733800" cy="3964162"/>
            <wp:effectExtent b="0" l="0" r="0" t="0"/>
            <wp:docPr descr="Альтернативный режим поиска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Альтернативный режим поиска</w:t>
      </w:r>
    </w:p>
    <w:bookmarkEnd w:id="108"/>
    <w:bookmarkStart w:id="10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12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3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4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 Технически можно очень много но лучше не стоит.</w:t>
      </w:r>
    </w:p>
    <w:p>
      <w:pPr>
        <w:numPr>
          <w:ilvl w:val="0"/>
          <w:numId w:val="101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6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“</w:t>
      </w:r>
      <w:r>
        <w:t xml:space="preserve">Ctrl + c</w:t>
      </w:r>
      <w:r>
        <w:t xml:space="preserve">”</w:t>
      </w:r>
      <w:r>
        <w:t xml:space="preserve">, а потом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Ctrl + c</w:t>
      </w:r>
      <w:r>
        <w:t xml:space="preserve">”</w:t>
      </w:r>
      <w:r>
        <w:t xml:space="preserve"> </w:t>
      </w:r>
      <w:r>
        <w:t xml:space="preserve">“</w:t>
      </w:r>
      <w:r>
        <w:t xml:space="preserve">Ctrl + |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Ctrl + x 3</w:t>
      </w:r>
      <w:r>
        <w:t xml:space="preserve">”</w:t>
      </w:r>
      <w:r>
        <w:t xml:space="preserve"> </w:t>
      </w:r>
      <w:r>
        <w:t xml:space="preserve">(по вертикали) и</w:t>
      </w:r>
      <w:r>
        <w:t xml:space="preserve"> </w:t>
      </w:r>
      <w:r>
        <w:t xml:space="preserve">“</w:t>
      </w:r>
      <w:r>
        <w:t xml:space="preserve">Ctrl + x 2</w:t>
      </w:r>
      <w:r>
        <w:t xml:space="preserve">”</w:t>
      </w:r>
      <w:r>
        <w:t xml:space="preserve"> </w:t>
      </w:r>
      <w:r>
        <w:t xml:space="preserve">(по горизонтали).</w:t>
      </w:r>
    </w:p>
    <w:p>
      <w:pPr>
        <w:numPr>
          <w:ilvl w:val="0"/>
          <w:numId w:val="1018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9"/>
        </w:numPr>
        <w:pStyle w:val="Compact"/>
      </w:pPr>
      <w:r>
        <w:t xml:space="preserve">Какую функцию выполняет клавиша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20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Если научится пользоваться то на практике будет удобнее emacs, но у него (как и у многих) запутанные интерфейс и ОЧЕНь сильная привязка к горячим клавишам и неоднозначным, хоть и коротким командам. А vi открывается в терминале, и для выполнение большенства операций с файлом достаточно клавиш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- редактирование,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- для выхода из редактора и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c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для сохронения и выхода (что очень просто и логично).</w:t>
      </w:r>
    </w:p>
    <w:bookmarkEnd w:id="109"/>
    <w:bookmarkStart w:id="11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 изучены основы работы с текстовым редактором emacs и его функцианалом.</w:t>
      </w:r>
    </w:p>
    <w:bookmarkEnd w:id="110"/>
    <w:bookmarkStart w:id="11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1"/>
        </w:numPr>
        <w:pStyle w:val="Compact"/>
      </w:pPr>
      <w:hyperlink r:id="rId111">
        <w:r>
          <w:rPr>
            <w:rStyle w:val="Hyperlink"/>
          </w:rPr>
          <w:t xml:space="preserve">Лабораторная работа №9</w:t>
        </w:r>
      </w:hyperlink>
    </w:p>
    <w:p>
      <w:pPr>
        <w:numPr>
          <w:ilvl w:val="0"/>
          <w:numId w:val="1021"/>
        </w:numPr>
        <w:pStyle w:val="Compact"/>
      </w:pPr>
      <w:hyperlink r:id="rId112">
        <w:r>
          <w:rPr>
            <w:rStyle w:val="Hyperlink"/>
          </w:rPr>
          <w:t xml:space="preserve">emacs manual</w:t>
        </w:r>
      </w:hyperlink>
    </w:p>
    <w:p>
      <w:pPr>
        <w:numPr>
          <w:ilvl w:val="0"/>
          <w:numId w:val="1021"/>
        </w:numPr>
        <w:pStyle w:val="Compact"/>
      </w:pPr>
      <w:hyperlink r:id="rId113">
        <w:r>
          <w:rPr>
            <w:rStyle w:val="Hyperlink"/>
          </w:rPr>
          <w:t xml:space="preserve">Краткий справочник emacs</w:t>
        </w:r>
      </w:hyperlink>
    </w:p>
    <w:p>
      <w:pPr>
        <w:numPr>
          <w:ilvl w:val="0"/>
          <w:numId w:val="1021"/>
        </w:numPr>
        <w:pStyle w:val="Compact"/>
      </w:pPr>
      <w:hyperlink r:id="rId114">
        <w:r>
          <w:rPr>
            <w:rStyle w:val="Hyperlink"/>
          </w:rPr>
          <w:t xml:space="preserve">Статья по работе с emacs</w:t>
        </w:r>
      </w:hyperlink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hyperlink" Id="rId111" Target="https://esystem.rudn.ru/mod/resource/view.php?id=970834" TargetMode="External" /><Relationship Type="http://schemas.openxmlformats.org/officeDocument/2006/relationships/hyperlink" Id="rId114" Target="https://habr.com/ru/articles/139697/" TargetMode="External" /><Relationship Type="http://schemas.openxmlformats.org/officeDocument/2006/relationships/hyperlink" Id="rId112" Target="https://www.gnu.org/software/emacs/manual/html_mono/emacs.html" TargetMode="External" /><Relationship Type="http://schemas.openxmlformats.org/officeDocument/2006/relationships/hyperlink" Id="rId113" Target="https://www.opennet.ru/docs/RUS/emacs_beg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esystem.rudn.ru/mod/resource/view.php?id=970834" TargetMode="External" /><Relationship Type="http://schemas.openxmlformats.org/officeDocument/2006/relationships/hyperlink" Id="rId114" Target="https://habr.com/ru/articles/139697/" TargetMode="External" /><Relationship Type="http://schemas.openxmlformats.org/officeDocument/2006/relationships/hyperlink" Id="rId112" Target="https://www.gnu.org/software/emacs/manual/html_mono/emacs.html" TargetMode="External" /><Relationship Type="http://schemas.openxmlformats.org/officeDocument/2006/relationships/hyperlink" Id="rId113" Target="https://www.opennet.ru/docs/RUS/emacs_beg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№9: отчет.</dc:title>
  <dc:creator>Евдокимов Максим Михайлович. Группа - НФИбд-01-20.</dc:creator>
  <dc:language>ru-RU</dc:language>
  <cp:keywords/>
  <dcterms:created xsi:type="dcterms:W3CDTF">2023-12-28T01:30:22Z</dcterms:created>
  <dcterms:modified xsi:type="dcterms:W3CDTF">2023-12-28T01:30:22Z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emacs.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