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  <w:jc w:val="center"/>
      </w:pPr>
      <w:r>
        <w:rPr>
          <w:rFonts w:ascii="Arial" w:hAnsi="Arial" w:eastAsia="Microsoft YaHei"/>
          <w:b/>
          <w:color w:val="111827"/>
          <w:sz w:val="40"/>
        </w:rPr>
        <w:t>况熙</w:t>
      </w:r>
    </w:p>
    <w:p>
      <w:pPr>
        <w:spacing w:before="20" w:after="40" w:lineRule="auto" w:line="240"/>
        <w:jc w:val="center"/>
      </w:pPr>
      <w:r>
        <w:rPr>
          <w:rFonts w:ascii="Arial" w:hAnsi="Arial" w:eastAsia="Microsoft YaHei"/>
          <w:b w:val="0"/>
          <w:color w:val="4B5563"/>
          <w:sz w:val="17"/>
        </w:rPr>
        <w:t>19982042910 ｜ 492700414@qq.com ｜ 成都 / 北京均可 ｜ 求职意向：多模态算法工程师 / 大模型应用开发工程师</w:t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个人简介</w:t>
      </w:r>
    </w:p>
    <w:p>
      <w:pPr>
        <w:spacing w:before="0" w:after="24" w:lineRule="auto" w:line="228"/>
      </w:pPr>
      <w:r>
        <w:rPr>
          <w:rFonts w:ascii="Arial" w:hAnsi="Arial" w:eastAsia="Microsoft YaHei"/>
          <w:b w:val="0"/>
          <w:color w:val="111827"/>
          <w:sz w:val="17"/>
        </w:rPr>
        <w:t>计算机技术硕士在读，具备大模型应用、多模态检索、计算机视觉与后端工程化落地经验。曾参与铁路配件智能识别、企业文档脱敏、医学报告质控等 AI 项目，熟悉从模型适配、检索链路、业务接口到 Docker 部署的完整交付流程。</w:t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专业技能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大模型与智能应用：RAG、AI Agent、Prompt Engineering、LoRA 微调、GRPO 强化学习、LangChain、LlamaIndex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多模态与视觉检索：SigLIP、DINOv2、BGE-M3、SAM/SAM2、YOLO-World、OCR、图像分割、图文检索、语义检索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后端与工程化：Python、FastAPI、Flask、Django、MySQL、Redis、Milvus、MinIO、Docker、Linux、Nginx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模型工程：PyTorch、模型推理部署、数据处理、向量索引构建、批处理任务、服务监控与日志排查</w:t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实习经历</w:t>
      </w:r>
    </w:p>
    <w:p>
      <w:pPr>
        <w:spacing w:before="40" w:after="20" w:lineRule="auto" w:line="240"/>
      </w:pPr>
      <w:r>
        <w:rPr>
          <w:rFonts w:ascii="Arial" w:hAnsi="Arial" w:eastAsia="Microsoft YaHei"/>
          <w:b/>
          <w:color w:val="111827"/>
          <w:sz w:val="18"/>
        </w:rPr>
        <w:t>布法罗机器人科技（成都）有限公司</w:t>
      </w:r>
      <w:r>
        <w:rPr>
          <w:rFonts w:ascii="Arial" w:hAnsi="Arial" w:eastAsia="Microsoft YaHei"/>
          <w:b w:val="0"/>
          <w:color w:val="4B5563"/>
          <w:sz w:val="17"/>
        </w:rPr>
        <w:t xml:space="preserve"> ｜ 多智能体研发实习生 ｜ 2026.03 - 2026.07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负责企业级 AI 多智能体架构搭建、流程编排与本地化部署落地。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参与铁路配件智能识别系统核心研发，完成多模态检索、图像分割、向量索引、三维重构等业务能力建设。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参与后端接口开发、业务联调、Docker 部署与甲方环境交付，支撑 AI 项目闭环上线。</w:t>
      </w:r>
    </w:p>
    <w:p>
      <w:pPr>
        <w:spacing w:before="40" w:after="20" w:lineRule="auto" w:line="240"/>
      </w:pPr>
      <w:r>
        <w:rPr>
          <w:rFonts w:ascii="Arial" w:hAnsi="Arial" w:eastAsia="Microsoft YaHei"/>
          <w:b/>
          <w:color w:val="111827"/>
          <w:sz w:val="18"/>
        </w:rPr>
        <w:t>四川安正企业管理集团</w:t>
      </w:r>
      <w:r>
        <w:rPr>
          <w:rFonts w:ascii="Arial" w:hAnsi="Arial" w:eastAsia="Microsoft YaHei"/>
          <w:b w:val="0"/>
          <w:color w:val="4B5563"/>
          <w:sz w:val="17"/>
        </w:rPr>
        <w:t xml:space="preserve"> ｜ 算法实习生 ｜ 2025.11 - 2026.03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负责法律文书 OCR、敏感信息抽取、敏感内容高亮与大模型 API 接入。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参与 RAG 技术方案调研、知识库构建、文档分块、Embedding 选型与检索效果优化。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完成后端业务接口封装、服务联调与调用监控建设，提升大模型应用可观测性。</w:t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项目经历</w:t>
      </w:r>
    </w:p>
    <w:p>
      <w:pPr>
        <w:spacing w:before="60" w:after="40" w:lineRule="auto" w:line="240"/>
        <w:shd w:fill="EFF6FF"/>
      </w:pPr>
      <w:r>
        <w:rPr>
          <w:rFonts w:ascii="Arial" w:hAnsi="Arial" w:eastAsia="Microsoft YaHei"/>
          <w:b/>
          <w:color w:val="111827"/>
          <w:sz w:val="18"/>
        </w:rPr>
        <w:t xml:space="preserve">  中车配件智能识别系统</w:t>
      </w:r>
      <w:r>
        <w:rPr>
          <w:rFonts w:ascii="Arial" w:hAnsi="Arial" w:eastAsia="Microsoft YaHei"/>
          <w:b w:val="0"/>
          <w:color w:val="4B5563"/>
          <w:sz w:val="17"/>
        </w:rPr>
        <w:t xml:space="preserve"> ｜ 工业多模态检索平台 &amp; AI 工程化交付 ｜ 2026.03 - 2026.07</w:t>
      </w:r>
    </w:p>
    <w:p>
      <w:pPr>
        <w:spacing w:before="0" w:after="24" w:lineRule="auto" w:line="228"/>
      </w:pPr>
      <w:r>
        <w:rPr>
          <w:rFonts w:ascii="Arial" w:hAnsi="Arial" w:eastAsia="Microsoft YaHei"/>
          <w:b/>
          <w:color w:val="111827"/>
          <w:sz w:val="16"/>
        </w:rPr>
        <w:t>背景：</w:t>
      </w:r>
      <w:r>
        <w:rPr>
          <w:rFonts w:ascii="Arial" w:hAnsi="Arial" w:eastAsia="Microsoft YaHei"/>
          <w:b w:val="0"/>
          <w:color w:val="111827"/>
          <w:sz w:val="16"/>
        </w:rPr>
        <w:t>面向铁路配件识别、询码、核验与三维重构场景，解决工业配件图像相似度高、人工询码效率低、历史描述不规范、向量索引重建复杂、技术核验闭环缺失等问题。</w:t>
      </w:r>
    </w:p>
    <w:p>
      <w:pPr>
        <w:spacing w:before="0" w:after="24" w:lineRule="auto" w:line="228"/>
      </w:pPr>
      <w:r>
        <w:rPr>
          <w:rFonts w:ascii="Arial" w:hAnsi="Arial" w:eastAsia="Microsoft YaHei"/>
          <w:b/>
          <w:color w:val="111827"/>
          <w:sz w:val="16"/>
        </w:rPr>
        <w:t>我的职责：</w:t>
      </w:r>
      <w:r>
        <w:rPr>
          <w:rFonts w:ascii="Arial" w:hAnsi="Arial" w:eastAsia="Microsoft YaHei"/>
          <w:b w:val="0"/>
          <w:color w:val="111827"/>
          <w:sz w:val="16"/>
        </w:rPr>
        <w:t>负责系统核心研发与工程化落地，参与从 0 到 1 搭建铁路配件智能识别平台，完成主业务服务、模型推理服务、三维重构服务的解耦设计，并支撑甲方内网部署、联调和验收。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多模态检索工程化：融合 SigLIP、DINOv2、YOLO-World/SAM2、OCR 与 Milvus，打通图片预处理、特征提取、向量入库、相似检索、结果回写和业务 API 服务链路。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询码语义检索：基于 BGE-M3 构建历史询码描述文本索引，支持自然语言描述召回配件；设计全量重建、SGO 同步后增量索引、任务状态追踪与失败告警机制。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企业系统对接：对接 SGO 业务系统与 Kingbase/MySQL 数据源，处理配件主数据、图片、询码历史同步，以及甲方 Kingbase 私有时间类型兼容、失败明细、取消和重试等流程。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三维重构链路：参与视频上传、分片处理、任务提交、状态同步和结果文件管理，支持 Viewer360、原图兜底、任务目录清理等业务能力。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工程交付：完成主业务服务 Docker 容器化交付，配置 MySQL、Redis、Milvus、MinIO、模型服务和重构服务等外部依赖；实现 SGO Token 鉴权、Redis 缓存和 Nginx + MinIO 文件代理访问。</w:t>
      </w:r>
    </w:p>
    <w:p>
      <w:pPr>
        <w:spacing w:before="0" w:after="24" w:lineRule="auto" w:line="228"/>
      </w:pPr>
      <w:r>
        <w:rPr>
          <w:rFonts w:ascii="Arial" w:hAnsi="Arial" w:eastAsia="Microsoft YaHei"/>
          <w:b/>
          <w:color w:val="111827"/>
          <w:sz w:val="16"/>
        </w:rPr>
        <w:t>项目成果：</w:t>
      </w:r>
      <w:r>
        <w:rPr>
          <w:rFonts w:ascii="Arial" w:hAnsi="Arial" w:eastAsia="Microsoft YaHei"/>
          <w:b w:val="0"/>
          <w:color w:val="111827"/>
          <w:sz w:val="16"/>
        </w:rPr>
        <w:t>累计处理 7.8 万+ 配件主数据、1.4 万+ 样本图片、2 万+ 业务向量数据；建设 70+ 核心业务接口，覆盖配件管理、图片检索、询码语义检索、索引构建、检索历史、技术核验、三维重构和文件代理等完整业务闭环。</w:t>
      </w:r>
    </w:p>
    <w:p>
      <w:pPr>
        <w:spacing w:before="0" w:after="0" w:lineRule="auto" w:line="240"/>
      </w:pPr>
      <w:r>
        <w:br w:type="page"/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项目经历（续）</w:t>
      </w:r>
    </w:p>
    <w:p>
      <w:pPr>
        <w:spacing w:before="60" w:after="40" w:lineRule="auto" w:line="240"/>
        <w:shd w:fill="F3F4F6"/>
      </w:pPr>
      <w:r>
        <w:rPr>
          <w:rFonts w:ascii="Arial" w:hAnsi="Arial" w:eastAsia="Microsoft YaHei"/>
          <w:b/>
          <w:color w:val="111827"/>
          <w:sz w:val="18"/>
        </w:rPr>
        <w:t xml:space="preserve">  企业级文档脱敏一体机与大模型应用平台</w:t>
      </w:r>
      <w:r>
        <w:rPr>
          <w:rFonts w:ascii="Arial" w:hAnsi="Arial" w:eastAsia="Microsoft YaHei"/>
          <w:b w:val="0"/>
          <w:color w:val="4B5563"/>
          <w:sz w:val="17"/>
        </w:rPr>
        <w:t xml:space="preserve"> ｜ 四川安正企业管理集团 ｜ 2025.11 - 2026.03</w:t>
      </w:r>
    </w:p>
    <w:p>
      <w:pPr>
        <w:spacing w:before="0" w:after="24" w:lineRule="auto" w:line="228"/>
      </w:pPr>
      <w:r>
        <w:rPr>
          <w:rFonts w:ascii="Arial" w:hAnsi="Arial" w:eastAsia="Microsoft YaHei"/>
          <w:b/>
          <w:color w:val="111827"/>
          <w:sz w:val="17"/>
        </w:rPr>
        <w:t>背景：</w:t>
      </w:r>
      <w:r>
        <w:rPr>
          <w:rFonts w:ascii="Arial" w:hAnsi="Arial" w:eastAsia="Microsoft YaHei"/>
          <w:b w:val="0"/>
          <w:color w:val="111827"/>
          <w:sz w:val="17"/>
        </w:rPr>
        <w:t>面向法律文书和企业内部文档处理场景，解决低质量 PDF 识别鲁棒性差、多类敏感实体抽取困难、大模型调用缺乏统一管理和监控的问题。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大模型抽取：基于大模型实现姓名、公司、地址等 6 类敏感实体结构化抽取，结合 OCR、对比度增强、超分辨率等预处理提升低质量文档识别效果。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RAG 系统构建：使用 LangChain 搭建文档分块、Embedding 向量化、知识检索与问答生成链路，完成 RAG Pipeline 整合与迭代优化。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可观测性建设：引入 Langfuse 搭建调用监控、日志追踪与用量统计体系，提升大模型服务排查和运维效率。</w:t>
      </w:r>
    </w:p>
    <w:p>
      <w:pPr>
        <w:spacing w:before="60" w:after="40" w:lineRule="auto" w:line="240"/>
        <w:shd w:fill="F3F4F6"/>
      </w:pPr>
      <w:r>
        <w:rPr>
          <w:rFonts w:ascii="Arial" w:hAnsi="Arial" w:eastAsia="Microsoft YaHei"/>
          <w:b/>
          <w:color w:val="111827"/>
          <w:sz w:val="18"/>
        </w:rPr>
        <w:t xml:space="preserve">  成都大学附属医院病历报告质控系统</w:t>
      </w:r>
      <w:r>
        <w:rPr>
          <w:rFonts w:ascii="Arial" w:hAnsi="Arial" w:eastAsia="Microsoft YaHei"/>
          <w:b w:val="0"/>
          <w:color w:val="4B5563"/>
          <w:sz w:val="17"/>
        </w:rPr>
        <w:t xml:space="preserve"> ｜ 成都大学研究生课题 ｜ 2024.06 - 至今</w:t>
      </w:r>
    </w:p>
    <w:p>
      <w:pPr>
        <w:spacing w:before="0" w:after="24" w:lineRule="auto" w:line="228"/>
      </w:pPr>
      <w:r>
        <w:rPr>
          <w:rFonts w:ascii="Arial" w:hAnsi="Arial" w:eastAsia="Microsoft YaHei"/>
          <w:b/>
          <w:color w:val="111827"/>
          <w:sz w:val="17"/>
        </w:rPr>
        <w:t>背景：</w:t>
      </w:r>
      <w:r>
        <w:rPr>
          <w:rFonts w:ascii="Arial" w:hAnsi="Arial" w:eastAsia="Microsoft YaHei"/>
          <w:b w:val="0"/>
          <w:color w:val="111827"/>
          <w:sz w:val="17"/>
        </w:rPr>
        <w:t>面向医学报告实时与事后质控场景，解决报告中方位、器官、诊断推断错误，以及生成术语不连贯、可解释性差等问题。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模型微调与强化学习：构建医学影像-诊断问答数据集，基于 Qwen2.5-7B 进行 LoRA 微调，并引入 GRPO 强化学习与 BLEU 奖励机制；相较基础微调模型 ROUGE-1 F1 提升 6.1%、ROUGE-2 F1 提升 3.9%。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RAG + 知识图谱：从报告数据构建医学知识图谱作为外部检索库，提高质控结论的可解释性与准确性。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Agent 规则引擎：使用 AI Agent 自动化构造质控规则，减少人工规则维护成本。</w:t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教育背景</w:t>
      </w:r>
    </w:p>
    <w:p>
      <w:pPr>
        <w:spacing w:before="20" w:after="20" w:lineRule="auto" w:line="240"/>
      </w:pPr>
      <w:r>
        <w:rPr>
          <w:rFonts w:ascii="Arial" w:hAnsi="Arial" w:eastAsia="Microsoft YaHei"/>
          <w:b/>
          <w:color w:val="111827"/>
          <w:sz w:val="18"/>
        </w:rPr>
        <w:t>成都大学</w:t>
      </w:r>
      <w:r>
        <w:rPr>
          <w:rFonts w:ascii="Arial" w:hAnsi="Arial" w:eastAsia="Microsoft YaHei"/>
          <w:b w:val="0"/>
          <w:color w:val="4B5563"/>
          <w:sz w:val="17"/>
        </w:rPr>
        <w:t xml:space="preserve"> ｜ 计算机技术 ｜ 硕士 ｜ 2024.09 - 至今</w:t>
      </w:r>
    </w:p>
    <w:p>
      <w:pPr>
        <w:spacing w:before="0" w:after="24" w:lineRule="auto" w:line="228"/>
      </w:pPr>
      <w:r>
        <w:rPr>
          <w:rFonts w:ascii="Arial" w:hAnsi="Arial" w:eastAsia="Microsoft YaHei"/>
          <w:b w:val="0"/>
          <w:color w:val="111827"/>
          <w:sz w:val="16"/>
        </w:rPr>
        <w:t>核心课程：深度学习理论与应用、计算机视觉技术与应用、高级随机过程理论与应用、算法设计与分析</w:t>
      </w:r>
    </w:p>
    <w:p>
      <w:pPr>
        <w:spacing w:before="20" w:after="20" w:lineRule="auto" w:line="240"/>
      </w:pPr>
      <w:r>
        <w:rPr>
          <w:rFonts w:ascii="Arial" w:hAnsi="Arial" w:eastAsia="Microsoft YaHei"/>
          <w:b/>
          <w:color w:val="111827"/>
          <w:sz w:val="18"/>
        </w:rPr>
        <w:t>成都大学</w:t>
      </w:r>
      <w:r>
        <w:rPr>
          <w:rFonts w:ascii="Arial" w:hAnsi="Arial" w:eastAsia="Microsoft YaHei"/>
          <w:b w:val="0"/>
          <w:color w:val="4B5563"/>
          <w:sz w:val="17"/>
        </w:rPr>
        <w:t xml:space="preserve"> ｜ 软件工程 ｜ 本科 ｜ 2019.09 - 2023.06</w:t>
      </w:r>
    </w:p>
    <w:p>
      <w:pPr>
        <w:spacing w:before="0" w:after="24" w:lineRule="auto" w:line="228"/>
      </w:pPr>
      <w:r>
        <w:rPr>
          <w:rFonts w:ascii="Arial" w:hAnsi="Arial" w:eastAsia="Microsoft YaHei"/>
          <w:b w:val="0"/>
          <w:color w:val="111827"/>
          <w:sz w:val="16"/>
        </w:rPr>
        <w:t>核心课程：数据结构与算法、计算机网络、操作系统、数据库原理、TCP/IP 网络编程、面向对象程序设计</w:t>
      </w:r>
    </w:p>
    <w:p>
      <w:pPr>
        <w:spacing w:before="80" w:after="40" w:lineRule="auto" w:line="240"/>
        <w:pBdr>
          <w:bottom w:val="single" w:sz="8" w:space="2" w:color="2563EB"/>
        </w:pBdr>
      </w:pPr>
      <w:r>
        <w:rPr>
          <w:rFonts w:ascii="Arial" w:hAnsi="Arial" w:eastAsia="Microsoft YaHei"/>
          <w:b/>
          <w:color w:val="2563EB"/>
          <w:sz w:val="24"/>
        </w:rPr>
        <w:t>证书与奖励</w:t>
      </w:r>
    </w:p>
    <w:p>
      <w:pPr>
        <w:spacing w:before="0" w:after="22" w:lineRule="auto" w:line="226"/>
        <w:ind w:left="238" w:hanging="125"/>
      </w:pPr>
      <w:r>
        <w:rPr>
          <w:rFonts w:ascii="Arial" w:hAnsi="Arial" w:eastAsia="Microsoft YaHei"/>
          <w:b/>
          <w:color w:val="2563EB"/>
          <w:sz w:val="16"/>
        </w:rPr>
        <w:t xml:space="preserve">• </w:t>
      </w:r>
      <w:r>
        <w:rPr>
          <w:rFonts w:ascii="Arial" w:hAnsi="Arial" w:eastAsia="Microsoft YaHei"/>
          <w:b w:val="0"/>
          <w:color w:val="111827"/>
          <w:sz w:val="16"/>
        </w:rPr>
        <w:t>CET-6：468；成都大学学校奖学金一等奖；校学科建设交叉项目立项</w:t>
      </w:r>
    </w:p>
    <w:sectPr w:rsidR="00FC693F" w:rsidRPr="0006063C" w:rsidSect="00034616">
      <w:pgSz w:w="11906" w:h="16838"/>
      <w:pgMar w:top="595" w:right="669" w:bottom="567" w:left="6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