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仿宋_GB2312"/>
          <w:b/>
          <w:sz w:val="44"/>
        </w:rPr>
        <w:t>民事起诉状</w:t>
      </w:r>
    </w:p>
    <w:p>
      <w:pPr>
        <w:spacing w:line="560" w:lineRule="exact" w:before="0" w:after="0"/>
        <w:ind w:firstLine="420"/>
        <w:jc w:val="both"/>
      </w:pPr>
      <w:r>
        <w:rPr>
          <w:rFonts w:ascii="Times New Roman" w:hAnsi="Times New Roman" w:eastAsia="仿宋_GB2312"/>
          <w:sz w:val="24"/>
        </w:rPr>
        <w:t>原告：中菱钢结构股份有限公司，统一社会信用代码：9151070030948025XR，住所地四川省安县界牌镇辽宁大道西侧，法定代表人陈福聪，联系电话 18283379216。</w:t>
      </w:r>
    </w:p>
    <w:p>
      <w:pPr>
        <w:spacing w:line="560" w:lineRule="exact" w:before="0" w:after="0"/>
        <w:ind w:firstLine="420"/>
        <w:jc w:val="both"/>
      </w:pPr>
      <w:r>
        <w:rPr>
          <w:rFonts w:ascii="Times New Roman" w:hAnsi="Times New Roman" w:eastAsia="仿宋_GB2312"/>
          <w:sz w:val="24"/>
        </w:rPr>
        <w:t>被告一：成都安正兴业建筑工程有限公司，统一社会信用代码：91510100MA65TQRDXF，住所地：中国（四川）自由贸易试验区成都高新区吉泰路33号1栋7层3号，法定代表人何彬生，联系电话：028-87636151。</w:t>
      </w:r>
    </w:p>
    <w:p>
      <w:pPr>
        <w:spacing w:line="560" w:lineRule="exact" w:before="0" w:after="0"/>
        <w:ind w:firstLine="420"/>
        <w:jc w:val="both"/>
      </w:pPr>
      <w:r>
        <w:rPr>
          <w:rFonts w:ascii="Times New Roman" w:hAnsi="Times New Roman" w:eastAsia="仿宋_GB2312"/>
          <w:sz w:val="24"/>
        </w:rPr>
        <w:t>被告二：绵阳安州文化旅游集团有限公司，统一社会信用代码：91510724MA62410T1P，住所地四川省绵阳市安州区花荄镇滨江西路北段2号B区5栋B5102、B5104号，法定代表人：王煦，联系电话：0816-5106688。</w:t>
      </w:r>
    </w:p>
    <w:p>
      <w:pPr>
        <w:spacing w:line="560" w:lineRule="exact" w:before="0" w:after="0"/>
        <w:ind w:firstLine="420"/>
        <w:jc w:val="both"/>
      </w:pPr>
      <w:r>
        <w:rPr>
          <w:rFonts w:ascii="Times New Roman" w:hAnsi="Times New Roman" w:eastAsia="仿宋_GB2312"/>
          <w:sz w:val="24"/>
        </w:rPr>
        <w:t>案由：建设工程施工合同纠纷</w:t>
      </w:r>
    </w:p>
    <w:p>
      <w:pPr>
        <w:spacing w:line="560" w:lineRule="exact" w:before="0" w:after="0"/>
        <w:ind w:firstLine="420"/>
      </w:pPr>
      <w:r>
        <w:rPr>
          <w:rFonts w:ascii="Times New Roman" w:hAnsi="Times New Roman" w:eastAsia="仿宋_GB2312"/>
          <w:b/>
          <w:sz w:val="24"/>
        </w:rPr>
        <w:t>诉讼请求：</w:t>
      </w:r>
    </w:p>
    <w:p>
      <w:pPr>
        <w:spacing w:line="560" w:lineRule="exact" w:before="0" w:after="0"/>
        <w:ind w:firstLine="420"/>
        <w:jc w:val="both"/>
      </w:pPr>
      <w:r>
        <w:rPr>
          <w:rFonts w:ascii="Times New Roman" w:hAnsi="Times New Roman" w:eastAsia="仿宋_GB2312"/>
          <w:sz w:val="24"/>
        </w:rPr>
        <w:t>1. 判令被告一立即向原告支付剩余工程结算款 1,680,782.44 元（计算方式：最终结算金额 8,258,538.60 元 × 97% - 已支付 6,310,000 元）；</w:t>
      </w:r>
    </w:p>
    <w:p>
      <w:pPr>
        <w:spacing w:line="560" w:lineRule="exact" w:before="0" w:after="0"/>
        <w:ind w:firstLine="420"/>
        <w:jc w:val="both"/>
      </w:pPr>
      <w:r>
        <w:rPr>
          <w:rFonts w:ascii="Times New Roman" w:hAnsi="Times New Roman" w:eastAsia="仿宋_GB2312"/>
          <w:sz w:val="24"/>
        </w:rPr>
        <w:t>2. 判令被告一向原告支付逾期付款利息（以 1,680,782.44 元为基数，自 2025 年 4 月 28 日起至实际付清之日止，按同期贷款市场报价利率 LPR 计算）；</w:t>
      </w:r>
    </w:p>
    <w:p>
      <w:pPr>
        <w:spacing w:line="560" w:lineRule="exact" w:before="0" w:after="0"/>
        <w:ind w:firstLine="420"/>
        <w:jc w:val="both"/>
      </w:pPr>
      <w:r>
        <w:rPr>
          <w:rFonts w:ascii="Times New Roman" w:hAnsi="Times New Roman" w:eastAsia="仿宋_GB2312"/>
          <w:sz w:val="24"/>
        </w:rPr>
        <w:t>3. 判令被告二在欠付被告一建设工程价款范围内对上述债务承担连带清偿责任；</w:t>
      </w:r>
    </w:p>
    <w:p>
      <w:pPr>
        <w:spacing w:line="560" w:lineRule="exact" w:before="0" w:after="0"/>
        <w:ind w:firstLine="420"/>
        <w:jc w:val="both"/>
      </w:pPr>
      <w:r>
        <w:rPr>
          <w:rFonts w:ascii="Times New Roman" w:hAnsi="Times New Roman" w:eastAsia="仿宋_GB2312"/>
          <w:sz w:val="24"/>
        </w:rPr>
        <w:t>4. 判令两被告共同承担本案全部诉讼费用。</w:t>
      </w:r>
    </w:p>
    <w:p>
      <w:pPr>
        <w:spacing w:line="560" w:lineRule="exact" w:before="0" w:after="0"/>
        <w:ind w:firstLine="420"/>
      </w:pPr>
      <w:r>
        <w:rPr>
          <w:rFonts w:ascii="Times New Roman" w:hAnsi="Times New Roman" w:eastAsia="仿宋_GB2312"/>
          <w:b/>
          <w:sz w:val="24"/>
        </w:rPr>
        <w:t>事实与理由：</w:t>
      </w:r>
    </w:p>
    <w:p>
      <w:pPr>
        <w:spacing w:line="560" w:lineRule="exact" w:before="0" w:after="0"/>
        <w:ind w:firstLine="420"/>
        <w:jc w:val="both"/>
      </w:pPr>
      <w:r>
        <w:rPr>
          <w:rFonts w:ascii="Times New Roman" w:hAnsi="Times New Roman" w:eastAsia="仿宋_GB2312"/>
          <w:sz w:val="24"/>
        </w:rPr>
        <w:t>2024 年 6 月，原告与被告一签订《成都安正兴业建筑工程有限公司钢结构工程专业分包合同》（合同编号：XYJZ-2024-06-001），约</w:t>
      </w:r>
    </w:p>
    <w:p>
      <w:pPr>
        <w:spacing w:line="560" w:lineRule="exact" w:before="0" w:after="0"/>
        <w:ind w:firstLine="420"/>
        <w:jc w:val="both"/>
      </w:pPr>
      <w:r>
        <w:rPr>
          <w:rFonts w:ascii="Times New Roman" w:hAnsi="Times New Roman" w:eastAsia="仿宋_GB2312"/>
          <w:sz w:val="24"/>
        </w:rPr>
        <w:t>第 1 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