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4"/>
        <w:pBdr/>
        <w:spacing/>
        <w:ind/>
        <w:jc w:val="center"/>
        <w:rPr>
          <w:lang w:val="ru-RU"/>
        </w:rPr>
      </w:pPr>
      <w:r>
        <w:rPr>
          <w:b/>
          <w:bCs/>
          <w:sz w:val="32"/>
          <w:szCs w:val="32"/>
          <w:lang w:val="ru-RU"/>
        </w:rPr>
        <w:t xml:space="preserve">Описание программного проекта MedApp</w:t>
      </w:r>
      <w:r>
        <w:rPr>
          <w:lang w:val="ru-RU"/>
        </w:rPr>
      </w:r>
      <w:r>
        <w:rPr>
          <w:lang w:val="ru-RU"/>
        </w:rPr>
      </w:r>
    </w:p>
    <w:p>
      <w:pPr>
        <w:pStyle w:val="894"/>
        <w:pBdr/>
        <w:spacing/>
        <w:ind/>
        <w:rPr>
          <w:lang w:val="ru-RU"/>
        </w:rPr>
      </w:pPr>
      <w:r>
        <w:rPr>
          <w:lang w:val="ru-RU"/>
        </w:rPr>
        <w:t xml:space="preserve">1. Основные планы и этапы проекта</w:t>
      </w:r>
      <w:r>
        <w:rPr>
          <w:lang w:val="ru-RU"/>
        </w:rPr>
      </w:r>
      <w:r>
        <w:rPr>
          <w:lang w:val="ru-RU"/>
        </w:rPr>
      </w:r>
    </w:p>
    <w:p>
      <w:pPr>
        <w:pStyle w:val="895"/>
        <w:pBdr/>
        <w:spacing/>
        <w:ind/>
        <w:rPr>
          <w:lang w:val="ru-RU"/>
        </w:rPr>
      </w:pPr>
      <w:r>
        <w:rPr>
          <w:lang w:val="ru-RU"/>
        </w:rPr>
        <w:t xml:space="preserve">1.1 Краткое описание проекта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20"/>
        <w:ind/>
        <w:rPr>
          <w:lang w:val="ru-RU"/>
        </w:rPr>
      </w:pPr>
      <w:r>
        <w:rPr>
          <w:b/>
          <w:bCs/>
          <w:lang w:val="ru-RU"/>
        </w:rPr>
        <w:t xml:space="preserve">Название проекта: </w:t>
      </w:r>
      <w:r>
        <w:rPr>
          <w:lang w:val="ru-RU"/>
        </w:rPr>
        <w:t xml:space="preserve">MedApp — мобильное приложение для учёта домашних аптечек и лекарств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20"/>
        <w:ind/>
        <w:rPr>
          <w:lang w:val="ru-RU"/>
        </w:rPr>
      </w:pPr>
      <w:r>
        <w:rPr>
          <w:b/>
          <w:bCs/>
          <w:lang w:val="ru-RU"/>
        </w:rPr>
        <w:t xml:space="preserve">Цель проекта: </w:t>
      </w:r>
      <w:r>
        <w:rPr>
          <w:lang w:val="ru-RU"/>
        </w:rPr>
        <w:t xml:space="preserve">Разработка мобильного Android-приложения для упорядоченного учёта лекарственных препаратов, контроля сроков годности и остатков, поддержки напоминаний о приёме медикаментов и совместного использования аптечек несколькими пользователями.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200"/>
        <w:ind/>
        <w:rPr>
          <w:lang w:val="ru-RU"/>
        </w:rPr>
      </w:pPr>
      <w:r>
        <w:rPr>
          <w:b/>
          <w:bCs/>
          <w:lang w:val="ru-RU"/>
        </w:rPr>
        <w:t xml:space="preserve">Краткое описание задач:</w:t>
      </w:r>
      <w:r>
        <w:rPr>
          <w:lang w:val="ru-RU"/>
        </w:rPr>
      </w:r>
      <w:r>
        <w:rPr>
          <w:lang w:val="ru-RU"/>
        </w:rPr>
      </w:r>
    </w:p>
    <w:p>
      <w:pPr>
        <w:pStyle w:val="889"/>
        <w:numPr>
          <w:ilvl w:val="0"/>
          <w:numId w:val="2"/>
        </w:numPr>
        <w:pBdr/>
        <w:spacing/>
        <w:ind/>
        <w:rPr>
          <w:lang w:val="ru-RU"/>
        </w:rPr>
      </w:pPr>
      <w:r>
        <w:rPr>
          <w:lang w:val="ru-RU"/>
        </w:rPr>
        <w:t xml:space="preserve">Разработка технического задания, определение требований и сценариев использования</w:t>
      </w:r>
      <w:r>
        <w:rPr>
          <w:lang w:val="ru-RU"/>
        </w:rPr>
      </w:r>
      <w:r>
        <w:rPr>
          <w:lang w:val="ru-RU"/>
        </w:rPr>
      </w:r>
    </w:p>
    <w:p>
      <w:pPr>
        <w:pStyle w:val="889"/>
        <w:numPr>
          <w:ilvl w:val="0"/>
          <w:numId w:val="2"/>
        </w:numPr>
        <w:pBdr/>
        <w:spacing/>
        <w:ind/>
        <w:rPr>
          <w:lang w:val="ru-RU"/>
        </w:rPr>
      </w:pPr>
      <w:r>
        <w:rPr>
          <w:lang w:val="ru-RU"/>
        </w:rPr>
        <w:t xml:space="preserve">Парсинг справочника лекарственных препаратов Vidal для создания локальной базы данных (~25 000 препаратов)</w:t>
      </w:r>
      <w:r>
        <w:rPr>
          <w:lang w:val="ru-RU"/>
        </w:rPr>
      </w:r>
      <w:r>
        <w:rPr>
          <w:lang w:val="ru-RU"/>
        </w:rPr>
      </w:r>
    </w:p>
    <w:p>
      <w:pPr>
        <w:pStyle w:val="889"/>
        <w:numPr>
          <w:ilvl w:val="0"/>
          <w:numId w:val="2"/>
        </w:numPr>
        <w:pBdr/>
        <w:spacing/>
        <w:ind/>
        <w:rPr>
          <w:lang w:val="ru-RU"/>
        </w:rPr>
      </w:pPr>
      <w:r>
        <w:rPr>
          <w:lang w:val="ru-RU"/>
        </w:rPr>
        <w:t xml:space="preserve">Разработка серверной части (Ktor + PostgreSQL) для синхронизации общих аптечек и хранения справочника препаратов</w:t>
      </w:r>
      <w:r>
        <w:rPr>
          <w:lang w:val="ru-RU"/>
        </w:rPr>
      </w:r>
      <w:r>
        <w:rPr>
          <w:lang w:val="ru-RU"/>
        </w:rPr>
      </w:r>
    </w:p>
    <w:p>
      <w:pPr>
        <w:pStyle w:val="889"/>
        <w:numPr>
          <w:ilvl w:val="0"/>
          <w:numId w:val="2"/>
        </w:numPr>
        <w:pBdr/>
        <w:spacing/>
        <w:ind/>
        <w:rPr>
          <w:lang w:val="ru-RU"/>
        </w:rPr>
      </w:pPr>
      <w:r>
        <w:rPr>
          <w:lang w:val="ru-RU"/>
        </w:rPr>
        <w:t xml:space="preserve">Разработка Android-приложения на языке Kotlin с использованием Jetpack Compose</w:t>
      </w:r>
      <w:r>
        <w:rPr>
          <w:lang w:val="ru-RU"/>
        </w:rPr>
      </w:r>
      <w:r>
        <w:rPr>
          <w:lang w:val="ru-RU"/>
        </w:rPr>
      </w:r>
    </w:p>
    <w:p>
      <w:pPr>
        <w:pStyle w:val="889"/>
        <w:numPr>
          <w:ilvl w:val="0"/>
          <w:numId w:val="2"/>
        </w:numPr>
        <w:pBdr/>
        <w:spacing/>
        <w:ind/>
        <w:rPr>
          <w:lang w:val="ru-RU"/>
        </w:rPr>
      </w:pPr>
      <w:r>
        <w:rPr>
          <w:lang w:val="ru-RU"/>
        </w:rPr>
        <w:t xml:space="preserve">Разработка программной документации в соответствии с ГОСТ 19 ЕСПД</w:t>
      </w:r>
      <w:r>
        <w:rPr>
          <w:lang w:val="ru-RU"/>
        </w:rPr>
      </w:r>
      <w:r>
        <w:rPr>
          <w:lang w:val="ru-RU"/>
        </w:rPr>
      </w:r>
    </w:p>
    <w:p>
      <w:pPr>
        <w:pStyle w:val="889"/>
        <w:numPr>
          <w:ilvl w:val="0"/>
          <w:numId w:val="2"/>
        </w:numPr>
        <w:pBdr/>
        <w:spacing w:after="240"/>
        <w:ind/>
        <w:rPr>
          <w:lang w:val="ru-RU"/>
        </w:rPr>
      </w:pPr>
      <w:r>
        <w:rPr>
          <w:lang w:val="ru-RU"/>
        </w:rPr>
        <w:t xml:space="preserve">Испытания программы и подготовка к защите</w:t>
      </w:r>
      <w:r>
        <w:rPr>
          <w:lang w:val="ru-RU"/>
        </w:rPr>
      </w:r>
      <w:r>
        <w:rPr>
          <w:lang w:val="ru-RU"/>
        </w:rPr>
      </w:r>
    </w:p>
    <w:p>
      <w:pPr>
        <w:pStyle w:val="895"/>
        <w:pBdr/>
        <w:spacing/>
        <w:ind/>
        <w:rPr>
          <w:lang w:val="ru-RU"/>
        </w:rPr>
      </w:pPr>
      <w:r>
        <w:rPr>
          <w:lang w:val="ru-RU"/>
        </w:rPr>
        <w:t xml:space="preserve">1.2 Планы и этапы выполнения проекта</w:t>
      </w:r>
      <w:r>
        <w:rPr>
          <w:lang w:val="ru-RU"/>
        </w:rPr>
      </w:r>
      <w:r>
        <w:rPr>
          <w:lang w:val="ru-RU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3000"/>
        <w:gridCol w:w="2500"/>
        <w:gridCol w:w="1526"/>
      </w:tblGrid>
      <w:tr>
        <w:trPr/>
        <w:tc>
          <w:tcPr>
            <w:shd w:val="clear" w:color="auto" w:fill="d9e2f3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 xml:space="preserve">Этап проекта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shd w:val="clear" w:color="auto" w:fill="d9e2f3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 xml:space="preserve">Описание работ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shd w:val="clear" w:color="auto" w:fill="d9e2f3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 xml:space="preserve">Ожидаемые результаты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shd w:val="clear" w:color="auto" w:fill="d9e2f3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 xml:space="preserve">Сроки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Анализ предметной области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Анализ потребностей, сценариев использования, исследование конкурентов и API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Утверждённое ТЗ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16.12.25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Подготовка данных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Разработка скраппера для препаратов, формирование справочной БД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База препаратов в PostgreSQL + CSV-backup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10.01.26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Разработка серверной части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Реализация REST API на Ktor: эндпоинты для справочника препаратов, синхронизации общих аптечек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Работающий backend с документацией OpenAPI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26" w:type="dxa"/>
            <w:textDirection w:val="lrTb"/>
            <w:noWrap w:val="false"/>
          </w:tcPr>
          <w:p w14:paraId="74203652">
            <w:pPr>
              <w:pBdr/>
              <w:spacing/>
              <w:ind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15.02.26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Разработка базового функционала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Реализация учёта аптечек и препаратов, добавления и редактирования данных, локального хранения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Рабочий прототип с базовым CRUD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26" w:type="dxa"/>
            <w:textDirection w:val="lrTb"/>
            <w:noWrap w:val="false"/>
          </w:tcPr>
          <w:p w14:paraId="5E54FB2E">
            <w:pPr>
              <w:pBdr/>
              <w:spacing/>
              <w:ind/>
              <w:rPr>
                <w:lang w:val="ru-RU"/>
                <w14:ligatures w14:val="none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  <w:t xml:space="preserve">05.03.2026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Реализация планов приёма и уведомлений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Реализация логики курсов лечения, напоминаний, списания остатков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Корректная работа напоминаний и учёта приёма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 w:bidi="ru-RU"/>
              </w:rPr>
            </w: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15.03.2026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Реализация совместных аптечек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Реализация подключения к общей аптечке, синхронизации данных, разрешения конфликтов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Возможность совместного использования аптечки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 w:bidi="ru-RU"/>
              </w:rPr>
            </w: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10.04.2025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Тестирование и отладка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Проверка корректности работы функций, исправление ошибок, покрытие кода тестами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Стабильная версия приложения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 w:bidi="ru-RU"/>
              </w:rPr>
            </w: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01.05.26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Подготовка документации и сдача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Подготовка пояснительной записки и материалов для защиты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Готовый проект для защиты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 w:bidi="ru-RU"/>
              </w:rPr>
            </w: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15.05.26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Style w:val="894"/>
        <w:pBdr/>
        <w:spacing/>
        <w:ind/>
        <w:rPr>
          <w:lang w:val="ru-RU"/>
        </w:rPr>
      </w:pPr>
      <w:r>
        <w:rPr>
          <w:lang w:val="ru-RU"/>
        </w:rPr>
        <w:t xml:space="preserve">2. Используемый технологический стек и его обоснование</w:t>
      </w:r>
      <w:r>
        <w:rPr>
          <w:lang w:val="ru-RU"/>
        </w:rPr>
      </w:r>
      <w:r>
        <w:rPr>
          <w:lang w:val="ru-RU"/>
        </w:rPr>
      </w:r>
    </w:p>
    <w:p>
      <w:pPr>
        <w:pStyle w:val="895"/>
        <w:pBdr/>
        <w:spacing/>
        <w:ind/>
        <w:rPr>
          <w:lang w:val="ru-RU"/>
        </w:rPr>
      </w:pPr>
      <w:r>
        <w:rPr>
          <w:lang w:val="ru-RU"/>
        </w:rPr>
        <w:t xml:space="preserve">2.1 Перечень используемых технологий</w:t>
      </w:r>
      <w:r>
        <w:rPr>
          <w:lang w:val="ru-RU"/>
        </w:rPr>
      </w:r>
      <w:r>
        <w:rPr>
          <w:lang w:val="ru-RU"/>
        </w:rPr>
      </w:r>
    </w:p>
    <w:p>
      <w:pPr>
        <w:pStyle w:val="896"/>
        <w:pBdr/>
        <w:spacing/>
        <w:ind/>
        <w:rPr>
          <w:lang w:val="ru-RU"/>
        </w:rPr>
      </w:pPr>
      <w:r>
        <w:rPr>
          <w:lang w:val="ru-RU"/>
        </w:rPr>
        <w:t xml:space="preserve">Android-приложение (клиент)</w:t>
      </w:r>
      <w:r>
        <w:rPr>
          <w:lang w:val="ru-RU"/>
        </w:rPr>
      </w:r>
      <w:r>
        <w:rPr>
          <w:lang w:val="ru-RU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>
        <w:trPr/>
        <w:tc>
          <w:tcPr>
            <w:shd w:val="clear" w:color="auto" w:fill="d9e2f3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 xml:space="preserve">Технология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shd w:val="clear" w:color="auto" w:fill="d9e2f3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 xml:space="preserve">Описание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shd w:val="clear" w:color="auto" w:fill="d9e2f3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 xml:space="preserve">Причины выбора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Kotlin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Основной язык разработки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Официально рекомендуемый язык для Android; null-safety, корутины; единый язык для клиента и сервера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Jetpack Compose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Декларативный UI-фреймворк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 w14:paraId="4D3255E1">
            <w:pPr>
              <w:pBdr/>
              <w:spacing/>
              <w:ind/>
              <w:rPr>
                <w:lang w:val="ru-RU"/>
                <w14:ligatures w14:val="none"/>
              </w:rPr>
            </w:pPr>
            <w:r>
              <w:rPr>
                <w:lang w:val="ru-RU" w:bidi="ru-RU"/>
              </w:rPr>
            </w:r>
            <w:r>
              <w:rPr>
                <w:lang w:val="ru-RU"/>
              </w:rPr>
              <w:t xml:space="preserve">Современный подход к интерфейсу, ускоряет разработку экранов и состояния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Room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Локальная БД (абстракция над SQLite)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Офлайн-учёт аптечек и препаратов; compile-time проверка SQL-запросов; интеграция с Kotlin Flow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Hilt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Dependency Injection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Официальное решение от Google для Android; интеграция с ViewModel и WorkManager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Ktor Client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HTTP-клиент для сетевых запросов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Нативный Kotlin; coroutines-first подход; единый API с серверной частью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CameraX + ML Kit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Сканирование штрихкодов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ML Kit — высокая точность распознавания DataMatrix; активная поддержка Google (в отличие от ZXing в maintenance mode)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WorkManager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Фоновые задачи и уведомления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Гарантированное выполнение задач; учёт Doze mode и App Standby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Material 3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Дизайн-система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Современный Material Design; готовые компоненты; динамические цвета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Style w:val="896"/>
        <w:pBdr/>
        <w:spacing/>
        <w:ind/>
        <w:rPr>
          <w:lang w:val="ru-RU"/>
        </w:rPr>
      </w:pPr>
      <w:r>
        <w:rPr>
          <w:lang w:val="ru-RU"/>
        </w:rPr>
        <w:t xml:space="preserve">Серверная часть (backend)</w:t>
      </w:r>
      <w:r>
        <w:rPr>
          <w:lang w:val="ru-RU"/>
        </w:rPr>
      </w:r>
      <w:r>
        <w:rPr>
          <w:lang w:val="ru-RU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>
        <w:trPr/>
        <w:tc>
          <w:tcPr>
            <w:shd w:val="clear" w:color="auto" w:fill="d9e2f3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 xml:space="preserve">Технология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shd w:val="clear" w:color="auto" w:fill="d9e2f3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 xml:space="preserve">Описание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shd w:val="clear" w:color="auto" w:fill="d9e2f3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 xml:space="preserve">Причины выбора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Ktor Server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Асинхронный веб-фреймворк на Kotlin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Легковесный; нативная поддержка корутин; единый язык с клиентом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PostgreSQL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Реляционная СУБД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Надёжность; поддержка полнотекстового поиска и триграмм для fuzzy-search; бесплатная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Exposed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ORM от JetBrains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Type-safe DSL для SQL; нативная интеграция с Kotlin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Flyway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Миграции базы данных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SQL-first подход; версионирование схемы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Koin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Dependency Injection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Легковесный; DSL-конфигурация; не требует кодогенерации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Ktor OpenAPI/Swagger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Документация API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Автогенерация документации; интерактивное тестирование эндпоинтов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Style w:val="896"/>
        <w:pBdr/>
        <w:spacing/>
        <w:ind/>
        <w:rPr>
          <w:lang w:val="ru-RU"/>
        </w:rPr>
      </w:pPr>
      <w:r>
        <w:rPr>
          <w:lang w:val="ru-RU"/>
        </w:rPr>
        <w:t xml:space="preserve">Инфраструктура и инструменты</w:t>
      </w:r>
      <w:r>
        <w:rPr>
          <w:lang w:val="ru-RU"/>
        </w:rPr>
      </w:r>
      <w:r>
        <w:rPr>
          <w:lang w:val="ru-RU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>
        <w:trPr/>
        <w:tc>
          <w:tcPr>
            <w:shd w:val="clear" w:color="auto" w:fill="d9e2f3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 xml:space="preserve">Технология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shd w:val="clear" w:color="auto" w:fill="d9e2f3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 xml:space="preserve">Описание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shd w:val="clear" w:color="auto" w:fill="d9e2f3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 xml:space="preserve">Причины выбора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Docker + Docker Compose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Контейнеризация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Воспроизводимое окружение; простой деплой; изоляция сервисов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Scrapy + BeautifulSoup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Парсинг vidal.ru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Scrapy — асинхронный фреймворк с rate limiting; BeautifulSoup — удобный парсинг HTML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Style w:val="895"/>
        <w:pBdr/>
        <w:spacing/>
        <w:ind/>
        <w:rPr>
          <w:lang w:val="ru-RU"/>
        </w:rPr>
      </w:pPr>
      <w:r>
        <w:rPr>
          <w:lang w:val="ru-RU"/>
        </w:rPr>
        <w:t xml:space="preserve">2.2 Обоснование выбранного технологического стека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20"/>
        <w:ind/>
        <w:rPr>
          <w:b w:val="0"/>
          <w:bCs w:val="0"/>
          <w:lang w:val="ru-RU"/>
        </w:rPr>
      </w:pPr>
      <w:r>
        <w:rPr>
          <w:b/>
          <w:bCs/>
          <w:lang w:val="ru-RU"/>
        </w:rPr>
        <w:t xml:space="preserve">Единый язык Kotlin </w:t>
      </w:r>
      <w:r>
        <w:rPr>
          <w:b w:val="0"/>
          <w:bCs w:val="0"/>
          <w:lang w:val="ru-RU"/>
        </w:rPr>
        <w:t xml:space="preserve">– </w:t>
      </w:r>
      <w:r>
        <w:rPr>
          <w:b w:val="0"/>
          <w:bCs w:val="0"/>
          <w:lang w:val="ru-RU"/>
        </w:rPr>
        <w:t xml:space="preserve">Android о</w:t>
      </w:r>
      <w:r>
        <w:rPr>
          <w:lang w:val="ru-RU"/>
        </w:rPr>
        <w:t xml:space="preserve">объявлен </w:t>
      </w:r>
      <w:r>
        <w:rPr>
          <w:lang w:val="ru-RU"/>
        </w:rPr>
        <w:t xml:space="preserve">Google</w:t>
      </w:r>
      <w:r>
        <w:rPr>
          <w:lang w:val="ru-RU"/>
        </w:rPr>
        <w:t xml:space="preserve"> </w:t>
      </w:r>
      <w:r>
        <w:rPr>
          <w:lang w:val="ru-RU"/>
        </w:rPr>
        <w:t xml:space="preserve">Kotlin-first, </w:t>
      </w:r>
      <w:r>
        <w:rPr>
          <w:lang w:val="ru-RU"/>
        </w:rPr>
        <w:t xml:space="preserve">что означает превосходную поддержку именно этого языка. Для серверной части выбран он же для лучшей совместимости с клиентом.</w:t>
      </w:r>
      <w:r>
        <w:rPr>
          <w:b w:val="0"/>
          <w:bCs w:val="0"/>
          <w:lang w:val="ru-RU"/>
        </w:rPr>
      </w:r>
      <w:r>
        <w:rPr>
          <w:b w:val="0"/>
          <w:bCs w:val="0"/>
          <w:lang w:val="ru-RU"/>
        </w:rPr>
      </w:r>
    </w:p>
    <w:p>
      <w:pPr>
        <w:pBdr/>
        <w:spacing w:after="120"/>
        <w:ind/>
        <w:rPr>
          <w:lang w:val="ru-RU"/>
        </w:rPr>
      </w:pPr>
      <w:r>
        <w:rPr>
          <w:b/>
          <w:bCs/>
          <w:lang w:val="ru-RU"/>
        </w:rPr>
        <w:t xml:space="preserve">ML Kit вместо ZXing </w:t>
      </w:r>
      <w:r>
        <w:rPr>
          <w:lang w:val="ru-RU"/>
        </w:rPr>
        <w:t xml:space="preserve">для сканирования штрихкодов: ZXing находится в режиме maintenance и не получает новых функций. ML Kit активно развивается Google, лучше распознаёт коды под углом и при плохом освещении, нативно интегрируется с CameraX.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20"/>
        <w:ind/>
        <w:rPr>
          <w:lang w:val="ru-RU"/>
        </w:rPr>
      </w:pPr>
      <w:r>
        <w:rPr>
          <w:b/>
          <w:bCs/>
          <w:lang w:val="ru-RU"/>
        </w:rPr>
        <w:t xml:space="preserve">Ktor вместо Spring </w:t>
      </w:r>
      <w:r>
        <w:rPr>
          <w:lang w:val="ru-RU"/>
        </w:rPr>
        <w:t xml:space="preserve">для backend: Ktor значительно легковеснее. Быстрее работает, более </w:t>
      </w:r>
      <w:r>
        <w:rPr>
          <w:lang w:val="en-US"/>
        </w:rPr>
        <w:t xml:space="preserve">concise </w:t>
      </w:r>
      <w:r>
        <w:rPr>
          <w:lang w:val="ru-RU"/>
        </w:rPr>
        <w:t xml:space="preserve">код, что означет более быструю разработку. Так как, сервер не выполняет сложных операций более тяжеловесный </w:t>
      </w:r>
      <w:r>
        <w:rPr>
          <w:lang w:val="en-US"/>
        </w:rPr>
        <w:t xml:space="preserve">Spring </w:t>
      </w:r>
      <w:r>
        <w:rPr>
          <w:lang w:val="ru-RU"/>
        </w:rPr>
        <w:t xml:space="preserve">не оправдан.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20"/>
        <w:ind/>
        <w:rPr>
          <w:highlight w:val="none"/>
          <w:lang w:val="ru-RU"/>
        </w:rPr>
      </w:pPr>
      <w:r>
        <w:rPr>
          <w:b/>
          <w:bCs/>
          <w:lang w:val="ru-RU"/>
        </w:rPr>
        <w:t xml:space="preserve">PostgreSQL с триграммами </w:t>
      </w:r>
      <w:r>
        <w:rPr>
          <w:lang w:val="ru-RU"/>
        </w:rPr>
        <w:t xml:space="preserve">для fuzzy-search препаратов: расширение pg_trgm позволяет эффективно искать по неточному названию без внешних поисковых движков.</w:t>
      </w:r>
      <w:r>
        <w:rPr>
          <w:lang w:val="ru-RU"/>
        </w:rPr>
      </w:r>
      <w:r>
        <w:rPr>
          <w:highlight w:val="none"/>
          <w:lang w:val="ru-RU"/>
        </w:rPr>
      </w:r>
    </w:p>
    <w:p w14:paraId="7424DFC7">
      <w:pPr>
        <w:pBdr/>
        <w:shd w:val="nil" w:color="auto"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>
      <w:pPr>
        <w:pStyle w:val="894"/>
        <w:pBdr/>
        <w:spacing/>
        <w:ind/>
        <w:rPr>
          <w:lang w:val="ru-RU"/>
        </w:rPr>
      </w:pPr>
      <w:r>
        <w:rPr>
          <w:lang w:val="ru-RU"/>
        </w:rPr>
        <w:t xml:space="preserve">3. Критерии оценивания проекта</w:t>
      </w:r>
      <w:r>
        <w:rPr>
          <w:lang w:val="ru-RU"/>
        </w:rPr>
      </w:r>
      <w:r>
        <w:rPr>
          <w:lang w:val="ru-RU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3526"/>
        <w:gridCol w:w="2000"/>
      </w:tblGrid>
      <w:tr>
        <w:trPr/>
        <w:tc>
          <w:tcPr>
            <w:shd w:val="clear" w:color="auto" w:fill="d9e2f3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 xml:space="preserve">Критерий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shd w:val="clear" w:color="auto" w:fill="d9e2f3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 xml:space="preserve">Описание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shd w:val="clear" w:color="auto" w:fill="d9e2f3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 xml:space="preserve">Целевое значение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Функциональность — процент выполнения требований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Выполненные требования из ТЗ в процентах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≥ 90%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Функциональность — количество реализованных функций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Абсолютное количество работающих функций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≥ 25 функций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Качество кода — покрытие тестами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Процент строк кода, покрытых unit-тестами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≥ 60%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Качество кода — статический анализ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Отсутствие критических предупреждений Detekt/Lint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0 critical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Производительность — время отклика API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Среднее время ответа сервера на запросы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≤ 200 мс (p95)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Производительность — время запуска приложения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Время от запуска до интерактивности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≤ 3 секунды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База препаратов — полнота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Количество препаратов в справочнике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≥ 20 000 записей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Документация — полнота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Процент от требуемого объёма документации по ГОСТ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100%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Адаптивный дизайн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Корректное отображение на разных размерах экрана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Да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Работа с базой данных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Использование Room (локально) и PostgreSQL (сервер)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lang w:val="ru-RU"/>
              </w:rPr>
              <w:t xml:space="preserve">Да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Style w:val="894"/>
        <w:pBdr/>
        <w:spacing/>
        <w:ind/>
        <w:rPr>
          <w:lang w:val="ru-RU"/>
        </w:rPr>
      </w:pPr>
      <w:r>
        <w:rPr>
          <w:lang w:val="ru-RU"/>
        </w:rPr>
        <w:t xml:space="preserve">4. Особые пометки</w:t>
      </w:r>
      <w:r>
        <w:rPr>
          <w:lang w:val="ru-RU"/>
        </w:rPr>
      </w:r>
      <w:r>
        <w:rPr>
          <w:lang w:val="ru-RU"/>
        </w:rPr>
      </w:r>
    </w:p>
    <w:p>
      <w:pPr>
        <w:pStyle w:val="889"/>
        <w:numPr>
          <w:ilvl w:val="0"/>
          <w:numId w:val="3"/>
        </w:numPr>
        <w:pBdr/>
        <w:spacing/>
        <w:ind/>
        <w:rPr>
          <w:lang w:val="ru-RU"/>
        </w:rPr>
      </w:pPr>
      <w:r>
        <w:rPr>
          <w:b/>
          <w:bCs/>
          <w:lang w:val="ru-RU"/>
        </w:rPr>
        <w:t xml:space="preserve">Проект реализуется одним разработчиком, </w:t>
      </w:r>
      <w:r>
        <w:rPr>
          <w:lang w:val="ru-RU"/>
        </w:rPr>
        <w:t xml:space="preserve">что накладывает ограничения на объём функциональности. Приоритет отдаётся core-функциям (учёт препаратов, напоминания, общая аптечка).</w:t>
      </w:r>
      <w:r>
        <w:rPr>
          <w:lang w:val="ru-RU"/>
        </w:rPr>
      </w:r>
      <w:r>
        <w:rPr>
          <w:lang w:val="ru-RU"/>
        </w:rPr>
      </w:r>
    </w:p>
    <w:p>
      <w:pPr>
        <w:pStyle w:val="889"/>
        <w:numPr>
          <w:ilvl w:val="0"/>
          <w:numId w:val="3"/>
        </w:numPr>
        <w:pBdr/>
        <w:spacing/>
        <w:ind/>
        <w:rPr>
          <w:lang w:val="ru-RU"/>
        </w:rPr>
      </w:pPr>
      <w:r>
        <w:rPr>
          <w:b/>
          <w:bCs/>
          <w:lang w:val="ru-RU"/>
        </w:rPr>
        <w:t xml:space="preserve">Сканирование штрихкодов </w:t>
      </w:r>
      <w:r>
        <w:rPr>
          <w:lang w:val="ru-RU"/>
        </w:rPr>
        <w:t xml:space="preserve">реализуется через неофициальный AP</w:t>
      </w:r>
      <w:r>
        <w:rPr>
          <w:lang w:val="ru-RU"/>
        </w:rPr>
        <w:t xml:space="preserve">I Честного знака (mobile.api.crpt.ru). Этот API используется аналогичными приложениями, но не имеет публичной документации. В случае его недоступности функциональность сканирования будет ограничена — останется только ручной ввод и fuzzy-search по названию.</w:t>
      </w:r>
      <w:r>
        <w:rPr>
          <w:lang w:val="ru-RU"/>
        </w:rPr>
      </w:r>
      <w:r>
        <w:rPr>
          <w:lang w:val="ru-RU"/>
        </w:rPr>
      </w:r>
    </w:p>
    <w:p>
      <w:pPr>
        <w:pStyle w:val="889"/>
        <w:numPr>
          <w:ilvl w:val="0"/>
          <w:numId w:val="3"/>
        </w:numPr>
        <w:pBdr/>
        <w:spacing/>
        <w:ind/>
        <w:rPr>
          <w:lang w:val="ru-RU"/>
        </w:rPr>
      </w:pPr>
      <w:r>
        <w:rPr>
          <w:b/>
          <w:bCs/>
          <w:lang w:val="ru-RU"/>
        </w:rPr>
        <w:t xml:space="preserve">Идентификация пользователей без персональных данных (privacy by design): </w:t>
      </w:r>
      <w:r>
        <w:rPr>
          <w:lang w:val="ru-RU"/>
        </w:rPr>
        <w:t xml:space="preserve">вместо кл</w:t>
      </w:r>
      <w:r>
        <w:rPr>
          <w:lang w:val="ru-RU"/>
        </w:rPr>
        <w:t xml:space="preserve">ассической авторизации (email + пароль) каждому пользователю </w:t>
      </w:r>
      <w:r>
        <w:rPr>
          <w:lang w:val="ru-RU"/>
        </w:rPr>
        <w:t xml:space="preserve">при первом запуске приложения генерируется уникальный ключ пользователя — он позволяет пользователю получить доступ к серверу, а серверу различать пользователей для привязки расписаний. Ключ не связан с личностью: сервер техническ</w:t>
      </w:r>
      <w:r>
        <w:rPr>
          <w:lang w:val="ru-RU"/>
        </w:rPr>
        <w:t xml:space="preserve">и не</w:t>
      </w:r>
      <w:r>
        <w:rPr>
          <w:lang w:val="ru-RU"/>
        </w:rPr>
        <w:t xml:space="preserve"> способен определить, какому человеку принадлежит ключ. Максимум, что теоретически возможно — попытаться идентифицировать устройство (device fingerprinting), но не пользователя. Это исключает хранение персональных данных, таким образом ФЗ-152 не применимо.</w:t>
      </w:r>
      <w:r>
        <w:rPr>
          <w:lang w:val="ru-RU"/>
        </w:rPr>
      </w:r>
      <w:r>
        <w:rPr>
          <w:lang w:val="ru-RU"/>
        </w:rPr>
      </w:r>
    </w:p>
    <w:p>
      <w:pPr>
        <w:pStyle w:val="889"/>
        <w:numPr>
          <w:ilvl w:val="0"/>
          <w:numId w:val="3"/>
        </w:numPr>
        <w:pBdr/>
        <w:spacing/>
        <w:ind/>
        <w:rPr>
          <w:lang w:val="ru-RU"/>
        </w:rPr>
      </w:pPr>
      <w:r>
        <w:rPr>
          <w:lang w:val="ru-RU"/>
        </w:rPr>
        <w:t xml:space="preserve">Возможны изменения в деталях реализации синхронизации и работы со справочником препаратов в ходе разработки.</w:t>
      </w:r>
      <w:r>
        <w:rPr>
          <w:lang w:val="ru-RU"/>
        </w:rPr>
      </w:r>
      <w:r>
        <w:rPr>
          <w:lang w:val="ru-RU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 w:default="1">
    <w:name w:val="Normal"/>
    <w:qFormat/>
    <w:pPr>
      <w:pBdr/>
      <w:spacing/>
      <w:ind/>
    </w:pPr>
  </w:style>
  <w:style w:type="paragraph" w:styleId="835">
    <w:name w:val="Heading 7"/>
    <w:basedOn w:val="834"/>
    <w:next w:val="834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34"/>
    <w:next w:val="834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34"/>
    <w:next w:val="834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Title Char"/>
    <w:basedOn w:val="838"/>
    <w:link w:val="8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34"/>
    <w:next w:val="834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34"/>
    <w:next w:val="834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34"/>
    <w:next w:val="834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8">
    <w:name w:val="No Spacing"/>
    <w:basedOn w:val="834"/>
    <w:uiPriority w:val="1"/>
    <w:qFormat/>
    <w:pPr>
      <w:pBdr/>
      <w:spacing w:after="0" w:line="240" w:lineRule="auto"/>
      <w:ind/>
    </w:pPr>
  </w:style>
  <w:style w:type="character" w:styleId="859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34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34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34"/>
    <w:next w:val="8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endnote text"/>
    <w:basedOn w:val="834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2">
    <w:name w:val="toc 1"/>
    <w:basedOn w:val="834"/>
    <w:next w:val="834"/>
    <w:uiPriority w:val="39"/>
    <w:unhideWhenUsed/>
    <w:pPr>
      <w:pBdr/>
      <w:spacing w:after="100"/>
      <w:ind/>
    </w:pPr>
  </w:style>
  <w:style w:type="paragraph" w:styleId="873">
    <w:name w:val="toc 2"/>
    <w:basedOn w:val="834"/>
    <w:next w:val="834"/>
    <w:uiPriority w:val="39"/>
    <w:unhideWhenUsed/>
    <w:pPr>
      <w:pBdr/>
      <w:spacing w:after="100"/>
      <w:ind w:left="220"/>
    </w:pPr>
  </w:style>
  <w:style w:type="paragraph" w:styleId="874">
    <w:name w:val="toc 3"/>
    <w:basedOn w:val="834"/>
    <w:next w:val="834"/>
    <w:uiPriority w:val="39"/>
    <w:unhideWhenUsed/>
    <w:pPr>
      <w:pBdr/>
      <w:spacing w:after="100"/>
      <w:ind w:left="440"/>
    </w:pPr>
  </w:style>
  <w:style w:type="paragraph" w:styleId="875">
    <w:name w:val="toc 4"/>
    <w:basedOn w:val="834"/>
    <w:next w:val="834"/>
    <w:uiPriority w:val="39"/>
    <w:unhideWhenUsed/>
    <w:pPr>
      <w:pBdr/>
      <w:spacing w:after="100"/>
      <w:ind w:left="660"/>
    </w:pPr>
  </w:style>
  <w:style w:type="paragraph" w:styleId="876">
    <w:name w:val="toc 5"/>
    <w:basedOn w:val="834"/>
    <w:next w:val="834"/>
    <w:uiPriority w:val="39"/>
    <w:unhideWhenUsed/>
    <w:pPr>
      <w:pBdr/>
      <w:spacing w:after="100"/>
      <w:ind w:left="880"/>
    </w:pPr>
  </w:style>
  <w:style w:type="paragraph" w:styleId="877">
    <w:name w:val="toc 6"/>
    <w:basedOn w:val="834"/>
    <w:next w:val="834"/>
    <w:uiPriority w:val="39"/>
    <w:unhideWhenUsed/>
    <w:pPr>
      <w:pBdr/>
      <w:spacing w:after="100"/>
      <w:ind w:left="1100"/>
    </w:pPr>
  </w:style>
  <w:style w:type="paragraph" w:styleId="878">
    <w:name w:val="toc 7"/>
    <w:basedOn w:val="834"/>
    <w:next w:val="834"/>
    <w:uiPriority w:val="39"/>
    <w:unhideWhenUsed/>
    <w:pPr>
      <w:pBdr/>
      <w:spacing w:after="100"/>
      <w:ind w:left="1320"/>
    </w:pPr>
  </w:style>
  <w:style w:type="paragraph" w:styleId="879">
    <w:name w:val="toc 8"/>
    <w:basedOn w:val="834"/>
    <w:next w:val="834"/>
    <w:uiPriority w:val="39"/>
    <w:unhideWhenUsed/>
    <w:pPr>
      <w:pBdr/>
      <w:spacing w:after="100"/>
      <w:ind w:left="1540"/>
    </w:pPr>
  </w:style>
  <w:style w:type="paragraph" w:styleId="880">
    <w:name w:val="toc 9"/>
    <w:basedOn w:val="834"/>
    <w:next w:val="834"/>
    <w:uiPriority w:val="39"/>
    <w:unhideWhenUsed/>
    <w:pPr>
      <w:pBdr/>
      <w:spacing w:after="100"/>
      <w:ind w:left="1760"/>
    </w:pPr>
  </w:style>
  <w:style w:type="character" w:styleId="881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2">
    <w:name w:val="TOC Heading"/>
    <w:uiPriority w:val="39"/>
    <w:unhideWhenUsed/>
    <w:pPr>
      <w:pBdr/>
      <w:spacing/>
      <w:ind/>
    </w:pPr>
  </w:style>
  <w:style w:type="paragraph" w:styleId="883">
    <w:name w:val="table of figures"/>
    <w:basedOn w:val="834"/>
    <w:next w:val="834"/>
    <w:uiPriority w:val="99"/>
    <w:unhideWhenUsed/>
    <w:pPr>
      <w:pBdr/>
      <w:spacing w:after="0" w:afterAutospacing="0"/>
      <w:ind/>
    </w:pPr>
  </w:style>
  <w:style w:type="paragraph" w:styleId="884">
    <w:name w:val="Title"/>
    <w:qFormat/>
    <w:pPr>
      <w:pBdr/>
      <w:spacing/>
      <w:ind/>
    </w:pPr>
    <w:rPr>
      <w:sz w:val="56"/>
      <w:szCs w:val="56"/>
    </w:rPr>
  </w:style>
  <w:style w:type="paragraph" w:styleId="885">
    <w:name w:val="Heading 4"/>
    <w:qFormat/>
    <w:pPr>
      <w:pBdr/>
      <w:spacing/>
      <w:ind/>
    </w:pPr>
    <w:rPr>
      <w:i/>
      <w:iCs/>
      <w:color w:val="2e74b5"/>
    </w:rPr>
  </w:style>
  <w:style w:type="paragraph" w:styleId="886">
    <w:name w:val="Heading 5"/>
    <w:qFormat/>
    <w:pPr>
      <w:pBdr/>
      <w:spacing/>
      <w:ind/>
    </w:pPr>
    <w:rPr>
      <w:color w:val="2e74b5"/>
    </w:rPr>
  </w:style>
  <w:style w:type="paragraph" w:styleId="887">
    <w:name w:val="Heading 6"/>
    <w:qFormat/>
    <w:pPr>
      <w:pBdr/>
      <w:spacing/>
      <w:ind/>
    </w:pPr>
    <w:rPr>
      <w:color w:val="1f4d78"/>
    </w:rPr>
  </w:style>
  <w:style w:type="paragraph" w:styleId="888">
    <w:name w:val="Strong"/>
    <w:qFormat/>
    <w:pPr>
      <w:pBdr/>
      <w:spacing/>
      <w:ind/>
    </w:pPr>
    <w:rPr>
      <w:b/>
      <w:bCs/>
    </w:rPr>
  </w:style>
  <w:style w:type="paragraph" w:styleId="889">
    <w:name w:val="List Paragraph"/>
    <w:qFormat/>
    <w:pPr>
      <w:pBdr/>
      <w:spacing/>
      <w:ind/>
    </w:pPr>
  </w:style>
  <w:style w:type="character" w:styleId="89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footnote text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Footnote Text Char"/>
    <w:link w:val="89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94">
    <w:name w:val="Heading 1"/>
    <w:qFormat/>
    <w:pPr>
      <w:pBdr/>
      <w:spacing w:after="240" w:before="360"/>
      <w:ind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895">
    <w:name w:val="Heading 2"/>
    <w:qFormat/>
    <w:pPr>
      <w:pBdr/>
      <w:spacing w:after="120" w:before="240"/>
      <w:ind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896">
    <w:name w:val="Heading 3"/>
    <w:qFormat/>
    <w:pPr>
      <w:pBdr/>
      <w:spacing w:after="100" w:before="200"/>
      <w:ind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2026-02-04T15:03:44Z</dcterms:created>
  <dcterms:modified xsi:type="dcterms:W3CDTF">2026-02-04T17:14:22Z</dcterms:modified>
</cp:coreProperties>
</file>