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Compte rendu de réunion n°0</w:t>
      </w: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2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5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Deuxième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réunion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Date 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07 mars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lang w:eastAsia="fr-FR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h00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1h30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Retour sur la semaine</w:t>
      </w:r>
      <w:r>
        <w:rPr>
          <w:rFonts w:cs="Arial" w:ascii="Arial" w:hAnsi="Arial"/>
          <w:b/>
        </w:rPr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Planification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État de l'art parsers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État de l'art DBF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État de l'art IDS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Prévisions</w:t>
      </w:r>
    </w:p>
    <w:p>
      <w:pPr>
        <w:pStyle w:val="ListParagraph"/>
        <w:numPr>
          <w:ilvl w:val="0"/>
          <w:numId w:val="0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du planning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Déroulement des recherches :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état de l'art parsers : terminé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état de l'art IDS : en cours 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état de l'art DBF : en cours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N</w:t>
      </w:r>
      <w:r>
        <w:rPr>
          <w:rFonts w:eastAsia="Times New Roman" w:cs="Arial" w:ascii="Arial" w:hAnsi="Arial"/>
          <w:b/>
          <w:color w:val="000000"/>
          <w:lang w:eastAsia="fr-FR"/>
        </w:rPr>
        <w:t>ous avons présenté l'avancée de ces différents travaux.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Questions prévues pour le client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Faut-il poursuivre les recherches générales ? → Se centrer sur MySQL.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Retour sur la structure de notre DBF à la lumière de nos recherches.</w:t>
      </w:r>
    </w:p>
    <w:p>
      <w:pPr>
        <w:pStyle w:val="ListParagraph"/>
        <w:spacing w:lineRule="auto" w:line="240" w:before="0" w:after="0"/>
        <w:ind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 xml:space="preserve">Définition des objectifs </w:t>
      </w: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pour la semaine suivante :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Il faut arrêter les recherches générales sur les parsers et les IDS et les centrer sur le protocole MySQL. Il est donc  nécessaire de commencer la phase de pré-étude du développement pour pouvoir centrer nos recherches sur MySQL.</w:t>
      </w:r>
    </w:p>
    <w:p>
      <w:pPr>
        <w:pStyle w:val="Normal"/>
        <w:spacing w:lineRule="auto" w:line="240" w:before="0" w:after="0"/>
        <w:ind w:left="708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sz w:val="32"/>
          <w:szCs w:val="32"/>
          <w:u w:val="single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FF0000"/>
          <w:sz w:val="32"/>
          <w:szCs w:val="32"/>
          <w:u w:val="single"/>
          <w:lang w:eastAsia="fr-FR"/>
        </w:rPr>
        <w:t>Remarques</w:t>
      </w:r>
      <w:r>
        <w:rPr>
          <w:rFonts w:eastAsia="Times New Roman" w:cs="Arial" w:ascii="Arial" w:hAnsi="Arial"/>
          <w:b/>
          <w:color w:val="FF0000"/>
          <w:sz w:val="32"/>
          <w:szCs w:val="32"/>
          <w:lang w:eastAsia="fr-FR"/>
        </w:rPr>
        <w:t> :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u w:val="single"/>
          <w:lang w:eastAsia="fr-FR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Parsing de requêtes SQL : 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Attention à ne pas se fonder sur de la documentation trop ancienne. Il est peut-être possible de trouver de nouvelles failles dans le parsing avec Yacc. 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Penser à tester le parser créé en utilisant une liste de tests importante et en analysant les résultats reçus.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 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État de l'art DBF : 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Faire une comparaison entre le DBF et le WAF pour montrer les apports et les limites d'un DBF.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Rechercher les performances de GreenSQL et trouver un moyen de les améliorer.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Implémentation de l'analyseur :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Faut-il filtrer en entrée et en sortie du serveur MySQL ?</w:t>
      </w:r>
    </w:p>
    <w:p>
      <w:pPr>
        <w:pStyle w:val="Normal"/>
        <w:numPr>
          <w:ilvl w:val="1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Définir les exploitations possibles.</w:t>
      </w:r>
    </w:p>
    <w:p>
      <w:pPr>
        <w:pStyle w:val="Normal"/>
        <w:numPr>
          <w:ilvl w:val="1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Définir le coût de l'</w:t>
      </w:r>
      <w:r>
        <w:rPr>
          <w:rFonts w:eastAsia="Times New Roman" w:cs="Arial" w:ascii="Arial" w:hAnsi="Arial"/>
          <w:b/>
          <w:i/>
          <w:iCs/>
          <w:color w:val="000000"/>
          <w:lang w:eastAsia="fr-FR"/>
        </w:rPr>
        <w:t xml:space="preserve">Output traffic validation </w:t>
      </w:r>
      <w:r>
        <w:rPr>
          <w:rFonts w:eastAsia="Times New Roman" w:cs="Arial" w:ascii="Arial" w:hAnsi="Arial"/>
          <w:b/>
          <w:i w:val="false"/>
          <w:iCs w:val="false"/>
          <w:color w:val="000000"/>
          <w:lang w:eastAsia="fr-FR"/>
        </w:rPr>
        <w:t>en terme de performances temporelles</w:t>
      </w:r>
      <w:r>
        <w:rPr>
          <w:rFonts w:eastAsia="Times New Roman" w:cs="Arial" w:ascii="Arial" w:hAnsi="Arial"/>
          <w:b/>
          <w:i/>
          <w:iCs/>
          <w:color w:val="000000"/>
          <w:lang w:eastAsia="fr-FR"/>
        </w:rPr>
        <w:t>.</w:t>
      </w:r>
    </w:p>
    <w:p>
      <w:pPr>
        <w:pStyle w:val="Normal"/>
        <w:numPr>
          <w:ilvl w:val="1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i w:val="false"/>
          <w:iCs w:val="false"/>
          <w:color w:val="000000"/>
          <w:lang w:eastAsia="fr-FR"/>
        </w:rPr>
        <w:t>Définir l'apport de</w:t>
      </w:r>
      <w:r>
        <w:rPr>
          <w:rFonts w:eastAsia="Times New Roman" w:cs="Arial" w:ascii="Arial" w:hAnsi="Arial"/>
          <w:b/>
          <w:i/>
          <w:iCs/>
          <w:color w:val="000000"/>
          <w:lang w:eastAsia="fr-FR"/>
        </w:rPr>
        <w:t xml:space="preserve"> l'Output traffic validation </w:t>
      </w:r>
      <w:r>
        <w:rPr>
          <w:rFonts w:eastAsia="Times New Roman" w:cs="Arial" w:ascii="Arial" w:hAnsi="Arial"/>
          <w:b/>
          <w:i w:val="false"/>
          <w:iCs w:val="false"/>
          <w:color w:val="000000"/>
          <w:lang w:eastAsia="fr-FR"/>
        </w:rPr>
        <w:t xml:space="preserve">en terme de sécurité.  </w:t>
      </w:r>
      <w:r>
        <w:rPr>
          <w:rFonts w:eastAsia="Times New Roman" w:cs="Arial" w:ascii="Arial" w:hAnsi="Arial"/>
          <w:b/>
          <w:i/>
          <w:iCs/>
          <w:color w:val="000000"/>
          <w:lang w:eastAsia="fr-FR"/>
        </w:rPr>
        <w:t xml:space="preserve">  </w:t>
      </w:r>
      <w:r>
        <w:rPr>
          <w:rFonts w:eastAsia="Times New Roman" w:cs="Arial" w:ascii="Arial" w:hAnsi="Arial"/>
          <w:b/>
          <w:color w:val="000000"/>
          <w:lang w:eastAsia="fr-F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Possibilité d'appliquer une blacklist sur les flux sortants</w:t>
      </w:r>
    </w:p>
    <w:p>
      <w:pPr>
        <w:pStyle w:val="Normal"/>
        <w:numPr>
          <w:ilvl w:val="1"/>
          <w:numId w:val="5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ex : Interdiction de renvoyer les passwords.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Liste d'attaques pour réaliser les tests de sécurité : ne pas utiliser la banque de donnée ARPA 1999 qui est devenue obsolète.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jc w:val="center"/>
        <w:textAlignment w:val="baseline"/>
        <w:rPr/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Ce CR sera considéré comme validé 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jeudi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09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/0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3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Arial" w:hAnsi="Arial" w:cs="Symbol"/>
      <w:b/>
      <w:sz w:val="20"/>
    </w:rPr>
  </w:style>
  <w:style w:type="character" w:styleId="ListLabel116">
    <w:name w:val="ListLabel 116"/>
    <w:qFormat/>
    <w:rPr>
      <w:rFonts w:ascii="Arial" w:hAnsi="Arial" w:cs="Courier New"/>
      <w:b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Arial" w:hAnsi="Arial" w:cs="Symbol"/>
      <w:b/>
    </w:rPr>
  </w:style>
  <w:style w:type="character" w:styleId="ListLabel119">
    <w:name w:val="ListLabel 119"/>
    <w:qFormat/>
    <w:rPr>
      <w:rFonts w:ascii="Arial" w:hAnsi="Arial" w:cs="Courier New"/>
      <w:b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LibreOffice/4.4.6.3$Linux_X86_64 LibreOffice_project/40m0$Build-3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language>fr-FR</dc:language>
  <cp:lastModifiedBy>menguy </cp:lastModifiedBy>
  <cp:lastPrinted>2015-10-18T07:55:00Z</cp:lastPrinted>
  <dcterms:modified xsi:type="dcterms:W3CDTF">2017-03-07T16:43:04Z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