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40"/>
          <w:szCs w:val="40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40"/>
          <w:szCs w:val="40"/>
          <w:lang w:eastAsia="fr-FR"/>
        </w:rPr>
        <w:t>Projet CASSIOPEE® :</w:t>
      </w:r>
    </w:p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40"/>
          <w:szCs w:val="40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40"/>
          <w:szCs w:val="40"/>
          <w:lang w:eastAsia="fr-FR"/>
        </w:rPr>
        <w:t>« Database Firewall »</w:t>
      </w:r>
    </w:p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  <w:t>Compte rendu de réunion n°03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32"/>
          <w:szCs w:val="32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</w:r>
    </w:p>
    <w:tbl>
      <w:tblPr>
        <w:tblW w:w="10490" w:type="dxa"/>
        <w:jc w:val="left"/>
        <w:tblInd w:w="-5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4a0" w:noVBand="1" w:noHBand="0" w:firstRow="1" w:lastRow="0" w:firstColumn="1" w:lastColumn="0"/>
      </w:tblPr>
      <w:tblGrid>
        <w:gridCol w:w="3496"/>
        <w:gridCol w:w="3497"/>
        <w:gridCol w:w="3497"/>
      </w:tblGrid>
      <w:tr>
        <w:trPr>
          <w:trHeight w:val="776" w:hRule="atLeast"/>
        </w:trPr>
        <w:tc>
          <w:tcPr>
            <w:tcW w:w="34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Motif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Réunion de projet</w:t>
            </w:r>
          </w:p>
        </w:tc>
        <w:tc>
          <w:tcPr>
            <w:tcW w:w="3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Lieu 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eastAsia="fr-FR"/>
              </w:rPr>
              <w:t>D101-01</w:t>
            </w:r>
          </w:p>
        </w:tc>
        <w:tc>
          <w:tcPr>
            <w:tcW w:w="3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Date 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 24 mars 2017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 xml:space="preserve">Heure de début 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lang w:eastAsia="fr-FR"/>
              </w:rPr>
              <w:t>9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h00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Durée 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 45min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999999"/>
          <w:sz w:val="24"/>
          <w:szCs w:val="24"/>
          <w:lang w:eastAsia="fr-FR"/>
        </w:rPr>
        <w:t>Liste de diffusion :</w:t>
      </w:r>
      <w:r>
        <w:rPr>
          <w:rFonts w:eastAsia="Times New Roman" w:cs="Arial" w:ascii="Arial" w:hAnsi="Arial"/>
          <w:color w:val="000000"/>
          <w:lang w:eastAsia="fr-FR"/>
        </w:rPr>
        <w:t xml:space="preserve"> </w:t>
      </w:r>
      <w:r>
        <w:rPr>
          <w:rFonts w:cs="Arial" w:ascii="Arial" w:hAnsi="Arial"/>
          <w:color w:val="000000"/>
        </w:rPr>
        <w:t>Grégory Blanc, Grégoire Menguy, Baptiste Polvé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/>
          <w:bCs/>
          <w:color w:val="FF0000"/>
          <w:sz w:val="48"/>
          <w:szCs w:val="48"/>
          <w:lang w:eastAsia="fr-FR"/>
        </w:rPr>
      </w:pPr>
      <w:r>
        <w:rPr>
          <w:rFonts w:eastAsia="Times New Roman" w:cs="Arial" w:ascii="Arial" w:hAnsi="Arial"/>
          <w:b/>
          <w:bCs/>
          <w:color w:val="FF0000"/>
          <w:sz w:val="32"/>
          <w:szCs w:val="32"/>
          <w:lang w:eastAsia="fr-FR"/>
        </w:rPr>
        <w:t>Ordre du jour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b/>
        </w:rPr>
        <w:t>Avancement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Fonctionnement du protocole MySQL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Mise en place de l’échange client/serveur MySQL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Programmation du parser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b/>
        </w:rPr>
        <w:t>Prévisions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b/>
        </w:rPr>
        <w:t>Échange avec le client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/>
          <w:bCs/>
          <w:color w:val="002060"/>
          <w:sz w:val="48"/>
          <w:szCs w:val="48"/>
          <w:lang w:eastAsia="fr-FR"/>
        </w:rPr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>Avancement du projet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Présentation du fonctionnement du protocole MySQL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Présentation de l’état du code concernant la mise en place de l’échange client/serveur MySQL</w:t>
      </w:r>
    </w:p>
    <w:p>
      <w:pPr>
        <w:pStyle w:val="Normal"/>
        <w:numPr>
          <w:ilvl w:val="1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Conseil : Attention requête divisée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Présentation de l’état du développement du parser</w:t>
      </w:r>
    </w:p>
    <w:p>
      <w:pPr>
        <w:pStyle w:val="Normal"/>
        <w:numPr>
          <w:ilvl w:val="1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Conseil : Regarder les mauvais comportements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 xml:space="preserve">Nous avons présenté l'avancée de ces différents travaux </w:t>
      </w:r>
      <w:r>
        <w:rPr>
          <w:rFonts w:eastAsia="Times New Roman" w:cs="Arial" w:ascii="Arial" w:hAnsi="Arial"/>
          <w:b/>
          <w:color w:val="000000"/>
          <w:lang w:eastAsia="fr-FR"/>
        </w:rPr>
        <w:t>avec une démonstration</w:t>
      </w:r>
      <w:r>
        <w:rPr>
          <w:rFonts w:eastAsia="Times New Roman" w:cs="Arial" w:ascii="Arial" w:hAnsi="Arial"/>
          <w:b/>
          <w:color w:val="000000"/>
          <w:lang w:eastAsia="fr-FR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/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>Prévisions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Finir la programmation du parser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Mettre en place un système de monitoring ?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Conseil : Pas forcément tout de suite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/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 xml:space="preserve">Échanges avec le client 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Système de tests à modifier</w:t>
      </w:r>
    </w:p>
    <w:p>
      <w:pPr>
        <w:pStyle w:val="Normal"/>
        <w:numPr>
          <w:ilvl w:val="1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Regarder : OWASP Webgoat / Juice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Travailler sur la recherche de signatures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ind w:left="708" w:hanging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jc w:val="center"/>
        <w:textAlignment w:val="baseline"/>
        <w:rPr/>
      </w:pP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>Ce CR sera considéré comme validé mardi 28/03/2017</w:t>
      </w:r>
      <w:bookmarkStart w:id="0" w:name="_GoBack"/>
      <w:bookmarkEnd w:id="0"/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 xml:space="preserve"> en l’absence de remarque.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ea55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Titre1">
    <w:name w:val="Heading 1"/>
    <w:basedOn w:val="Titre"/>
    <w:qFormat/>
    <w:pPr/>
    <w:rPr/>
  </w:style>
  <w:style w:type="paragraph" w:styleId="Titre2">
    <w:name w:val="Heading 2"/>
    <w:basedOn w:val="Titre"/>
    <w:qFormat/>
    <w:pPr/>
    <w:rPr/>
  </w:style>
  <w:style w:type="paragraph" w:styleId="Titre3">
    <w:name w:val="Heading 3"/>
    <w:basedOn w:val="Titre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8e42ec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e42e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77b60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b/>
      <w:sz w:val="20"/>
    </w:rPr>
  </w:style>
  <w:style w:type="character" w:styleId="ListLabel29">
    <w:name w:val="ListLabel 29"/>
    <w:qFormat/>
    <w:rPr>
      <w:rFonts w:ascii="Arial" w:hAnsi="Arial"/>
      <w:b/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rFonts w:cs="Courier New"/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Arial" w:hAnsi="Arial" w:cs="Courier New"/>
      <w:b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rFonts w:cs="Courier New"/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rFonts w:cs="Courier New"/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ascii="Arial" w:hAnsi="Arial" w:cs="Symbol"/>
      <w:b/>
      <w:sz w:val="20"/>
    </w:rPr>
  </w:style>
  <w:style w:type="character" w:styleId="ListLabel116">
    <w:name w:val="ListLabel 116"/>
    <w:qFormat/>
    <w:rPr>
      <w:rFonts w:ascii="Arial" w:hAnsi="Arial" w:cs="Courier New"/>
      <w:b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ascii="Arial" w:hAnsi="Arial" w:cs="Symbol"/>
      <w:b/>
    </w:rPr>
  </w:style>
  <w:style w:type="character" w:styleId="ListLabel119">
    <w:name w:val="ListLabel 119"/>
    <w:qFormat/>
    <w:rPr>
      <w:rFonts w:ascii="Arial" w:hAnsi="Arial" w:cs="Courier New"/>
      <w:b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22">
    <w:name w:val="ListLabel 122"/>
    <w:qFormat/>
    <w:rPr>
      <w:rFonts w:cs="Symbol"/>
      <w:b/>
      <w:sz w:val="20"/>
    </w:rPr>
  </w:style>
  <w:style w:type="character" w:styleId="ListLabel123">
    <w:name w:val="ListLabel 123"/>
    <w:qFormat/>
    <w:rPr>
      <w:rFonts w:cs="Courier New"/>
      <w:b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Symbol"/>
      <w:b/>
    </w:rPr>
  </w:style>
  <w:style w:type="character" w:styleId="ListLabel132">
    <w:name w:val="ListLabel 132"/>
    <w:qFormat/>
    <w:rPr>
      <w:rFonts w:cs="Courier New"/>
      <w:b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  <w:b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  <w:b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  <w:b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  <w:b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  <w:b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Symbol"/>
      <w:b/>
      <w:sz w:val="20"/>
    </w:rPr>
  </w:style>
  <w:style w:type="character" w:styleId="ListLabel177">
    <w:name w:val="ListLabel 177"/>
    <w:qFormat/>
    <w:rPr>
      <w:rFonts w:cs="Courier New"/>
      <w:b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cs="Wingdings"/>
      <w:sz w:val="20"/>
    </w:rPr>
  </w:style>
  <w:style w:type="character" w:styleId="ListLabel183">
    <w:name w:val="ListLabel 183"/>
    <w:qFormat/>
    <w:rPr>
      <w:rFonts w:cs="Wingdings"/>
      <w:sz w:val="20"/>
    </w:rPr>
  </w:style>
  <w:style w:type="character" w:styleId="ListLabel184">
    <w:name w:val="ListLabel 184"/>
    <w:qFormat/>
    <w:rPr>
      <w:rFonts w:cs="Wingdings"/>
      <w:sz w:val="20"/>
    </w:rPr>
  </w:style>
  <w:style w:type="character" w:styleId="ListLabel185">
    <w:name w:val="ListLabel 185"/>
    <w:qFormat/>
    <w:rPr>
      <w:rFonts w:cs="Symbol"/>
      <w:b/>
    </w:rPr>
  </w:style>
  <w:style w:type="character" w:styleId="ListLabel186">
    <w:name w:val="ListLabel 186"/>
    <w:qFormat/>
    <w:rPr>
      <w:rFonts w:cs="Courier New"/>
      <w:b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  <w:b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  <w:b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  <w:b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  <w:b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  <w:b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unhideWhenUsed/>
    <w:rsid w:val="008e42e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e42e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6460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77b6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Quotations">
    <w:name w:val="Quotations"/>
    <w:basedOn w:val="Normal"/>
    <w:qFormat/>
    <w:pPr/>
    <w:rPr/>
  </w:style>
  <w:style w:type="paragraph" w:styleId="Titreprincipal">
    <w:name w:val="Title"/>
    <w:basedOn w:val="Titre"/>
    <w:qFormat/>
    <w:pPr/>
    <w:rPr/>
  </w:style>
  <w:style w:type="paragraph" w:styleId="Soustitre">
    <w:name w:val="Subtitle"/>
    <w:basedOn w:val="Titre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5D4CC-C63A-48D4-B76D-B98ED7D6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LibreOffice/5.1.6.2$Linux_X86_64 LibreOffice_project/10m0$Build-2</Application>
  <Pages>1</Pages>
  <Words>190</Words>
  <Characters>951</Characters>
  <CharactersWithSpaces>1090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2017-02-23T07:26:00Z</dcterms:created>
  <dc:creator>【-•◘ ๒αקтเstε ◘•-】</dc:creator>
  <dc:description/>
  <dc:language>fr-FR</dc:language>
  <cp:lastModifiedBy/>
  <cp:lastPrinted>2015-10-18T07:55:00Z</cp:lastPrinted>
  <dcterms:modified xsi:type="dcterms:W3CDTF">2017-03-24T14:10:21Z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