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Session 3 (13 August) Reflection Journal</w:t>
      </w:r>
    </w:p>
    <w:p w:rsidR="00000000" w:rsidDel="00000000" w:rsidP="00000000" w:rsidRDefault="00000000" w:rsidRPr="00000000" w14:paraId="00000002">
      <w:pPr>
        <w:jc w:val="left"/>
        <w:rPr>
          <w:rFonts w:ascii="Times New Roman" w:cs="Times New Roman" w:eastAsia="Times New Roman" w:hAnsi="Times New Roman"/>
          <w:b w:val="1"/>
          <w:bCs w:val="1"/>
          <w:i w:val="1"/>
          <w:iCs w:val="1"/>
          <w:sz w:val="30"/>
          <w:szCs w:val="30"/>
        </w:rPr>
      </w:pPr>
      <w:r w:rsidDel="00000000" w:rsidR="00000000" w:rsidRPr="00000000">
        <w:rPr>
          <w:rtl w:val="0"/>
        </w:rPr>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Today’s session was more practical rather than the previous lectures, as most of the class was focused on setting up the tools required for developing JavaFX applications. Instead of introducing many new graphics concepts, we worked through the development environment and created our first small JavaFX program using Maven. I found this useful as it gave me a better idea of how the projects we will be working on in this course are actually organised and run.</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major part of the session was getting Maven set up and making sure it was working correctly on our laptops. I learned that Maven can manage the dependencies required by a project as well as automate parts of the process of building and running the application. This seems especially useful for JavaFX because the required libraries can be managed through the project rather than having to manually handle everything.</w:t>
      </w:r>
    </w:p>
    <w:p w:rsidR="00000000" w:rsidDel="00000000" w:rsidP="00000000" w:rsidRDefault="00000000" w:rsidRPr="00000000" w14:paraId="0000000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then used IntelliJ to create and work with a JavaFX project through Maven. Being able to successfully run the program was probably the most satisfying part of the session because it showed that all the setup was working. It also helped me understand the connection between the project configuration, Maven, Java, and JavaFX instead of seeing them as completely separate tools.</w:t>
      </w:r>
    </w:p>
    <w:p w:rsidR="00000000" w:rsidDel="00000000" w:rsidP="00000000" w:rsidRDefault="00000000" w:rsidRPr="00000000" w14:paraId="0000000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practical part, we created a simple 2D square. Although the program itself was quite basic, it helped me understand some of the properties of JavaFX shapes. Making the square hollow was a simple example, but it made the purpose of these properties much clearer to me.</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think this session was very important even though it did not introduce a large amount of new theory. It gave me practical experience with the tools that will be needed for the rest of the course. Creating a simple square may seem small, but it helped me understand the basic structure of a JavaFX program and how graphical properties are controlled through code. I also feel more comfortable with Maven now and have a better starting point for developing more complex JavaFX graphics in the upcoming sessions.</w:t>
      </w:r>
    </w:p>
    <w:p w:rsidR="00000000" w:rsidDel="00000000" w:rsidP="00000000" w:rsidRDefault="00000000" w:rsidRPr="00000000" w14:paraId="00000008">
      <w:pPr>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