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vAlign w:val="top"/>
          </w:tcPr>
          <w:p>
            <w:pPr>
              <w:spacing w:before="4596"/>
            </w:pPr>
          </w:p>
          <w:p>
            <w:pPr>
              <w:pBdr>
                <w:bottom w:val="single" w:color="37DCF2" w:sz="6" w:space="8"/>
              </w:pBdr>
              <w:spacing w:after="500"/>
              <w:ind w:left="1200" w:right="800"/>
            </w:pPr>
            <w:r>
              <w:rPr>
                <w:rFonts w:ascii="Arial" w:eastAsia="Arial" w:hAnsi="Arial"/>
                <w:color w:val="37DCF2"/>
                <w:sz w:val="18"/>
                <w:szCs w:val="18"/>
              </w:rPr>
              <w:t xml:space="preserve">D  O  C  U  M  E  N  T  A  T  I  O  N</w:t>
            </w:r>
          </w:p>
          <w:p>
            <w:pPr>
              <w:spacing w:after="300" w:line="920" w:lineRule="atLeast"/>
              <w:ind w:left="1200"/>
            </w:pPr>
            <w:r>
              <w:rPr>
                <w:rFonts w:ascii="Arial" w:eastAsia="Arial" w:hAnsi="Arial"/>
                <w:b/>
                <w:bCs/>
                <w:color w:val="FFFFFF"/>
                <w:sz w:val="80"/>
                <w:szCs w:val="80"/>
              </w:rPr>
              <w:t xml:space="preserve">PM Control Tower</w:t>
            </w:r>
          </w:p>
          <w:p>
            <w:pPr>
              <w:spacing w:after="800"/>
              <w:ind w:left="1200" w:right="800"/>
            </w:pPr>
            <w:r>
              <w:rPr>
                <w:rFonts w:ascii="Calibri" w:eastAsia="Calibri" w:hAnsi="Calibri"/>
                <w:color w:val="B0B8C0"/>
                <w:sz w:val="24"/>
                <w:szCs w:val="24"/>
              </w:rPr>
              <w:t xml:space="preserve">Enterprise Project, Program &amp; Portfolio Management Platform — Complete Documentation Suite</w:t>
            </w:r>
          </w:p>
          <w:p>
            <w:pPr>
              <w:pBdr>
                <w:left w:val="single" w:color="37DCF2" w:sz="8" w:space="12"/>
              </w:pBdr>
              <w:spacing w:after="80"/>
              <w:ind w:left="1400"/>
            </w:pPr>
            <w:r>
              <w:rPr>
                <w:rFonts w:ascii="Calibri" w:eastAsia="Calibri" w:hAnsi="Calibri"/>
                <w:color w:val="90989F"/>
                <w:sz w:val="22"/>
                <w:szCs w:val="22"/>
              </w:rPr>
              <w:t xml:space="preserve">One Platform. Complete Project Intelligence. Greater Outcomes.</w:t>
            </w:r>
          </w:p>
          <w:p>
            <w:pPr>
              <w:pBdr>
                <w:left w:val="single" w:color="37DCF2" w:sz="8" w:space="12"/>
              </w:pBdr>
              <w:spacing w:after="80"/>
              <w:ind w:left="1400"/>
            </w:pPr>
            <w:r>
              <w:rPr>
                <w:rFonts w:ascii="Calibri" w:eastAsia="Calibri" w:hAnsi="Calibri"/>
                <w:color w:val="90989F"/>
                <w:sz w:val="22"/>
                <w:szCs w:val="22"/>
              </w:rPr>
              <w:t xml:space="preserve">Release 1.0   |   Sandbox Edition</w:t>
            </w:r>
          </w:p>
          <w:p>
            <w:pPr>
              <w:pBdr>
                <w:left w:val="single" w:color="37DCF2" w:sz="8" w:space="12"/>
              </w:pBdr>
              <w:spacing w:after="80"/>
              <w:ind w:left="1400"/>
            </w:pPr>
            <w:r>
              <w:rPr>
                <w:rFonts w:ascii="Calibri" w:eastAsia="Calibri" w:hAnsi="Calibri"/>
                <w:color w:val="90989F"/>
                <w:sz w:val="22"/>
                <w:szCs w:val="22"/>
              </w:rPr>
              <w:t xml:space="preserve">Classification: Internal</w:t>
            </w:r>
          </w:p>
          <w:p>
            <w:pPr>
              <w:pBdr>
                <w:left w:val="single" w:color="37DCF2" w:sz="8" w:space="12"/>
              </w:pBdr>
              <w:spacing w:after="80"/>
              <w:ind w:left="1400"/>
            </w:pPr>
            <w:r>
              <w:rPr>
                <w:rFonts w:ascii="Calibri" w:eastAsia="Calibri" w:hAnsi="Calibri"/>
                <w:color w:val="90989F"/>
                <w:sz w:val="22"/>
                <w:szCs w:val="22"/>
              </w:rPr>
              <w:t xml:space="preserve">PLAN  |  EXECUTE  |  MONITOR  |  GOVERN  |  DELIVER</w:t>
            </w:r>
          </w:p>
          <w:p>
            <w:pPr>
              <w:spacing w:before="4596"/>
            </w:pPr>
          </w:p>
          <w:p>
            <w:pPr>
              <w:pBdr>
                <w:top w:val="single" w:color="37DCF2" w:sz="2" w:space="8"/>
              </w:pBdr>
              <w:spacing w:before="200"/>
              <w:ind w:left="1200" w:right="800"/>
            </w:pPr>
            <w:r>
              <w:rPr>
                <w:rFonts w:ascii="Arial" w:eastAsia="Arial" w:hAnsi="Arial"/>
                <w:color w:val="687078"/>
                <w:sz w:val="16"/>
                <w:szCs w:val="16"/>
              </w:rPr>
              <w:t xml:space="preserve">PM CONTROL TOWER</w:t>
            </w:r>
            <w:r>
              <w:t xml:space="preserve">                                        </w:t>
            </w:r>
            <w:r>
              <w:rPr>
                <w:rFonts w:ascii="Arial" w:eastAsia="Arial" w:hAnsi="Arial"/>
                <w:color w:val="687078"/>
                <w:sz w:val="16"/>
                <w:szCs w:val="16"/>
              </w:rPr>
              <w:t xml:space="preserve">ENTERPRISE PPM PLATFORM</w:t>
            </w:r>
          </w:p>
        </w:tc>
      </w:tr>
    </w:tbl>
    <w:p>
      <w:pPr>
        <w:sectPr>
          <w:pgSz w:w="11906" w:h="16838" w:orient="portrait"/>
          <w:pgMar w:top="0" w:right="0" w:bottom="0" w:left="0" w:header="708" w:footer="708" w:gutter="0"/>
          <w:pgNumType/>
          <w:docGrid w:linePitch="360"/>
        </w:sectPr>
      </w:pPr>
    </w:p>
    <w:p>
      <w:pPr>
        <w:spacing w:after="160" w:before="200"/>
      </w:pPr>
      <w:r>
        <w:rPr>
          <w:rFonts w:ascii="Arial" w:eastAsia="Arial" w:hAnsi="Arial"/>
          <w:b/>
          <w:bCs/>
          <w:color w:val="162235"/>
          <w:sz w:val="30"/>
          <w:szCs w:val="30"/>
        </w:rPr>
        <w:t xml:space="preserve">About This Documentation</w:t>
      </w:r>
    </w:p>
    <w:p>
      <w:pPr>
        <w:spacing w:after="120" w:line="312"/>
        <w:jc w:val="both"/>
      </w:pPr>
      <w:r>
        <w:rPr>
          <w:rFonts w:ascii="Calibri" w:eastAsia="Calibri" w:hAnsi="Calibri"/>
          <w:color w:val="24303C"/>
          <w:sz w:val="22"/>
          <w:szCs w:val="22"/>
        </w:rPr>
        <w:t xml:space="preserve">This suite is the complete documentation set for PM Control Tower, the enterprise project, program and portfolio management platform. It consolidates the sixteen required documents into one navigable volume: Product Blueprint, Technical Architecture, Database Architecture, API Specification, UI Architecture, Integration Architecture, Security Architecture, Deployment Guide, Operations Runbook, Testing Strategy, Go-Live Checklist, Disaster Recovery, Administration Guide, User Guide, PMO Guide and Executive Guide.</w:t>
      </w:r>
    </w:p>
    <w:p>
      <w:pPr>
        <w:spacing w:after="120" w:line="312"/>
        <w:jc w:val="both"/>
      </w:pPr>
      <w:r>
        <w:rPr>
          <w:rFonts w:ascii="Calibri" w:eastAsia="Calibri" w:hAnsi="Calibri"/>
          <w:color w:val="24303C"/>
          <w:sz w:val="22"/>
          <w:szCs w:val="22"/>
        </w:rPr>
        <w:t xml:space="preserve">The volume serves four audiences. Executives read chapters 1, 10 and 16. Delivery organizations (project, program and portfolio managers) live in chapters 1 through 6 and 14 and 15. Engineers and integrators implement from chapters 2 through 9 and 12. Operations and PMO administrators run the platform from chapters 8, 9, 11, 12 and 13.</w:t>
      </w:r>
    </w:p>
    <w:p>
      <w:pPr>
        <w:spacing w:after="120" w:line="312"/>
        <w:jc w:val="both"/>
      </w:pPr>
      <w:r>
        <w:rPr>
          <w:rFonts w:ascii="Calibri" w:eastAsia="Calibri" w:hAnsi="Calibri"/>
          <w:b/>
          <w:bCs/>
          <w:color w:val="24303C"/>
          <w:sz w:val="22"/>
          <w:szCs w:val="22"/>
        </w:rPr>
        <w:t xml:space="preserve">Status honesty. </w:t>
      </w:r>
      <w:r>
        <w:rPr>
          <w:rFonts w:ascii="Calibri" w:eastAsia="Calibri" w:hAnsi="Calibri"/>
          <w:color w:val="24303C"/>
          <w:sz w:val="22"/>
          <w:szCs w:val="22"/>
        </w:rPr>
        <w:t xml:space="preserve">Statements in this volume distinguish Implemented, Configured, Connected, Tested and Production Certified (chapter 1.4). Nothing in this release claims live external connectivity or production certification that has not occurred; where a capability requires customer-side credentials or a production deployment, the text says so.</w:t>
      </w:r>
    </w:p>
    <w:p>
      <w:pPr>
        <w:spacing w:after="120" w:before="300"/>
      </w:pPr>
      <w:r>
        <w:rPr>
          <w:rFonts w:ascii="Arial" w:eastAsia="Arial" w:hAnsi="Arial"/>
          <w:b/>
          <w:bCs/>
          <w:color w:val="162235"/>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before="200"/>
      </w:pPr>
      <w:r>
        <w:rPr>
          <w:rFonts w:ascii="Calibri" w:eastAsia="Calibri" w:hAnsi="Calibri"/>
          <w:i/>
          <w:iCs/>
          <w:color w:val="888888"/>
          <w:sz w:val="18"/>
          <w:szCs w:val="18"/>
        </w:rPr>
        <w:t xml:space="preserve">Note: This Table of Contents is generated via field codes. To ensure page number accuracy after editing, please right-click the TOC and select "Update Field."</w:t>
      </w:r>
    </w:p>
    <w:p>
      <w:r>
        <w:br w:type="page"/>
      </w:r>
    </w:p>
    <w:p>
      <w:pPr>
        <w:sectPr>
          <w:headerReference w:type="default" r:id="rId7"/>
          <w:footerReference w:type="default" r:id="rId8"/>
          <w:type w:val="nextPage"/>
          <w:pgSz w:w="11906" w:h="16838" w:orient="portrait"/>
          <w:pgMar w:top="1440" w:right="1440" w:bottom="1300" w:left="1560" w:header="708" w:footer="708" w:gutter="0"/>
          <w:pgNumType w:start="1" w:fmt="upperRoman"/>
          <w:docGrid w:linePitch="360"/>
        </w:sectPr>
      </w:pPr>
    </w:p>
    <w:p>
      <w:pPr>
        <w:pStyle w:val="Heading1"/>
        <w:spacing w:after="160" w:before="400"/>
      </w:pPr>
      <w:r>
        <w:rPr>
          <w:rFonts w:ascii="Arial" w:eastAsia="Arial" w:hAnsi="Arial"/>
          <w:b/>
          <w:bCs/>
          <w:color w:val="162235"/>
          <w:sz w:val="30"/>
          <w:szCs w:val="30"/>
        </w:rPr>
        <w:t xml:space="preserve">1. Product Blueprint</w:t>
      </w:r>
    </w:p>
    <w:p>
      <w:pPr>
        <w:pStyle w:val="Heading2"/>
        <w:spacing w:after="120" w:before="280"/>
      </w:pPr>
      <w:r>
        <w:rPr>
          <w:rFonts w:ascii="Arial" w:eastAsia="Arial" w:hAnsi="Arial"/>
          <w:b/>
          <w:bCs/>
          <w:color w:val="1B6B7A"/>
          <w:sz w:val="25"/>
          <w:szCs w:val="25"/>
        </w:rPr>
        <w:t xml:space="preserve">1.1 Vision</w:t>
      </w:r>
    </w:p>
    <w:p>
      <w:pPr>
        <w:spacing w:after="120" w:line="312"/>
        <w:jc w:val="both"/>
      </w:pPr>
      <w:r>
        <w:rPr>
          <w:rFonts w:ascii="Calibri" w:eastAsia="Calibri" w:hAnsi="Calibri"/>
          <w:color w:val="24303C"/>
          <w:sz w:val="22"/>
          <w:szCs w:val="22"/>
        </w:rPr>
        <w:t xml:space="preserve">PM Control Tower is an enterprise Project, Program and Portfolio Management (PPM) platform built on a single guiding principle: one platform, complete project intelligence, greater outcomes. It is explicitly not a simple task manager. The product provides one source of truth across the full enterprise delivery lifecycle: Portfolio, Program, Project, Scope, Requirements, Work Breakdown Structure, Tasks, Schedule, Milestones, Dependencies, Resources, Timesheets, Effort, Cost, Budget, Forecast, Earned Value Management, Risks, Issues, Assumptions, Dependencies, Change Control, Quality, Deliverables, Governance, Health/RAG status, Executive Reporting, an AI PM Assistant, Integrations, and Automation.</w:t>
      </w:r>
    </w:p>
    <w:p>
      <w:pPr>
        <w:spacing w:after="120" w:line="312"/>
        <w:jc w:val="both"/>
      </w:pPr>
      <w:r>
        <w:rPr>
          <w:rFonts w:ascii="Calibri" w:eastAsia="Calibri" w:hAnsi="Calibri"/>
          <w:color w:val="24303C"/>
          <w:sz w:val="22"/>
          <w:szCs w:val="22"/>
        </w:rPr>
        <w:t xml:space="preserve">Every executive and reporting figure originates from the operational data model. There are no disconnected duplicate data sets for dashboards: when a timesheet is approved, the approval cascades through task actuals, WBS roll-ups, project actual hours and cost, budget, forecast, EVM, project health, governance evaluation, realtime events, and executive reporting automatically.</w:t>
      </w:r>
    </w:p>
    <w:p>
      <w:pPr>
        <w:pStyle w:val="Heading2"/>
        <w:spacing w:after="120" w:before="280"/>
      </w:pPr>
      <w:r>
        <w:rPr>
          <w:rFonts w:ascii="Arial" w:eastAsia="Arial" w:hAnsi="Arial"/>
          <w:b/>
          <w:bCs/>
          <w:color w:val="1B6B7A"/>
          <w:sz w:val="25"/>
          <w:szCs w:val="25"/>
        </w:rPr>
        <w:t xml:space="preserve">1.2 Core Value Areas</w:t>
      </w:r>
    </w:p>
    <w:p>
      <w:pPr>
        <w:pStyle w:val="ListParagraph"/>
        <w:numPr>
          <w:ilvl w:val="0"/>
          <w:numId w:val="1"/>
        </w:numPr>
        <w:spacing w:after="60" w:line="312"/>
      </w:pPr>
      <w:r>
        <w:rPr>
          <w:rFonts w:ascii="Calibri" w:eastAsia="Calibri" w:hAnsi="Calibri"/>
          <w:b/>
          <w:bCs/>
          <w:color w:val="24303C"/>
          <w:sz w:val="22"/>
          <w:szCs w:val="22"/>
        </w:rPr>
        <w:t xml:space="preserve">Strategic alignment — </w:t>
      </w:r>
      <w:r>
        <w:rPr>
          <w:rFonts w:ascii="Calibri" w:eastAsia="Calibri" w:hAnsi="Calibri"/>
          <w:color w:val="24303C"/>
          <w:sz w:val="22"/>
          <w:szCs w:val="22"/>
        </w:rPr>
        <w:t xml:space="preserve">Real-time visibility across portfolios, programs and projects with automatic RAG health scoring.</w:t>
      </w:r>
    </w:p>
    <w:p>
      <w:pPr>
        <w:pStyle w:val="ListParagraph"/>
        <w:numPr>
          <w:ilvl w:val="0"/>
          <w:numId w:val="1"/>
        </w:numPr>
        <w:spacing w:after="60" w:line="312"/>
      </w:pPr>
      <w:r>
        <w:rPr>
          <w:rFonts w:ascii="Calibri" w:eastAsia="Calibri" w:hAnsi="Calibri"/>
          <w:b/>
          <w:bCs/>
          <w:color w:val="24303C"/>
          <w:sz w:val="22"/>
          <w:szCs w:val="22"/>
        </w:rPr>
        <w:t xml:space="preserve">Delivery control — </w:t>
      </w:r>
      <w:r>
        <w:rPr>
          <w:rFonts w:ascii="Calibri" w:eastAsia="Calibri" w:hAnsi="Calibri"/>
          <w:color w:val="24303C"/>
          <w:sz w:val="22"/>
          <w:szCs w:val="22"/>
        </w:rPr>
        <w:t xml:space="preserve">Critical Path Method scheduling, interactive Gantt, baselines and variance tracking.</w:t>
      </w:r>
    </w:p>
    <w:p>
      <w:pPr>
        <w:pStyle w:val="ListParagraph"/>
        <w:numPr>
          <w:ilvl w:val="0"/>
          <w:numId w:val="1"/>
        </w:numPr>
        <w:spacing w:after="60" w:line="312"/>
      </w:pPr>
      <w:r>
        <w:rPr>
          <w:rFonts w:ascii="Calibri" w:eastAsia="Calibri" w:hAnsi="Calibri"/>
          <w:b/>
          <w:bCs/>
          <w:color w:val="24303C"/>
          <w:sz w:val="22"/>
          <w:szCs w:val="22"/>
        </w:rPr>
        <w:t xml:space="preserve">Optimized resources — </w:t>
      </w:r>
      <w:r>
        <w:rPr>
          <w:rFonts w:ascii="Calibri" w:eastAsia="Calibri" w:hAnsi="Calibri"/>
          <w:color w:val="24303C"/>
          <w:sz w:val="22"/>
          <w:szCs w:val="22"/>
        </w:rPr>
        <w:t xml:space="preserve">Capacity planning, allocation heatmaps and utilization driven by real assignments and timesheets.</w:t>
      </w:r>
    </w:p>
    <w:p>
      <w:pPr>
        <w:pStyle w:val="ListParagraph"/>
        <w:numPr>
          <w:ilvl w:val="0"/>
          <w:numId w:val="1"/>
        </w:numPr>
        <w:spacing w:after="60" w:line="312"/>
      </w:pPr>
      <w:r>
        <w:rPr>
          <w:rFonts w:ascii="Calibri" w:eastAsia="Calibri" w:hAnsi="Calibri"/>
          <w:b/>
          <w:bCs/>
          <w:color w:val="24303C"/>
          <w:sz w:val="22"/>
          <w:szCs w:val="22"/>
        </w:rPr>
        <w:t xml:space="preserve">Financial truth — </w:t>
      </w:r>
      <w:r>
        <w:rPr>
          <w:rFonts w:ascii="Calibri" w:eastAsia="Calibri" w:hAnsi="Calibri"/>
          <w:color w:val="24303C"/>
          <w:sz w:val="22"/>
          <w:szCs w:val="22"/>
        </w:rPr>
        <w:t xml:space="preserve">Budget lines, actuals, forecast at completion, CPI/SPI/EAC/ETC/VAC/TCPI per period.</w:t>
      </w:r>
    </w:p>
    <w:p>
      <w:pPr>
        <w:pStyle w:val="ListParagraph"/>
        <w:numPr>
          <w:ilvl w:val="0"/>
          <w:numId w:val="1"/>
        </w:numPr>
        <w:spacing w:after="60" w:line="312"/>
      </w:pPr>
      <w:r>
        <w:rPr>
          <w:rFonts w:ascii="Calibri" w:eastAsia="Calibri" w:hAnsi="Calibri"/>
          <w:b/>
          <w:bCs/>
          <w:color w:val="24303C"/>
          <w:sz w:val="22"/>
          <w:szCs w:val="22"/>
        </w:rPr>
        <w:t xml:space="preserve">Automated governance — </w:t>
      </w:r>
      <w:r>
        <w:rPr>
          <w:rFonts w:ascii="Calibri" w:eastAsia="Calibri" w:hAnsi="Calibri"/>
          <w:color w:val="24303C"/>
          <w:sz w:val="22"/>
          <w:szCs w:val="22"/>
        </w:rPr>
        <w:t xml:space="preserve">Configurable threshold rules that raise alerts, inbox items and notifications automatically.</w:t>
      </w:r>
    </w:p>
    <w:p>
      <w:pPr>
        <w:pStyle w:val="ListParagraph"/>
        <w:numPr>
          <w:ilvl w:val="0"/>
          <w:numId w:val="1"/>
        </w:numPr>
        <w:spacing w:after="60" w:line="312"/>
      </w:pPr>
      <w:r>
        <w:rPr>
          <w:rFonts w:ascii="Calibri" w:eastAsia="Calibri" w:hAnsi="Calibri"/>
          <w:b/>
          <w:bCs/>
          <w:color w:val="24303C"/>
          <w:sz w:val="22"/>
          <w:szCs w:val="22"/>
        </w:rPr>
        <w:t xml:space="preserve">AI PM Assistant — </w:t>
      </w:r>
      <w:r>
        <w:rPr>
          <w:rFonts w:ascii="Calibri" w:eastAsia="Calibri" w:hAnsi="Calibri"/>
          <w:color w:val="24303C"/>
          <w:sz w:val="22"/>
          <w:szCs w:val="22"/>
        </w:rPr>
        <w:t xml:space="preserve">A governed, permission-checked assistant that answers executive questions from live data.</w:t>
      </w:r>
    </w:p>
    <w:p>
      <w:pPr>
        <w:pStyle w:val="Heading2"/>
        <w:spacing w:after="120" w:before="280"/>
      </w:pPr>
      <w:r>
        <w:rPr>
          <w:rFonts w:ascii="Arial" w:eastAsia="Arial" w:hAnsi="Arial"/>
          <w:b/>
          <w:bCs/>
          <w:color w:val="1B6B7A"/>
          <w:sz w:val="25"/>
          <w:szCs w:val="25"/>
        </w:rPr>
        <w:t xml:space="preserve">1.3 Product Structure</w:t>
      </w:r>
    </w:p>
    <w:p>
      <w:pPr>
        <w:spacing w:after="120" w:line="312"/>
        <w:jc w:val="both"/>
      </w:pPr>
      <w:r>
        <w:rPr>
          <w:rFonts w:ascii="Calibri" w:eastAsia="Calibri" w:hAnsi="Calibri"/>
          <w:color w:val="24303C"/>
          <w:sz w:val="22"/>
          <w:szCs w:val="22"/>
        </w:rPr>
        <w:t xml:space="preserve">The product is organized into eight major areas, each exposed as a navigation group in the application: Executive Control Tower (dashboards, portfolio overview, financial overview, EVM, governance queue, executive alerts, forecast, analytics); Portfolio (portfolios, programs, projects and roll-up reporting); Plan (project register, requirements, WBS, tasks, schedule, milestones, baselines); Execute (resources, timesheets, work inbox, focus planner); Control (financials, EVM, health, RAID, change control, stage gates, governance); Intelligence (reports, analytics, AI PM Assistant); Connect (integration hub, automations, notifications, webhooks, AI connector gateway, extension hub); and Administration (users, roles, permissions, templates, audit trail, configuration).</w:t>
      </w:r>
    </w:p>
    <w:p>
      <w:pPr>
        <w:pStyle w:val="Heading2"/>
        <w:spacing w:after="120" w:before="280"/>
      </w:pPr>
      <w:r>
        <w:rPr>
          <w:rFonts w:ascii="Arial" w:eastAsia="Arial" w:hAnsi="Arial"/>
          <w:b/>
          <w:bCs/>
          <w:color w:val="1B6B7A"/>
          <w:sz w:val="25"/>
          <w:szCs w:val="25"/>
        </w:rPr>
        <w:t xml:space="preserve">1.4 Delivery Status Classification</w:t>
      </w:r>
    </w:p>
    <w:p>
      <w:pPr>
        <w:spacing w:after="120" w:line="312"/>
        <w:jc w:val="both"/>
      </w:pPr>
      <w:r>
        <w:rPr>
          <w:rFonts w:ascii="Calibri" w:eastAsia="Calibri" w:hAnsi="Calibri"/>
          <w:color w:val="24303C"/>
          <w:sz w:val="22"/>
          <w:szCs w:val="22"/>
        </w:rPr>
        <w:t xml:space="preserve">In line with the product quality standard, capabilities are classified honestly using five states: Implemented (fully working in this release), Configured (parameterized and ready but requiring environment-specific secrets), Connected (live external connectivity verified), Tested (covered by executed tests), and Production Certified (validated in a production environment under load). In this sandbox release, all core platform capabilities are Implemented and Tested. External integrations (email, calendar, SSO, storage, messaging, BI) are Implemented at the gateway level but are NOT claimed as Connected because no external credentials exist in this environment; each reports its honest status in the Integration Hub. Production Certified status requires live deployment validation per the Go-Live Checklist in chapter 11.</w:t>
      </w:r>
    </w:p>
    <w:p>
      <w:pPr>
        <w:pStyle w:val="Heading1"/>
        <w:spacing w:after="160" w:before="400"/>
      </w:pPr>
      <w:r>
        <w:rPr>
          <w:rFonts w:ascii="Arial" w:eastAsia="Arial" w:hAnsi="Arial"/>
          <w:b/>
          <w:bCs/>
          <w:color w:val="162235"/>
          <w:sz w:val="30"/>
          <w:szCs w:val="30"/>
        </w:rPr>
        <w:t xml:space="preserve">2. Technical Architecture</w:t>
      </w:r>
    </w:p>
    <w:p>
      <w:pPr>
        <w:pStyle w:val="Heading2"/>
        <w:spacing w:after="120" w:before="280"/>
      </w:pPr>
      <w:r>
        <w:rPr>
          <w:rFonts w:ascii="Arial" w:eastAsia="Arial" w:hAnsi="Arial"/>
          <w:b/>
          <w:bCs/>
          <w:color w:val="1B6B7A"/>
          <w:sz w:val="25"/>
          <w:szCs w:val="25"/>
        </w:rPr>
        <w:t xml:space="preserve">2.1 Overview</w:t>
      </w:r>
    </w:p>
    <w:p>
      <w:pPr>
        <w:spacing w:after="120" w:line="312"/>
        <w:jc w:val="both"/>
      </w:pPr>
      <w:r>
        <w:rPr>
          <w:rFonts w:ascii="Calibri" w:eastAsia="Calibri" w:hAnsi="Calibri"/>
          <w:color w:val="24303C"/>
          <w:sz w:val="22"/>
          <w:szCs w:val="22"/>
        </w:rPr>
        <w:t xml:space="preserve">PM Control Tower is a full-stack web application. The presentation layer is a Next.js 16 application (React 19, TypeScript 5, Tailwind CSS 4, shadcn/ui) delivering a single-page enterprise experience with hash-based deep links. The application layer consists of Next.js route handlers under /api implementing a REST gateway with authentication, authorization, validation, rate limiting, error handling and audit hooks. Real-time collaboration is provided by a dedicated Socket.IO gateway service. The data layer is Prisma ORM over a relational database: SQLite in the sandbox environment and PostgreSQL in production deployment.</w:t>
      </w:r>
    </w:p>
    <w:p>
      <w:pPr>
        <w:keepNext/>
        <w:spacing w:after="80" w:before="160"/>
      </w:pPr>
      <w:r>
        <w:rPr>
          <w:rFonts w:ascii="Calibri" w:eastAsia="Calibri" w:hAnsi="Calibri"/>
          <w:b/>
          <w:bCs/>
          <w:color w:val="5A6B7A"/>
          <w:sz w:val="21"/>
          <w:szCs w:val="21"/>
        </w:rPr>
        <w:t xml:space="preserve">Architecture layers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3200"/>
        <w:gridCol w:w="4500"/>
      </w:tblGrid>
      <w:tr>
        <w:trPr>
          <w:cantSplit/>
          <w:tblHeader/>
        </w:trPr>
        <w:tc>
          <w:tcPr>
            <w:tcBorders>
              <w:top w:val="single" w:color="C8DDE2" w:sz="2"/>
              <w:left w:val="single" w:color="C8DDE2" w:sz="2"/>
              <w:bottom w:val="single" w:color="C8DDE2" w:sz="2"/>
              <w:right w:val="single" w:color="C8DDE2" w:sz="2"/>
            </w:tcBorders>
            <w:shd w:fill="1B6B7A" w:val="clear"/>
            <w:tcMar>
              <w:top w:type="dxa" w:w="80"/>
              <w:left w:type="dxa" w:w="120"/>
              <w:bottom w:type="dxa" w:w="80"/>
              <w:right w:type="dxa" w:w="120"/>
            </w:tcMar>
            <w:vAlign w:val="center"/>
          </w:tcPr>
          <w:p>
            <w:pPr>
              <w:spacing w:line="264"/>
            </w:pPr>
            <w:r>
              <w:rPr>
                <w:rFonts w:ascii="Calibri" w:eastAsia="Calibri" w:hAnsi="Calibri"/>
                <w:b/>
                <w:bCs/>
                <w:color w:val="FFFFFF"/>
                <w:sz w:val="19"/>
                <w:szCs w:val="19"/>
              </w:rPr>
              <w:t xml:space="preserve">Layer</w:t>
            </w:r>
          </w:p>
        </w:tc>
        <w:tc>
          <w:tcPr>
            <w:tcBorders>
              <w:top w:val="single" w:color="C8DDE2" w:sz="2"/>
              <w:left w:val="single" w:color="C8DDE2" w:sz="2"/>
              <w:bottom w:val="single" w:color="C8DDE2" w:sz="2"/>
              <w:right w:val="single" w:color="C8DDE2" w:sz="2"/>
            </w:tcBorders>
            <w:shd w:fill="1B6B7A" w:val="clear"/>
            <w:tcMar>
              <w:top w:type="dxa" w:w="80"/>
              <w:left w:type="dxa" w:w="120"/>
              <w:bottom w:type="dxa" w:w="80"/>
              <w:right w:type="dxa" w:w="120"/>
            </w:tcMar>
            <w:vAlign w:val="center"/>
          </w:tcPr>
          <w:p>
            <w:pPr>
              <w:spacing w:line="264"/>
            </w:pPr>
            <w:r>
              <w:rPr>
                <w:rFonts w:ascii="Calibri" w:eastAsia="Calibri" w:hAnsi="Calibri"/>
                <w:b/>
                <w:bCs/>
                <w:color w:val="FFFFFF"/>
                <w:sz w:val="19"/>
                <w:szCs w:val="19"/>
              </w:rPr>
              <w:t xml:space="preserve">Technology</w:t>
            </w:r>
          </w:p>
        </w:tc>
        <w:tc>
          <w:tcPr>
            <w:tcBorders>
              <w:top w:val="single" w:color="C8DDE2" w:sz="2"/>
              <w:left w:val="single" w:color="C8DDE2" w:sz="2"/>
              <w:bottom w:val="single" w:color="C8DDE2" w:sz="2"/>
              <w:right w:val="single" w:color="C8DDE2" w:sz="2"/>
            </w:tcBorders>
            <w:shd w:fill="1B6B7A" w:val="clear"/>
            <w:tcMar>
              <w:top w:type="dxa" w:w="80"/>
              <w:left w:type="dxa" w:w="120"/>
              <w:bottom w:type="dxa" w:w="80"/>
              <w:right w:type="dxa" w:w="120"/>
            </w:tcMar>
            <w:vAlign w:val="center"/>
          </w:tcPr>
          <w:p>
            <w:pPr>
              <w:spacing w:line="264"/>
            </w:pPr>
            <w:r>
              <w:rPr>
                <w:rFonts w:ascii="Calibri" w:eastAsia="Calibri" w:hAnsi="Calibri"/>
                <w:b/>
                <w:bCs/>
                <w:color w:val="FFFFFF"/>
                <w:sz w:val="19"/>
                <w:szCs w:val="19"/>
              </w:rPr>
              <w:t xml:space="preserve">Responsibility</w:t>
            </w:r>
          </w:p>
        </w:tc>
      </w:tr>
      <w:tr>
        <w:trPr>
          <w:cantSplit/>
        </w:trPr>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Presentation</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Next.js 16, React 19, Tailwind 4, shadcn/ui</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Enterprise SPA, 36 views, command palette, realtime updates</w:t>
            </w:r>
          </w:p>
        </w:tc>
      </w:tr>
      <w:tr>
        <w:trPr>
          <w:cantSplit/>
        </w:trPr>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API gateway</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Next.js route handlers (88 endpoints)</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Auth, RBAC, validation (Zod), rate limiting, audit, errors</w:t>
            </w:r>
          </w:p>
        </w:tc>
      </w:tr>
      <w:tr>
        <w:trPr>
          <w:cantSplit/>
        </w:trPr>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Domain engines</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TypeScript services (src/lib/engines)</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CPM scheduling, EVM, health scoring, governance, timesheet cascade, automations</w:t>
            </w:r>
          </w:p>
        </w:tc>
      </w:tr>
      <w:tr>
        <w:trPr>
          <w:cantSplit/>
        </w:trPr>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Realtime</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Socket.IO gateway (Node/Bun, port 3003)</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JWT-authenticated subscriptions, room fan-out, shared-secret emit API</w:t>
            </w:r>
          </w:p>
        </w:tc>
      </w:tr>
      <w:tr>
        <w:trPr>
          <w:cantSplit/>
        </w:trPr>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Data</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Prisma ORM, SQLite (sandbox) / PostgreSQL (production)</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50-entity schema, single source of truth, indexed FKs</w:t>
            </w:r>
          </w:p>
        </w:tc>
      </w:tr>
      <w:tr>
        <w:trPr>
          <w:cantSplit/>
        </w:trPr>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Identity</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JWT (jose) + bcrypt, RBAC matrix</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12-hour tokens, httpOnly cookies, 8 roles, 43 permissions</w:t>
            </w:r>
          </w:p>
        </w:tc>
      </w:tr>
    </w:tbl>
    <w:p>
      <w:pPr>
        <w:spacing w:after="120"/>
      </w:pPr>
    </w:p>
    <w:p>
      <w:pPr>
        <w:pStyle w:val="Heading2"/>
        <w:spacing w:after="120" w:before="280"/>
      </w:pPr>
      <w:r>
        <w:rPr>
          <w:rFonts w:ascii="Arial" w:eastAsia="Arial" w:hAnsi="Arial"/>
          <w:b/>
          <w:bCs/>
          <w:color w:val="1B6B7A"/>
          <w:sz w:val="25"/>
          <w:szCs w:val="25"/>
        </w:rPr>
        <w:t xml:space="preserve">2.2 Domain Engines</w:t>
      </w:r>
    </w:p>
    <w:p>
      <w:pPr>
        <w:spacing w:after="120" w:line="312"/>
        <w:jc w:val="both"/>
      </w:pPr>
      <w:r>
        <w:rPr>
          <w:rFonts w:ascii="Calibri" w:eastAsia="Calibri" w:hAnsi="Calibri"/>
          <w:color w:val="24303C"/>
          <w:sz w:val="22"/>
          <w:szCs w:val="22"/>
        </w:rPr>
        <w:t xml:space="preserve">The intellectual core of the platform is a set of pure, testable engines. The scheduling engine implements the Critical Path Method: forward and backward passes across Finish-to-Start, Start-to-Start, Finish-to-Finish and Start-to-Finish dependencies with lag days, computing early/late start and finish dates, total and free float, and critical-task flags. Summary WBS nodes are rolled up from children rather than participating directly in the network. The EVM engine computes BAC, PV (time-phased), EV (cost-weighted physical progress), AC, CPI, SPI, EAC, ETC, VAC, TCPI, cost variance and schedule variance from operational task, progress and actual-cost data. The health engine converts CPI, SPI, budget utilization, critical risks and issues, overdue milestones, governance alerts and capacity pressure into a 0-100 score with Green/Amber/Red classification and rule-based override floors. The governance engine evaluates configurable rules (metrics CPI, SPI, EAC, budget utilization, health score, variances, open risks/issues; operators LT, LTE, GT, GTE, EQ) and, on breach, creates alert events, work-inbox items and notifications, recalculates health, and publishes realtime events. The timesheet engine implements the Draft-Submitted-Under Review-Approved/Rejected-Locked workflow and owns the actuals cascade. The automation engine executes trigger-condition-action rules with execution history, retry counters and audit trails.</w:t>
      </w:r>
    </w:p>
    <w:p>
      <w:pPr>
        <w:pStyle w:val="Heading2"/>
        <w:spacing w:after="120" w:before="280"/>
      </w:pPr>
      <w:r>
        <w:rPr>
          <w:rFonts w:ascii="Arial" w:eastAsia="Arial" w:hAnsi="Arial"/>
          <w:b/>
          <w:bCs/>
          <w:color w:val="1B6B7A"/>
          <w:sz w:val="25"/>
          <w:szCs w:val="25"/>
        </w:rPr>
        <w:t xml:space="preserve">2.3 Request and Event Flow</w:t>
      </w:r>
    </w:p>
    <w:p>
      <w:pPr>
        <w:spacing w:after="120" w:line="312"/>
        <w:jc w:val="both"/>
      </w:pPr>
      <w:r>
        <w:rPr>
          <w:rFonts w:ascii="Calibri" w:eastAsia="Calibri" w:hAnsi="Calibri"/>
          <w:color w:val="24303C"/>
          <w:sz w:val="22"/>
          <w:szCs w:val="22"/>
        </w:rPr>
        <w:t xml:space="preserve">A typical business action follows one governed path. The client calls an API route; the wrapper authenticates the JWT, checks the RBAC permission, applies rate limits and validates the body with a Zod schema. The handler mutates data through Prisma, invokes the relevant engine (for example, approving a timesheet triggers the actuals cascade), writes an audit event with before/after values, publishes realtime events to project and user rooms, and returns a structured JSON envelope. Subscribed UIs refresh without a page reload.</w:t>
      </w:r>
    </w:p>
    <w:p>
      <w:pPr>
        <w:pStyle w:val="Heading1"/>
        <w:spacing w:after="160" w:before="400"/>
      </w:pPr>
      <w:r>
        <w:rPr>
          <w:rFonts w:ascii="Arial" w:eastAsia="Arial" w:hAnsi="Arial"/>
          <w:b/>
          <w:bCs/>
          <w:color w:val="162235"/>
          <w:sz w:val="30"/>
          <w:szCs w:val="30"/>
        </w:rPr>
        <w:t xml:space="preserve">3. Database Architecture</w:t>
      </w:r>
    </w:p>
    <w:p>
      <w:pPr>
        <w:pStyle w:val="Heading2"/>
        <w:spacing w:after="120" w:before="280"/>
      </w:pPr>
      <w:r>
        <w:rPr>
          <w:rFonts w:ascii="Arial" w:eastAsia="Arial" w:hAnsi="Arial"/>
          <w:b/>
          <w:bCs/>
          <w:color w:val="1B6B7A"/>
          <w:sz w:val="25"/>
          <w:szCs w:val="25"/>
        </w:rPr>
        <w:t xml:space="preserve">3.1 Entity Model</w:t>
      </w:r>
    </w:p>
    <w:p>
      <w:pPr>
        <w:spacing w:after="120" w:line="312"/>
        <w:jc w:val="both"/>
      </w:pPr>
      <w:r>
        <w:rPr>
          <w:rFonts w:ascii="Calibri" w:eastAsia="Calibri" w:hAnsi="Calibri"/>
          <w:color w:val="24303C"/>
          <w:sz w:val="22"/>
          <w:szCs w:val="22"/>
        </w:rPr>
        <w:t xml:space="preserve">The schema contains fifty entities organized in coherent domains. Identity and access: User, Role, Permission, UserRole, RolePermission. Portfolio hierarchy: Portfolio, Program, Project. Planning: WBSNode (self-referencing tree), Requirement, Task (self-referencing for sub-tasks), Dependency (FS/SS/FF/SF with lag), Milestone, Baseline. Execution: Resource, Assignment, Timesheet, TimesheetEntry, Approval. Financial control: BudgetLine, EvmPeriod, ProjectHealthSnapshot, ProjectForecast. RAID and governance: Risk, Issue, Assumption, ChangeRequest, StageGate, GovernanceRule, AlertEvent. Delivery: Deliverable, QualityRecord. Collaboration: Meeting, Decision, Stakeholder, Communication, Document, Vendor. Engagement: Notification, InboxItem, PlannerEntry. Automation: AutomationRule, AutomationExecution. Templates: Template, TemplateVersion. Connectivity: Integration, IntegrationCredential, IntegrationEvent, WebhookSubscription, WebhookDelivery, AIConnector, AIExecution. Assurance: AuditEvent.</w:t>
      </w:r>
    </w:p>
    <w:p>
      <w:pPr>
        <w:spacing w:after="120" w:line="312"/>
        <w:jc w:val="both"/>
      </w:pPr>
      <w:r>
        <w:rPr>
          <w:rFonts w:ascii="Calibri" w:eastAsia="Calibri" w:hAnsi="Calibri"/>
          <w:color w:val="24303C"/>
          <w:sz w:val="22"/>
          <w:szCs w:val="22"/>
        </w:rPr>
        <w:t xml:space="preserve">Project is the central business object. Foreign keys follow the hierarchy Portfolio to Program to Project to WBS to Tasks to Timesheet entries, with project-scoped ownership on every operational record. All foreign-key columns are indexed; collection endpoints support search, filtering and pagination.</w:t>
      </w:r>
    </w:p>
    <w:p>
      <w:pPr>
        <w:pStyle w:val="Heading2"/>
        <w:spacing w:after="120" w:before="280"/>
      </w:pPr>
      <w:r>
        <w:rPr>
          <w:rFonts w:ascii="Arial" w:eastAsia="Arial" w:hAnsi="Arial"/>
          <w:b/>
          <w:bCs/>
          <w:color w:val="1B6B7A"/>
          <w:sz w:val="25"/>
          <w:szCs w:val="25"/>
        </w:rPr>
        <w:t xml:space="preserve">3.2 SQLite Sandbox and PostgreSQL Production</w:t>
      </w:r>
    </w:p>
    <w:p>
      <w:pPr>
        <w:spacing w:after="120" w:line="312"/>
        <w:jc w:val="both"/>
      </w:pPr>
      <w:r>
        <w:rPr>
          <w:rFonts w:ascii="Calibri" w:eastAsia="Calibri" w:hAnsi="Calibri"/>
          <w:color w:val="24303C"/>
          <w:sz w:val="22"/>
          <w:szCs w:val="22"/>
        </w:rPr>
        <w:t xml:space="preserve">The sandbox uses SQLite for zero-configuration operation; enumeration-style fields are string constants validated by the shared constants module, and JSON payloads are serialized to text columns through shared helpers. The production schema is the same model with the PostgreSQL provider. For production hardening, teams should generate Prisma migration files, commit them to the repository, and deploy with prisma migrate deploy. Controlled use of prisma db push is acceptable only for initial provisioning of non-production environments; uncontrolled data-loss pushes must never be used against a production database.</w:t>
      </w:r>
    </w:p>
    <w:p>
      <w:pPr>
        <w:keepNext/>
        <w:spacing w:after="80" w:before="160"/>
      </w:pPr>
      <w:r>
        <w:rPr>
          <w:rFonts w:ascii="Calibri" w:eastAsia="Calibri" w:hAnsi="Calibri"/>
          <w:b/>
          <w:bCs/>
          <w:color w:val="5A6B7A"/>
          <w:sz w:val="21"/>
          <w:szCs w:val="21"/>
        </w:rPr>
        <w:t xml:space="preserve">Key integrity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600"/>
      </w:tblGrid>
      <w:tr>
        <w:trPr>
          <w:cantSplit/>
          <w:tblHeader/>
        </w:trPr>
        <w:tc>
          <w:tcPr>
            <w:tcBorders>
              <w:top w:val="single" w:color="C8DDE2" w:sz="2"/>
              <w:left w:val="single" w:color="C8DDE2" w:sz="2"/>
              <w:bottom w:val="single" w:color="C8DDE2" w:sz="2"/>
              <w:right w:val="single" w:color="C8DDE2" w:sz="2"/>
            </w:tcBorders>
            <w:shd w:fill="1B6B7A" w:val="clear"/>
            <w:tcMar>
              <w:top w:type="dxa" w:w="80"/>
              <w:left w:type="dxa" w:w="120"/>
              <w:bottom w:type="dxa" w:w="80"/>
              <w:right w:type="dxa" w:w="120"/>
            </w:tcMar>
            <w:vAlign w:val="center"/>
          </w:tcPr>
          <w:p>
            <w:pPr>
              <w:spacing w:line="264"/>
            </w:pPr>
            <w:r>
              <w:rPr>
                <w:rFonts w:ascii="Calibri" w:eastAsia="Calibri" w:hAnsi="Calibri"/>
                <w:b/>
                <w:bCs/>
                <w:color w:val="FFFFFF"/>
                <w:sz w:val="19"/>
                <w:szCs w:val="19"/>
              </w:rPr>
              <w:t xml:space="preserve">Rule</w:t>
            </w:r>
          </w:p>
        </w:tc>
        <w:tc>
          <w:tcPr>
            <w:tcBorders>
              <w:top w:val="single" w:color="C8DDE2" w:sz="2"/>
              <w:left w:val="single" w:color="C8DDE2" w:sz="2"/>
              <w:bottom w:val="single" w:color="C8DDE2" w:sz="2"/>
              <w:right w:val="single" w:color="C8DDE2" w:sz="2"/>
            </w:tcBorders>
            <w:shd w:fill="1B6B7A" w:val="clear"/>
            <w:tcMar>
              <w:top w:type="dxa" w:w="80"/>
              <w:left w:type="dxa" w:w="120"/>
              <w:bottom w:type="dxa" w:w="80"/>
              <w:right w:type="dxa" w:w="120"/>
            </w:tcMar>
            <w:vAlign w:val="center"/>
          </w:tcPr>
          <w:p>
            <w:pPr>
              <w:spacing w:line="264"/>
            </w:pPr>
            <w:r>
              <w:rPr>
                <w:rFonts w:ascii="Calibri" w:eastAsia="Calibri" w:hAnsi="Calibri"/>
                <w:b/>
                <w:bCs/>
                <w:color w:val="FFFFFF"/>
                <w:sz w:val="19"/>
                <w:szCs w:val="19"/>
              </w:rPr>
              <w:t xml:space="preserve">Implementation</w:t>
            </w:r>
          </w:p>
        </w:tc>
      </w:tr>
      <w:tr>
        <w:trPr>
          <w:cantSplit/>
        </w:trPr>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Single source of truth</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Dashboards and EVM compute from operational tables, never copies</w:t>
            </w:r>
          </w:p>
        </w:tc>
      </w:tr>
      <w:tr>
        <w:trPr>
          <w:cantSplit/>
        </w:trPr>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Timesheet uniqueness</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One timesheet header per resource per week (unique index)</w:t>
            </w:r>
          </w:p>
        </w:tc>
      </w:tr>
      <w:tr>
        <w:trPr>
          <w:cantSplit/>
        </w:trPr>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Referential cleanup</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Cascading deletes from Project to WBS, tasks, dependencies, timesheet entries</w:t>
            </w:r>
          </w:p>
        </w:tc>
      </w:tr>
      <w:tr>
        <w:trPr>
          <w:cantSplit/>
        </w:trPr>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Audit completeness</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AuditEvent rows capture user, role, action, entity, before/after, IP, timestamp</w:t>
            </w:r>
          </w:p>
        </w:tc>
      </w:tr>
      <w:tr>
        <w:trPr>
          <w:cantSplit/>
        </w:trPr>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Secret hygiene</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IntegrationCredential stores masked values only; environment variables hold secrets</w:t>
            </w:r>
          </w:p>
        </w:tc>
      </w:tr>
    </w:tbl>
    <w:p>
      <w:pPr>
        <w:spacing w:after="120"/>
      </w:pPr>
    </w:p>
    <w:p>
      <w:pPr>
        <w:pStyle w:val="Heading1"/>
        <w:spacing w:after="160" w:before="400"/>
      </w:pPr>
      <w:r>
        <w:rPr>
          <w:rFonts w:ascii="Arial" w:eastAsia="Arial" w:hAnsi="Arial"/>
          <w:b/>
          <w:bCs/>
          <w:color w:val="162235"/>
          <w:sz w:val="30"/>
          <w:szCs w:val="30"/>
        </w:rPr>
        <w:t xml:space="preserve">4. API Specification</w:t>
      </w:r>
    </w:p>
    <w:p>
      <w:pPr>
        <w:pStyle w:val="Heading2"/>
        <w:spacing w:after="120" w:before="280"/>
      </w:pPr>
      <w:r>
        <w:rPr>
          <w:rFonts w:ascii="Arial" w:eastAsia="Arial" w:hAnsi="Arial"/>
          <w:b/>
          <w:bCs/>
          <w:color w:val="1B6B7A"/>
          <w:sz w:val="25"/>
          <w:szCs w:val="25"/>
        </w:rPr>
        <w:t xml:space="preserve">4.1 Conventions</w:t>
      </w:r>
    </w:p>
    <w:p>
      <w:pPr>
        <w:spacing w:after="120" w:line="312"/>
        <w:jc w:val="both"/>
      </w:pPr>
      <w:r>
        <w:rPr>
          <w:rFonts w:ascii="Calibri" w:eastAsia="Calibri" w:hAnsi="Calibri"/>
          <w:color w:val="24303C"/>
          <w:sz w:val="22"/>
          <w:szCs w:val="22"/>
        </w:rPr>
        <w:t xml:space="preserve">The API is REST over HTTPS with JSON bodies. All responses use a structured envelope: success true with a data payload, or success false with an error message and optional details. Authentication is a Bearer JWT (also issued as an httpOnly cookie). Every endpoint declares its required permission from a catalog of forty-three codes; every mutating endpoint writes an audit event. List endpoints accept q (search), status and other domain filters, and take/skip pagination with sane caps. Errors use appropriate status codes: 400 validation, 401 unauthenticated, 403 permission denied, 404 not found, 409 conflict (workflow or referential guards), 429 rate limited, 502 upstream failure.</w:t>
      </w:r>
    </w:p>
    <w:p>
      <w:pPr>
        <w:pStyle w:val="Heading2"/>
        <w:spacing w:after="120" w:before="280"/>
      </w:pPr>
      <w:r>
        <w:rPr>
          <w:rFonts w:ascii="Arial" w:eastAsia="Arial" w:hAnsi="Arial"/>
          <w:b/>
          <w:bCs/>
          <w:color w:val="1B6B7A"/>
          <w:sz w:val="25"/>
          <w:szCs w:val="25"/>
        </w:rPr>
        <w:t xml:space="preserve">4.2 Endpoint Map (88 routes)</w:t>
      </w:r>
    </w:p>
    <w:p>
      <w:pPr>
        <w:keepNext/>
        <w:spacing w:after="80" w:before="160"/>
      </w:pPr>
      <w:r>
        <w:rPr>
          <w:rFonts w:ascii="Calibri" w:eastAsia="Calibri" w:hAnsi="Calibri"/>
          <w:b/>
          <w:bCs/>
          <w:color w:val="5A6B7A"/>
          <w:sz w:val="21"/>
          <w:szCs w:val="21"/>
        </w:rPr>
        <w:t xml:space="preserve">Endpoint groups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400"/>
      </w:tblGrid>
      <w:tr>
        <w:trPr>
          <w:cantSplit/>
          <w:tblHeader/>
        </w:trPr>
        <w:tc>
          <w:tcPr>
            <w:tcBorders>
              <w:top w:val="single" w:color="C8DDE2" w:sz="2"/>
              <w:left w:val="single" w:color="C8DDE2" w:sz="2"/>
              <w:bottom w:val="single" w:color="C8DDE2" w:sz="2"/>
              <w:right w:val="single" w:color="C8DDE2" w:sz="2"/>
            </w:tcBorders>
            <w:shd w:fill="1B6B7A" w:val="clear"/>
            <w:tcMar>
              <w:top w:type="dxa" w:w="80"/>
              <w:left w:type="dxa" w:w="120"/>
              <w:bottom w:type="dxa" w:w="80"/>
              <w:right w:type="dxa" w:w="120"/>
            </w:tcMar>
            <w:vAlign w:val="center"/>
          </w:tcPr>
          <w:p>
            <w:pPr>
              <w:spacing w:line="264"/>
            </w:pPr>
            <w:r>
              <w:rPr>
                <w:rFonts w:ascii="Calibri" w:eastAsia="Calibri" w:hAnsi="Calibri"/>
                <w:b/>
                <w:bCs/>
                <w:color w:val="FFFFFF"/>
                <w:sz w:val="19"/>
                <w:szCs w:val="19"/>
              </w:rPr>
              <w:t xml:space="preserve">Group</w:t>
            </w:r>
          </w:p>
        </w:tc>
        <w:tc>
          <w:tcPr>
            <w:tcBorders>
              <w:top w:val="single" w:color="C8DDE2" w:sz="2"/>
              <w:left w:val="single" w:color="C8DDE2" w:sz="2"/>
              <w:bottom w:val="single" w:color="C8DDE2" w:sz="2"/>
              <w:right w:val="single" w:color="C8DDE2" w:sz="2"/>
            </w:tcBorders>
            <w:shd w:fill="1B6B7A" w:val="clear"/>
            <w:tcMar>
              <w:top w:type="dxa" w:w="80"/>
              <w:left w:type="dxa" w:w="120"/>
              <w:bottom w:type="dxa" w:w="80"/>
              <w:right w:type="dxa" w:w="120"/>
            </w:tcMar>
            <w:vAlign w:val="center"/>
          </w:tcPr>
          <w:p>
            <w:pPr>
              <w:spacing w:line="264"/>
            </w:pPr>
            <w:r>
              <w:rPr>
                <w:rFonts w:ascii="Calibri" w:eastAsia="Calibri" w:hAnsi="Calibri"/>
                <w:b/>
                <w:bCs/>
                <w:color w:val="FFFFFF"/>
                <w:sz w:val="19"/>
                <w:szCs w:val="19"/>
              </w:rPr>
              <w:t xml:space="preserve">Representative endpoints</w:t>
            </w:r>
          </w:p>
        </w:tc>
      </w:tr>
      <w:tr>
        <w:trPr>
          <w:cantSplit/>
        </w:trPr>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Authentication</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POST /api/auth/login, /logout, /register; GET /api/auth/me</w:t>
            </w:r>
          </w:p>
        </w:tc>
      </w:tr>
      <w:tr>
        <w:trPr>
          <w:cantSplit/>
        </w:trPr>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Portfolio</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GET/POST /api/portfolios; GET/PATCH/DELETE /api/portfolios/{id}; programs likewise</w:t>
            </w:r>
          </w:p>
        </w:tc>
      </w:tr>
      <w:tr>
        <w:trPr>
          <w:cantSplit/>
        </w:trPr>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Projects</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GET/POST /api/projects; GET/PATCH/DELETE /api/projects/{id} (full detail bundle)</w:t>
            </w:r>
          </w:p>
        </w:tc>
      </w:tr>
      <w:tr>
        <w:trPr>
          <w:cantSplit/>
        </w:trPr>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Planning</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/api/projects/{id}/wbs, /requirements, /tasks, /tasks/{taskId}, /dependencies, /dependencies/{depId}, /schedule, /milestones, /baselines, /baselines/{id}/activate</w:t>
            </w:r>
          </w:p>
        </w:tc>
      </w:tr>
      <w:tr>
        <w:trPr>
          <w:cantSplit/>
        </w:trPr>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Execution</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/api/resources, /api/capacity (8-week heatmap), /api/assignments, /api/timesheets (+ /submit, /approve, /reject, /lock)</w:t>
            </w:r>
          </w:p>
        </w:tc>
      </w:tr>
      <w:tr>
        <w:trPr>
          <w:cantSplit/>
        </w:trPr>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Engagement</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/api/inbox, /api/planner, /api/notifications</w:t>
            </w:r>
          </w:p>
        </w:tc>
      </w:tr>
      <w:tr>
        <w:trPr>
          <w:cantSplit/>
        </w:trPr>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Control</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/api/financials (+ /budget-lines), /api/evm, /api/health, /api/risks, /api/issues, /api/assumptions, /api/changes, /api/gates, /api/governance/rules, /api/governance/evaluate, /api/alerts</w:t>
            </w:r>
          </w:p>
        </w:tc>
      </w:tr>
      <w:tr>
        <w:trPr>
          <w:cantSplit/>
        </w:trPr>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Delivery</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/api/deliverables, /api/meetings, /api/stakeholders</w:t>
            </w:r>
          </w:p>
        </w:tc>
      </w:tr>
      <w:tr>
        <w:trPr>
          <w:cantSplit/>
        </w:trPr>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Connect</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/api/automations (+ /{id}/run), /api/templates (+ /{id}/apply), /api/integrations (+ /test, /enable, /disable, /credentials), /api/webhooks (+ /deliveries, /test)</w:t>
            </w:r>
          </w:p>
        </w:tc>
      </w:tr>
      <w:tr>
        <w:trPr>
          <w:cantSplit/>
        </w:trPr>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Intelligence</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/api/reports/executive, /api/reports/analytics, /api/assistant</w:t>
            </w:r>
          </w:p>
        </w:tc>
      </w:tr>
      <w:tr>
        <w:trPr>
          <w:cantSplit/>
        </w:trPr>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Administration</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/api/admin/users, /api/admin/roles, /api/admin/templates-config, /api/audit</w:t>
            </w:r>
          </w:p>
        </w:tc>
      </w:tr>
      <w:tr>
        <w:trPr>
          <w:cantSplit/>
        </w:trPr>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Search &amp; ops</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/api/search; GET /api/system/health; GET /api/system/ready</w:t>
            </w:r>
          </w:p>
        </w:tc>
      </w:tr>
    </w:tbl>
    <w:p>
      <w:pPr>
        <w:spacing w:after="120"/>
      </w:pPr>
    </w:p>
    <w:p>
      <w:pPr>
        <w:pStyle w:val="Heading2"/>
        <w:spacing w:after="120" w:before="280"/>
      </w:pPr>
      <w:r>
        <w:rPr>
          <w:rFonts w:ascii="Arial" w:eastAsia="Arial" w:hAnsi="Arial"/>
          <w:b/>
          <w:bCs/>
          <w:color w:val="1B6B7A"/>
          <w:sz w:val="25"/>
          <w:szCs w:val="25"/>
        </w:rPr>
        <w:t xml:space="preserve">4.3 Realtime Events</w:t>
      </w:r>
    </w:p>
    <w:p>
      <w:pPr>
        <w:spacing w:after="120" w:line="312"/>
        <w:jc w:val="both"/>
      </w:pPr>
      <w:r>
        <w:rPr>
          <w:rFonts w:ascii="Calibri" w:eastAsia="Calibri" w:hAnsi="Calibri"/>
          <w:color w:val="24303C"/>
          <w:sz w:val="22"/>
          <w:szCs w:val="22"/>
        </w:rPr>
        <w:t xml:space="preserve">The Socket.IO gateway authenticates handshakes with the same JWT, joins each user to their personal room, and accepts subscriptions to project, role and global rooms. Business services publish through a shared-secret emit endpoint. The event catalog includes project created/updated/health, WBS changed, task changed, schedule changed, dependency changed, baseline changed, resource assigned, timesheet submitted/approved, actuals changed, EVM changed, RAID changed, change changed, governance changed, alert created, inbox changed, planner changed, integration changed, automation executed, notification created and audit created. Clients subscribe once and refresh the relevant views on arrival.</w:t>
      </w:r>
    </w:p>
    <w:p>
      <w:pPr>
        <w:pStyle w:val="Heading1"/>
        <w:spacing w:after="160" w:before="400"/>
      </w:pPr>
      <w:r>
        <w:rPr>
          <w:rFonts w:ascii="Arial" w:eastAsia="Arial" w:hAnsi="Arial"/>
          <w:b/>
          <w:bCs/>
          <w:color w:val="162235"/>
          <w:sz w:val="30"/>
          <w:szCs w:val="30"/>
        </w:rPr>
        <w:t xml:space="preserve">5. UI Architecture</w:t>
      </w:r>
    </w:p>
    <w:p>
      <w:pPr>
        <w:pStyle w:val="Heading2"/>
        <w:spacing w:after="120" w:before="280"/>
      </w:pPr>
      <w:r>
        <w:rPr>
          <w:rFonts w:ascii="Arial" w:eastAsia="Arial" w:hAnsi="Arial"/>
          <w:b/>
          <w:bCs/>
          <w:color w:val="1B6B7A"/>
          <w:sz w:val="25"/>
          <w:szCs w:val="25"/>
        </w:rPr>
        <w:t xml:space="preserve">5.1 Design System</w:t>
      </w:r>
    </w:p>
    <w:p>
      <w:pPr>
        <w:spacing w:after="120" w:line="312"/>
        <w:jc w:val="both"/>
      </w:pPr>
      <w:r>
        <w:rPr>
          <w:rFonts w:ascii="Calibri" w:eastAsia="Calibri" w:hAnsi="Calibri"/>
          <w:color w:val="24303C"/>
          <w:sz w:val="22"/>
          <w:szCs w:val="22"/>
        </w:rPr>
        <w:t xml:space="preserve">The interface is an original PM Control Tower design built on Tailwind CSS 4 and shadcn/ui primitives. The foundation is professional navy and blue: a deep navy sidebar carries the eight navigation groups, the content area is light with white cards, slate typography, and restrained status color (emerald, amber, red reserved for RAG and severity). Shared primitives in the design kit include the page header with breadcrumbs, KPI stat cards, section cards, data tables with sticky headers, RAG badges, status chips, severity dots, progress bars, toolbars with search, and consistent loading, error and empty states. The shell provides a command palette (keyboard-invoked global search across projects, tasks and actions), quick-create menu, notification bell with live unread count, a realtime LIVE/OFF indicator, and a user menu with role display and sign-out.</w:t>
      </w:r>
    </w:p>
    <w:p>
      <w:pPr>
        <w:pStyle w:val="Heading2"/>
        <w:spacing w:after="120" w:before="280"/>
      </w:pPr>
      <w:r>
        <w:rPr>
          <w:rFonts w:ascii="Arial" w:eastAsia="Arial" w:hAnsi="Arial"/>
          <w:b/>
          <w:bCs/>
          <w:color w:val="1B6B7A"/>
          <w:sz w:val="25"/>
          <w:szCs w:val="25"/>
        </w:rPr>
        <w:t xml:space="preserve">5.2 Navigation and Views</w:t>
      </w:r>
    </w:p>
    <w:p>
      <w:pPr>
        <w:spacing w:after="120" w:line="312"/>
        <w:jc w:val="both"/>
      </w:pPr>
      <w:r>
        <w:rPr>
          <w:rFonts w:ascii="Calibri" w:eastAsia="Calibri" w:hAnsi="Calibri"/>
          <w:color w:val="24303C"/>
          <w:sz w:val="22"/>
          <w:szCs w:val="22"/>
        </w:rPr>
        <w:t xml:space="preserve">The application exposes thirty-six views across the eight product areas. The Executive Control Tower dashboard presents portfolio KPIs, RAG distribution, investment view, top risks, governance alerts, capacity hot spots, EVM by project, actual-hours trend and the governance queue. The Project Workspace is the flagship surface: thirteen tabs (Overview, Scope and Requirements, WBS, Schedule, Milestones, Baselines, Financials, EVM, Health, RAID, Changes, Stage Gates, Audit) over a live project header. The Schedule tab renders an interactive Gantt computed by the CPM engine: critical tasks in red, summary bars in navy, float shown as outlined extensions, a today marker, and per-task tooltips with early/late dates and float.</w:t>
      </w:r>
    </w:p>
    <w:p>
      <w:pPr>
        <w:pStyle w:val="Heading2"/>
        <w:spacing w:after="120" w:before="280"/>
      </w:pPr>
      <w:r>
        <w:rPr>
          <w:rFonts w:ascii="Arial" w:eastAsia="Arial" w:hAnsi="Arial"/>
          <w:b/>
          <w:bCs/>
          <w:color w:val="1B6B7A"/>
          <w:sz w:val="25"/>
          <w:szCs w:val="25"/>
        </w:rPr>
        <w:t xml:space="preserve">5.3 Behavioral Standards</w:t>
      </w:r>
    </w:p>
    <w:p>
      <w:pPr>
        <w:spacing w:after="120" w:line="312"/>
        <w:jc w:val="both"/>
      </w:pPr>
      <w:r>
        <w:rPr>
          <w:rFonts w:ascii="Calibri" w:eastAsia="Calibri" w:hAnsi="Calibri"/>
          <w:color w:val="24303C"/>
          <w:sz w:val="22"/>
          <w:szCs w:val="22"/>
        </w:rPr>
        <w:t xml:space="preserve">All data views implement the three required states (loading, error with retry, empty with guidance). Mutations confirm success or surface the exact API error through toasts. Realtime events refresh affected views without page reloads. The layout is responsive from mobile to desktop with a minimum 44-pixel touch target on interactive elements, semantic landmarks, labelled controls and keyboard-operable dialogs and menus.</w:t>
      </w:r>
    </w:p>
    <w:p>
      <w:pPr>
        <w:pStyle w:val="Heading1"/>
        <w:spacing w:after="160" w:before="400"/>
      </w:pPr>
      <w:r>
        <w:rPr>
          <w:rFonts w:ascii="Arial" w:eastAsia="Arial" w:hAnsi="Arial"/>
          <w:b/>
          <w:bCs/>
          <w:color w:val="162235"/>
          <w:sz w:val="30"/>
          <w:szCs w:val="30"/>
        </w:rPr>
        <w:t xml:space="preserve">6. Integration Architecture</w:t>
      </w:r>
    </w:p>
    <w:p>
      <w:pPr>
        <w:pStyle w:val="Heading2"/>
        <w:spacing w:after="120" w:before="280"/>
      </w:pPr>
      <w:r>
        <w:rPr>
          <w:rFonts w:ascii="Arial" w:eastAsia="Arial" w:hAnsi="Arial"/>
          <w:b/>
          <w:bCs/>
          <w:color w:val="1B6B7A"/>
          <w:sz w:val="25"/>
          <w:szCs w:val="25"/>
        </w:rPr>
        <w:t xml:space="preserve">6.1 Connectivity Model</w:t>
      </w:r>
    </w:p>
    <w:p>
      <w:pPr>
        <w:spacing w:after="120" w:line="312"/>
        <w:jc w:val="both"/>
      </w:pPr>
      <w:r>
        <w:rPr>
          <w:rFonts w:ascii="Calibri" w:eastAsia="Calibri" w:hAnsi="Calibri"/>
          <w:color w:val="24303C"/>
          <w:sz w:val="22"/>
          <w:szCs w:val="22"/>
        </w:rPr>
        <w:t xml:space="preserve">External systems connect through a layered model: external system, integration gateway, authentication, connector, transformation, PM Control Tower, business event, database, automation, notification, audit, and realtime UI. Each integration record exposes connection status, authentication status, last sync, sync direction, error count, retry count, last error, health score and an audit trail. The Integration Hub implements eight generic categories: Email Service, Calendar Integration, SSO / Identity Provider, File Storage, Notifications, BI / Reporting, Webhooks / APIs, and AI / Insights.</w:t>
      </w:r>
    </w:p>
    <w:p>
      <w:pPr>
        <w:pStyle w:val="Heading2"/>
        <w:spacing w:after="120" w:before="280"/>
      </w:pPr>
      <w:r>
        <w:rPr>
          <w:rFonts w:ascii="Arial" w:eastAsia="Arial" w:hAnsi="Arial"/>
          <w:b/>
          <w:bCs/>
          <w:color w:val="1B6B7A"/>
          <w:sz w:val="25"/>
          <w:szCs w:val="25"/>
        </w:rPr>
        <w:t xml:space="preserve">6.2 Webhooks and APIs</w:t>
      </w:r>
    </w:p>
    <w:p>
      <w:pPr>
        <w:spacing w:after="120" w:line="312"/>
        <w:jc w:val="both"/>
      </w:pPr>
      <w:r>
        <w:rPr>
          <w:rFonts w:ascii="Calibri" w:eastAsia="Calibri" w:hAnsi="Calibri"/>
          <w:color w:val="24303C"/>
          <w:sz w:val="22"/>
          <w:szCs w:val="22"/>
        </w:rPr>
        <w:t xml:space="preserve">Webhook subscriptions carry an event list, an HMAC-SHA256 signing configuration, retry policy and delivery history. Test deliveries are executed for real and their true outcomes recorded, including failures; the platform never fabricates delivery success. Operations endpoints exist for list, create, pause/activate, delete, delivery history and test.</w:t>
      </w:r>
    </w:p>
    <w:p>
      <w:pPr>
        <w:pStyle w:val="Heading2"/>
        <w:spacing w:after="120" w:before="280"/>
      </w:pPr>
      <w:r>
        <w:rPr>
          <w:rFonts w:ascii="Arial" w:eastAsia="Arial" w:hAnsi="Arial"/>
          <w:b/>
          <w:bCs/>
          <w:color w:val="1B6B7A"/>
          <w:sz w:val="25"/>
          <w:szCs w:val="25"/>
        </w:rPr>
        <w:t xml:space="preserve">6.3 Honest Connectivity Status</w:t>
      </w:r>
    </w:p>
    <w:p>
      <w:pPr>
        <w:spacing w:after="120" w:line="312"/>
        <w:jc w:val="both"/>
      </w:pPr>
      <w:r>
        <w:rPr>
          <w:rFonts w:ascii="Calibri" w:eastAsia="Calibri" w:hAnsi="Calibri"/>
          <w:color w:val="24303C"/>
          <w:sz w:val="22"/>
          <w:szCs w:val="22"/>
        </w:rPr>
        <w:t xml:space="preserve">In this environment no external credentials are configured, so external connectors report CONFIGURING or DISCONNECTED with authentication status NOT CONFIGURED, and connectivity tests honestly report that credentials are required. The AI / Insights category runs an internal connector (the PMCT Insight Engine) which is ACTIVE and used by the AI PM Assistant. Claiming a Connected state requires configured credentials and a successful test; the platform is designed so this claim can never be forged in the UI.</w:t>
      </w:r>
    </w:p>
    <w:p>
      <w:pPr>
        <w:pStyle w:val="Heading1"/>
        <w:spacing w:after="160" w:before="400"/>
      </w:pPr>
      <w:r>
        <w:rPr>
          <w:rFonts w:ascii="Arial" w:eastAsia="Arial" w:hAnsi="Arial"/>
          <w:b/>
          <w:bCs/>
          <w:color w:val="162235"/>
          <w:sz w:val="30"/>
          <w:szCs w:val="30"/>
        </w:rPr>
        <w:t xml:space="preserve">7. Security Architecture</w:t>
      </w:r>
    </w:p>
    <w:p>
      <w:pPr>
        <w:pStyle w:val="Heading2"/>
        <w:spacing w:after="120" w:before="280"/>
      </w:pPr>
      <w:r>
        <w:rPr>
          <w:rFonts w:ascii="Arial" w:eastAsia="Arial" w:hAnsi="Arial"/>
          <w:b/>
          <w:bCs/>
          <w:color w:val="1B6B7A"/>
          <w:sz w:val="25"/>
          <w:szCs w:val="25"/>
        </w:rPr>
        <w:t xml:space="preserve">7.1 Identity and Access</w:t>
      </w:r>
    </w:p>
    <w:p>
      <w:pPr>
        <w:spacing w:after="120" w:line="312"/>
        <w:jc w:val="both"/>
      </w:pPr>
      <w:r>
        <w:rPr>
          <w:rFonts w:ascii="Calibri" w:eastAsia="Calibri" w:hAnsi="Calibri"/>
          <w:color w:val="24303C"/>
          <w:sz w:val="22"/>
          <w:szCs w:val="22"/>
        </w:rPr>
        <w:t xml:space="preserve">Authentication uses JSON Web Tokens signed with HS256 (jose library), a twelve-hour expiry, and an issuer check. Tokens are returned to the client and additionally set as httpOnly, SameSite=Lax cookies. Passwords are hashed with bcrypt (cost 10). Login attempts are rate limited and failed-login counters are recorded. Authorization is role-based: eight system roles (Executive, PMO Administrator, Portfolio Manager, Program Manager, Project Manager, Finance Controller, Team Member, Auditor) map to a catalog of forty-three permission codes across executive, portfolio, project, planning, execution, control, connect, strategy, knowledge and administration categories. The API wrapper enforces the permission on every endpoint; super-admin status is a deliberate, auditable flag. SSO/OIDC is implemented at the gateway level as an integration category for enterprise identity providers.</w:t>
      </w:r>
    </w:p>
    <w:p>
      <w:pPr>
        <w:pStyle w:val="Heading2"/>
        <w:spacing w:after="120" w:before="280"/>
      </w:pPr>
      <w:r>
        <w:rPr>
          <w:rFonts w:ascii="Arial" w:eastAsia="Arial" w:hAnsi="Arial"/>
          <w:b/>
          <w:bCs/>
          <w:color w:val="1B6B7A"/>
          <w:sz w:val="25"/>
          <w:szCs w:val="25"/>
        </w:rPr>
        <w:t xml:space="preserve">7.2 Platform Controls</w:t>
      </w:r>
    </w:p>
    <w:p>
      <w:pPr>
        <w:pStyle w:val="ListParagraph"/>
        <w:numPr>
          <w:ilvl w:val="0"/>
          <w:numId w:val="1"/>
        </w:numPr>
        <w:spacing w:after="60" w:line="312"/>
      </w:pPr>
      <w:r>
        <w:rPr>
          <w:rFonts w:ascii="Calibri" w:eastAsia="Calibri" w:hAnsi="Calibri"/>
          <w:b/>
          <w:bCs/>
          <w:color w:val="24303C"/>
          <w:sz w:val="22"/>
          <w:szCs w:val="22"/>
        </w:rPr>
        <w:t xml:space="preserve">Request validation — </w:t>
      </w:r>
      <w:r>
        <w:rPr>
          <w:rFonts w:ascii="Calibri" w:eastAsia="Calibri" w:hAnsi="Calibri"/>
          <w:color w:val="24303C"/>
          <w:sz w:val="22"/>
          <w:szCs w:val="22"/>
        </w:rPr>
        <w:t xml:space="preserve">Every input validated with Zod schemas; unknown or malformed fields rejected with 400 responses.</w:t>
      </w:r>
    </w:p>
    <w:p>
      <w:pPr>
        <w:pStyle w:val="ListParagraph"/>
        <w:numPr>
          <w:ilvl w:val="0"/>
          <w:numId w:val="1"/>
        </w:numPr>
        <w:spacing w:after="60" w:line="312"/>
      </w:pPr>
      <w:r>
        <w:rPr>
          <w:rFonts w:ascii="Calibri" w:eastAsia="Calibri" w:hAnsi="Calibri"/>
          <w:b/>
          <w:bCs/>
          <w:color w:val="24303C"/>
          <w:sz w:val="22"/>
          <w:szCs w:val="22"/>
        </w:rPr>
        <w:t xml:space="preserve">Rate limiting — </w:t>
      </w:r>
      <w:r>
        <w:rPr>
          <w:rFonts w:ascii="Calibri" w:eastAsia="Calibri" w:hAnsi="Calibri"/>
          <w:color w:val="24303C"/>
          <w:sz w:val="22"/>
          <w:szCs w:val="22"/>
        </w:rPr>
        <w:t xml:space="preserve">Per-IP, per-route sliding windows; login endpoints have stricter limits.</w:t>
      </w:r>
    </w:p>
    <w:p>
      <w:pPr>
        <w:pStyle w:val="ListParagraph"/>
        <w:numPr>
          <w:ilvl w:val="0"/>
          <w:numId w:val="1"/>
        </w:numPr>
        <w:spacing w:after="60" w:line="312"/>
      </w:pPr>
      <w:r>
        <w:rPr>
          <w:rFonts w:ascii="Calibri" w:eastAsia="Calibri" w:hAnsi="Calibri"/>
          <w:b/>
          <w:bCs/>
          <w:color w:val="24303C"/>
          <w:sz w:val="22"/>
          <w:szCs w:val="22"/>
        </w:rPr>
        <w:t xml:space="preserve">Secret management — </w:t>
      </w:r>
      <w:r>
        <w:rPr>
          <w:rFonts w:ascii="Calibri" w:eastAsia="Calibri" w:hAnsi="Calibri"/>
          <w:color w:val="24303C"/>
          <w:sz w:val="22"/>
          <w:szCs w:val="22"/>
        </w:rPr>
        <w:t xml:space="preserve">Secrets only from environment variables (JWT secret, database URL, webhook signing refs). Nothing hard-coded; the sandbox fallback secret is documented for rotation before production.</w:t>
      </w:r>
    </w:p>
    <w:p>
      <w:pPr>
        <w:pStyle w:val="ListParagraph"/>
        <w:numPr>
          <w:ilvl w:val="0"/>
          <w:numId w:val="1"/>
        </w:numPr>
        <w:spacing w:after="60" w:line="312"/>
      </w:pPr>
      <w:r>
        <w:rPr>
          <w:rFonts w:ascii="Calibri" w:eastAsia="Calibri" w:hAnsi="Calibri"/>
          <w:b/>
          <w:bCs/>
          <w:color w:val="24303C"/>
          <w:sz w:val="22"/>
          <w:szCs w:val="22"/>
        </w:rPr>
        <w:t xml:space="preserve">Audit trail — </w:t>
      </w:r>
      <w:r>
        <w:rPr>
          <w:rFonts w:ascii="Calibri" w:eastAsia="Calibri" w:hAnsi="Calibri"/>
          <w:color w:val="24303C"/>
          <w:sz w:val="22"/>
          <w:szCs w:val="22"/>
        </w:rPr>
        <w:t xml:space="preserve">AuditEvent records user, role, action, entity, entity identifier, before/after values, IP, user agent and timestamp for every material action.</w:t>
      </w:r>
    </w:p>
    <w:p>
      <w:pPr>
        <w:pStyle w:val="ListParagraph"/>
        <w:numPr>
          <w:ilvl w:val="0"/>
          <w:numId w:val="1"/>
        </w:numPr>
        <w:spacing w:after="60" w:line="312"/>
      </w:pPr>
      <w:r>
        <w:rPr>
          <w:rFonts w:ascii="Calibri" w:eastAsia="Calibri" w:hAnsi="Calibri"/>
          <w:b/>
          <w:bCs/>
          <w:color w:val="24303C"/>
          <w:sz w:val="22"/>
          <w:szCs w:val="22"/>
        </w:rPr>
        <w:t xml:space="preserve">Interface hardening — </w:t>
      </w:r>
      <w:r>
        <w:rPr>
          <w:rFonts w:ascii="Calibri" w:eastAsia="Calibri" w:hAnsi="Calibri"/>
          <w:color w:val="24303C"/>
          <w:sz w:val="22"/>
          <w:szCs w:val="22"/>
        </w:rPr>
        <w:t xml:space="preserve">Webhook deliveries signed with HMAC-SHA256; the realtime emit endpoint requires a shared secret; the AI assistant is permission-checked (ai.use) and logs every execution.</w:t>
      </w:r>
    </w:p>
    <w:p>
      <w:pPr>
        <w:pStyle w:val="Heading2"/>
        <w:spacing w:after="120" w:before="280"/>
      </w:pPr>
      <w:r>
        <w:rPr>
          <w:rFonts w:ascii="Arial" w:eastAsia="Arial" w:hAnsi="Arial"/>
          <w:b/>
          <w:bCs/>
          <w:color w:val="1B6B7A"/>
          <w:sz w:val="25"/>
          <w:szCs w:val="25"/>
        </w:rPr>
        <w:t xml:space="preserve">7.3 Data Protection Commitments</w:t>
      </w:r>
    </w:p>
    <w:p>
      <w:pPr>
        <w:spacing w:after="120" w:line="312"/>
        <w:jc w:val="both"/>
      </w:pPr>
      <w:r>
        <w:rPr>
          <w:rFonts w:ascii="Calibri" w:eastAsia="Calibri" w:hAnsi="Calibri"/>
          <w:color w:val="24303C"/>
          <w:sz w:val="22"/>
          <w:szCs w:val="22"/>
        </w:rPr>
        <w:t xml:space="preserve">Credential values are never returned by the API: integration credentials store masked representations only, and configuration fields named secret, password, key or token are rejected at write time. Transport security (HTTPS/TLS) is enforced at the deployment edge. CORS is same-origin in the sandbox gateway and pinned to the web origin in production via the WEB_ORIGIN environment variable. Production secrets must be rotated from the documented sandbox defaults before go-live.</w:t>
      </w:r>
    </w:p>
    <w:p>
      <w:pPr>
        <w:pStyle w:val="Heading1"/>
        <w:spacing w:after="160" w:before="400"/>
      </w:pPr>
      <w:r>
        <w:rPr>
          <w:rFonts w:ascii="Arial" w:eastAsia="Arial" w:hAnsi="Arial"/>
          <w:b/>
          <w:bCs/>
          <w:color w:val="162235"/>
          <w:sz w:val="30"/>
          <w:szCs w:val="30"/>
        </w:rPr>
        <w:t xml:space="preserve">8. Deployment Guide</w:t>
      </w:r>
    </w:p>
    <w:p>
      <w:pPr>
        <w:pStyle w:val="Heading2"/>
        <w:spacing w:after="120" w:before="280"/>
      </w:pPr>
      <w:r>
        <w:rPr>
          <w:rFonts w:ascii="Arial" w:eastAsia="Arial" w:hAnsi="Arial"/>
          <w:b/>
          <w:bCs/>
          <w:color w:val="1B6B7A"/>
          <w:sz w:val="25"/>
          <w:szCs w:val="25"/>
        </w:rPr>
        <w:t xml:space="preserve">8.1 Target Topology (Render Cloud)</w:t>
      </w:r>
    </w:p>
    <w:p>
      <w:pPr>
        <w:spacing w:after="120" w:line="312"/>
        <w:jc w:val="both"/>
      </w:pPr>
      <w:r>
        <w:rPr>
          <w:rFonts w:ascii="Calibri" w:eastAsia="Calibri" w:hAnsi="Calibri"/>
          <w:color w:val="24303C"/>
          <w:sz w:val="22"/>
          <w:szCs w:val="22"/>
        </w:rPr>
        <w:t xml:space="preserve">The reference production topology deploys three services to Render in the Singapore region: pm-control-tower-web (Next.js web service), pm-control-tower-api (Node API service), and pm-control-tower-db (managed PostgreSQL). Users reach the web service over HTTPS; the web tier calls the API service; the API talks to PostgreSQL through Prisma with an SSL connection. External systems integrate through the API gateway and webhooks. Monitoring, logging, backups, and CI/CD wrap the three services.</w:t>
      </w:r>
    </w:p>
    <w:p>
      <w:pPr>
        <w:keepNext/>
        <w:spacing w:after="80" w:before="160"/>
      </w:pPr>
      <w:r>
        <w:rPr>
          <w:rFonts w:ascii="Calibri" w:eastAsia="Calibri" w:hAnsi="Calibri"/>
          <w:b/>
          <w:bCs/>
          <w:color w:val="5A6B7A"/>
          <w:sz w:val="21"/>
          <w:szCs w:val="21"/>
        </w:rPr>
        <w:t xml:space="preserve">Render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800"/>
        <w:gridCol w:w="6500"/>
      </w:tblGrid>
      <w:tr>
        <w:trPr>
          <w:cantSplit/>
          <w:tblHeader/>
        </w:trPr>
        <w:tc>
          <w:tcPr>
            <w:tcBorders>
              <w:top w:val="single" w:color="C8DDE2" w:sz="2"/>
              <w:left w:val="single" w:color="C8DDE2" w:sz="2"/>
              <w:bottom w:val="single" w:color="C8DDE2" w:sz="2"/>
              <w:right w:val="single" w:color="C8DDE2" w:sz="2"/>
            </w:tcBorders>
            <w:shd w:fill="1B6B7A" w:val="clear"/>
            <w:tcMar>
              <w:top w:type="dxa" w:w="80"/>
              <w:left w:type="dxa" w:w="120"/>
              <w:bottom w:type="dxa" w:w="80"/>
              <w:right w:type="dxa" w:w="120"/>
            </w:tcMar>
            <w:vAlign w:val="center"/>
          </w:tcPr>
          <w:p>
            <w:pPr>
              <w:spacing w:line="264"/>
            </w:pPr>
            <w:r>
              <w:rPr>
                <w:rFonts w:ascii="Calibri" w:eastAsia="Calibri" w:hAnsi="Calibri"/>
                <w:b/>
                <w:bCs/>
                <w:color w:val="FFFFFF"/>
                <w:sz w:val="19"/>
                <w:szCs w:val="19"/>
              </w:rPr>
              <w:t xml:space="preserve">Service</w:t>
            </w:r>
          </w:p>
        </w:tc>
        <w:tc>
          <w:tcPr>
            <w:tcBorders>
              <w:top w:val="single" w:color="C8DDE2" w:sz="2"/>
              <w:left w:val="single" w:color="C8DDE2" w:sz="2"/>
              <w:bottom w:val="single" w:color="C8DDE2" w:sz="2"/>
              <w:right w:val="single" w:color="C8DDE2" w:sz="2"/>
            </w:tcBorders>
            <w:shd w:fill="1B6B7A" w:val="clear"/>
            <w:tcMar>
              <w:top w:type="dxa" w:w="80"/>
              <w:left w:type="dxa" w:w="120"/>
              <w:bottom w:type="dxa" w:w="80"/>
              <w:right w:type="dxa" w:w="120"/>
            </w:tcMar>
            <w:vAlign w:val="center"/>
          </w:tcPr>
          <w:p>
            <w:pPr>
              <w:spacing w:line="264"/>
            </w:pPr>
            <w:r>
              <w:rPr>
                <w:rFonts w:ascii="Calibri" w:eastAsia="Calibri" w:hAnsi="Calibri"/>
                <w:b/>
                <w:bCs/>
                <w:color w:val="FFFFFF"/>
                <w:sz w:val="19"/>
                <w:szCs w:val="19"/>
              </w:rPr>
              <w:t xml:space="preserve">Setting</w:t>
            </w:r>
          </w:p>
        </w:tc>
        <w:tc>
          <w:tcPr>
            <w:tcBorders>
              <w:top w:val="single" w:color="C8DDE2" w:sz="2"/>
              <w:left w:val="single" w:color="C8DDE2" w:sz="2"/>
              <w:bottom w:val="single" w:color="C8DDE2" w:sz="2"/>
              <w:right w:val="single" w:color="C8DDE2" w:sz="2"/>
            </w:tcBorders>
            <w:shd w:fill="1B6B7A" w:val="clear"/>
            <w:tcMar>
              <w:top w:type="dxa" w:w="80"/>
              <w:left w:type="dxa" w:w="120"/>
              <w:bottom w:type="dxa" w:w="80"/>
              <w:right w:type="dxa" w:w="120"/>
            </w:tcMar>
            <w:vAlign w:val="center"/>
          </w:tcPr>
          <w:p>
            <w:pPr>
              <w:spacing w:line="264"/>
            </w:pPr>
            <w:r>
              <w:rPr>
                <w:rFonts w:ascii="Calibri" w:eastAsia="Calibri" w:hAnsi="Calibri"/>
                <w:b/>
                <w:bCs/>
                <w:color w:val="FFFFFF"/>
                <w:sz w:val="19"/>
                <w:szCs w:val="19"/>
              </w:rPr>
              <w:t xml:space="preserve">Value</w:t>
            </w:r>
          </w:p>
        </w:tc>
      </w:tr>
      <w:tr>
        <w:trPr>
          <w:cantSplit/>
        </w:trPr>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API</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Build</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npm install &amp;&amp; npm run db:generate</w:t>
            </w:r>
          </w:p>
        </w:tc>
      </w:tr>
      <w:tr>
        <w:trPr>
          <w:cantSplit/>
        </w:trPr>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API</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Start</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npx prisma migrate deploy &amp;&amp; npm --workspace @pmct/api run start</w:t>
            </w:r>
          </w:p>
        </w:tc>
      </w:tr>
      <w:tr>
        <w:trPr>
          <w:cantSplit/>
        </w:trPr>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API</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Environment</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NODE_ENV=production; PORT=4000; DATABASE_URL (Render internal URL, SSL); JWT_SECRET (strong production secret); WEB_ORIGIN (deployed web URL)</w:t>
            </w:r>
          </w:p>
        </w:tc>
      </w:tr>
      <w:tr>
        <w:trPr>
          <w:cantSplit/>
        </w:trPr>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Web</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Build</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npm install &amp;&amp; npm run build:web</w:t>
            </w:r>
          </w:p>
        </w:tc>
      </w:tr>
      <w:tr>
        <w:trPr>
          <w:cantSplit/>
        </w:trPr>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Web</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Start</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npm --workspace @pmct/web run start</w:t>
            </w:r>
          </w:p>
        </w:tc>
      </w:tr>
      <w:tr>
        <w:trPr>
          <w:cantSplit/>
        </w:trPr>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Web</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Environment</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NEXT_PUBLIC_API_URL=https://pm-control-tower-api.onrender.com</w:t>
            </w:r>
          </w:p>
        </w:tc>
      </w:tr>
    </w:tbl>
    <w:p>
      <w:pPr>
        <w:spacing w:after="120"/>
      </w:pPr>
    </w:p>
    <w:p>
      <w:pPr>
        <w:pStyle w:val="Heading2"/>
        <w:spacing w:after="120" w:before="280"/>
      </w:pPr>
      <w:r>
        <w:rPr>
          <w:rFonts w:ascii="Arial" w:eastAsia="Arial" w:hAnsi="Arial"/>
          <w:b/>
          <w:bCs/>
          <w:color w:val="1B6B7A"/>
          <w:sz w:val="25"/>
          <w:szCs w:val="25"/>
        </w:rPr>
        <w:t xml:space="preserve">8.2 Deployment Steps</w:t>
      </w:r>
    </w:p>
    <w:p>
      <w:pPr>
        <w:pStyle w:val="ListParagraph"/>
        <w:numPr>
          <w:ilvl w:val="0"/>
          <w:numId w:val="1"/>
        </w:numPr>
        <w:spacing w:after="60" w:line="312"/>
      </w:pPr>
      <w:r>
        <w:rPr>
          <w:rFonts w:ascii="Calibri" w:eastAsia="Calibri" w:hAnsi="Calibri"/>
          <w:b/>
          <w:bCs/>
          <w:color w:val="24303C"/>
          <w:sz w:val="22"/>
          <w:szCs w:val="22"/>
        </w:rPr>
        <w:t xml:space="preserve">Step 1 — </w:t>
      </w:r>
      <w:r>
        <w:rPr>
          <w:rFonts w:ascii="Calibri" w:eastAsia="Calibri" w:hAnsi="Calibri"/>
          <w:color w:val="24303C"/>
          <w:sz w:val="22"/>
          <w:szCs w:val="22"/>
        </w:rPr>
        <w:t xml:space="preserve">Provision the PostgreSQL instance; copy the internal connection string (requires SSL) into DATABASE_URL.</w:t>
      </w:r>
    </w:p>
    <w:p>
      <w:pPr>
        <w:pStyle w:val="ListParagraph"/>
        <w:numPr>
          <w:ilvl w:val="0"/>
          <w:numId w:val="1"/>
        </w:numPr>
        <w:spacing w:after="60" w:line="312"/>
      </w:pPr>
      <w:r>
        <w:rPr>
          <w:rFonts w:ascii="Calibri" w:eastAsia="Calibri" w:hAnsi="Calibri"/>
          <w:b/>
          <w:bCs/>
          <w:color w:val="24303C"/>
          <w:sz w:val="22"/>
          <w:szCs w:val="22"/>
        </w:rPr>
        <w:t xml:space="preserve">Step 2 — </w:t>
      </w:r>
      <w:r>
        <w:rPr>
          <w:rFonts w:ascii="Calibri" w:eastAsia="Calibri" w:hAnsi="Calibri"/>
          <w:color w:val="24303C"/>
          <w:sz w:val="22"/>
          <w:szCs w:val="22"/>
        </w:rPr>
        <w:t xml:space="preserve">Deploy the API service with the environment variables above; run migrations (see 8.3); verify GET /api/system/health and /api/system/ready.</w:t>
      </w:r>
    </w:p>
    <w:p>
      <w:pPr>
        <w:pStyle w:val="ListParagraph"/>
        <w:numPr>
          <w:ilvl w:val="0"/>
          <w:numId w:val="1"/>
        </w:numPr>
        <w:spacing w:after="60" w:line="312"/>
      </w:pPr>
      <w:r>
        <w:rPr>
          <w:rFonts w:ascii="Calibri" w:eastAsia="Calibri" w:hAnsi="Calibri"/>
          <w:b/>
          <w:bCs/>
          <w:color w:val="24303C"/>
          <w:sz w:val="22"/>
          <w:szCs w:val="22"/>
        </w:rPr>
        <w:t xml:space="preserve">Step 3 — </w:t>
      </w:r>
      <w:r>
        <w:rPr>
          <w:rFonts w:ascii="Calibri" w:eastAsia="Calibri" w:hAnsi="Calibri"/>
          <w:color w:val="24303C"/>
          <w:sz w:val="22"/>
          <w:szCs w:val="22"/>
        </w:rPr>
        <w:t xml:space="preserve">Deploy the web service; after Render assigns the URL, set WEB_ORIGIN on the API to the exact origin and redeploy to fix CORS.</w:t>
      </w:r>
    </w:p>
    <w:p>
      <w:pPr>
        <w:pStyle w:val="ListParagraph"/>
        <w:numPr>
          <w:ilvl w:val="0"/>
          <w:numId w:val="1"/>
        </w:numPr>
        <w:spacing w:after="60" w:line="312"/>
      </w:pPr>
      <w:r>
        <w:rPr>
          <w:rFonts w:ascii="Calibri" w:eastAsia="Calibri" w:hAnsi="Calibri"/>
          <w:b/>
          <w:bCs/>
          <w:color w:val="24303C"/>
          <w:sz w:val="22"/>
          <w:szCs w:val="22"/>
        </w:rPr>
        <w:t xml:space="preserve">Step 4 — </w:t>
      </w:r>
      <w:r>
        <w:rPr>
          <w:rFonts w:ascii="Calibri" w:eastAsia="Calibri" w:hAnsi="Calibri"/>
          <w:color w:val="24303C"/>
          <w:sz w:val="22"/>
          <w:szCs w:val="22"/>
        </w:rPr>
        <w:t xml:space="preserve">Rotate JWT_SECRET from any documented development value; store it in Render environment settings; restart both services.</w:t>
      </w:r>
    </w:p>
    <w:p>
      <w:pPr>
        <w:pStyle w:val="ListParagraph"/>
        <w:numPr>
          <w:ilvl w:val="0"/>
          <w:numId w:val="1"/>
        </w:numPr>
        <w:spacing w:after="60" w:line="312"/>
      </w:pPr>
      <w:r>
        <w:rPr>
          <w:rFonts w:ascii="Calibri" w:eastAsia="Calibri" w:hAnsi="Calibri"/>
          <w:b/>
          <w:bCs/>
          <w:color w:val="24303C"/>
          <w:sz w:val="22"/>
          <w:szCs w:val="22"/>
        </w:rPr>
        <w:t xml:space="preserve">Step 5 — </w:t>
      </w:r>
      <w:r>
        <w:rPr>
          <w:rFonts w:ascii="Calibri" w:eastAsia="Calibri" w:hAnsi="Calibri"/>
          <w:color w:val="24303C"/>
          <w:sz w:val="22"/>
          <w:szCs w:val="22"/>
        </w:rPr>
        <w:t xml:space="preserve">Run the production validation sequence in chapter 11 before announcing availability.</w:t>
      </w:r>
    </w:p>
    <w:p>
      <w:pPr>
        <w:pStyle w:val="Heading2"/>
        <w:spacing w:after="120" w:before="280"/>
      </w:pPr>
      <w:r>
        <w:rPr>
          <w:rFonts w:ascii="Arial" w:eastAsia="Arial" w:hAnsi="Arial"/>
          <w:b/>
          <w:bCs/>
          <w:color w:val="1B6B7A"/>
          <w:sz w:val="25"/>
          <w:szCs w:val="25"/>
        </w:rPr>
        <w:t xml:space="preserve">8.3 Migration Policy</w:t>
      </w:r>
    </w:p>
    <w:p>
      <w:pPr>
        <w:spacing w:after="120" w:line="312"/>
        <w:jc w:val="both"/>
      </w:pPr>
      <w:r>
        <w:rPr>
          <w:rFonts w:ascii="Calibri" w:eastAsia="Calibri" w:hAnsi="Calibri"/>
          <w:color w:val="24303C"/>
          <w:sz w:val="22"/>
          <w:szCs w:val="22"/>
        </w:rPr>
        <w:t xml:space="preserve">Initial provisioning may use prisma db push for non-production databases. For production, generate migration files with prisma migrate dev locally, commit them to the repository, and apply them with prisma migrate deploy in the release pipeline. Data-loss operations are prohibited against production; schema changes must be additive and backward compatible where possible.</w:t>
      </w:r>
    </w:p>
    <w:p>
      <w:pPr>
        <w:pStyle w:val="Heading2"/>
        <w:spacing w:after="120" w:before="280"/>
      </w:pPr>
      <w:r>
        <w:rPr>
          <w:rFonts w:ascii="Arial" w:eastAsia="Arial" w:hAnsi="Arial"/>
          <w:b/>
          <w:bCs/>
          <w:color w:val="1B6B7A"/>
          <w:sz w:val="25"/>
          <w:szCs w:val="25"/>
        </w:rPr>
        <w:t xml:space="preserve">8.4 Troubleshooting</w:t>
      </w:r>
    </w:p>
    <w:p>
      <w:pPr>
        <w:keepNext/>
        <w:spacing w:after="80" w:before="160"/>
      </w:pPr>
      <w:r>
        <w:rPr>
          <w:rFonts w:ascii="Calibri" w:eastAsia="Calibri" w:hAnsi="Calibri"/>
          <w:b/>
          <w:bCs/>
          <w:color w:val="5A6B7A"/>
          <w:sz w:val="21"/>
          <w:szCs w:val="21"/>
        </w:rPr>
        <w:t xml:space="preserve">Common deployment faults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5800"/>
      </w:tblGrid>
      <w:tr>
        <w:trPr>
          <w:cantSplit/>
          <w:tblHeader/>
        </w:trPr>
        <w:tc>
          <w:tcPr>
            <w:tcBorders>
              <w:top w:val="single" w:color="C8DDE2" w:sz="2"/>
              <w:left w:val="single" w:color="C8DDE2" w:sz="2"/>
              <w:bottom w:val="single" w:color="C8DDE2" w:sz="2"/>
              <w:right w:val="single" w:color="C8DDE2" w:sz="2"/>
            </w:tcBorders>
            <w:shd w:fill="1B6B7A" w:val="clear"/>
            <w:tcMar>
              <w:top w:type="dxa" w:w="80"/>
              <w:left w:type="dxa" w:w="120"/>
              <w:bottom w:type="dxa" w:w="80"/>
              <w:right w:type="dxa" w:w="120"/>
            </w:tcMar>
            <w:vAlign w:val="center"/>
          </w:tcPr>
          <w:p>
            <w:pPr>
              <w:spacing w:line="264"/>
            </w:pPr>
            <w:r>
              <w:rPr>
                <w:rFonts w:ascii="Calibri" w:eastAsia="Calibri" w:hAnsi="Calibri"/>
                <w:b/>
                <w:bCs/>
                <w:color w:val="FFFFFF"/>
                <w:sz w:val="19"/>
                <w:szCs w:val="19"/>
              </w:rPr>
              <w:t xml:space="preserve">Symptom</w:t>
            </w:r>
          </w:p>
        </w:tc>
        <w:tc>
          <w:tcPr>
            <w:tcBorders>
              <w:top w:val="single" w:color="C8DDE2" w:sz="2"/>
              <w:left w:val="single" w:color="C8DDE2" w:sz="2"/>
              <w:bottom w:val="single" w:color="C8DDE2" w:sz="2"/>
              <w:right w:val="single" w:color="C8DDE2" w:sz="2"/>
            </w:tcBorders>
            <w:shd w:fill="1B6B7A" w:val="clear"/>
            <w:tcMar>
              <w:top w:type="dxa" w:w="80"/>
              <w:left w:type="dxa" w:w="120"/>
              <w:bottom w:type="dxa" w:w="80"/>
              <w:right w:type="dxa" w:w="120"/>
            </w:tcMar>
            <w:vAlign w:val="center"/>
          </w:tcPr>
          <w:p>
            <w:pPr>
              <w:spacing w:line="264"/>
            </w:pPr>
            <w:r>
              <w:rPr>
                <w:rFonts w:ascii="Calibri" w:eastAsia="Calibri" w:hAnsi="Calibri"/>
                <w:b/>
                <w:bCs/>
                <w:color w:val="FFFFFF"/>
                <w:sz w:val="19"/>
                <w:szCs w:val="19"/>
              </w:rPr>
              <w:t xml:space="preserve">Resolution</w:t>
            </w:r>
          </w:p>
        </w:tc>
      </w:tr>
      <w:tr>
        <w:trPr>
          <w:cantSplit/>
        </w:trPr>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SSL/TLS required error from database</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Use the Render internal database URL with sslmode requirement in DATABASE_URL</w:t>
            </w:r>
          </w:p>
        </w:tc>
      </w:tr>
      <w:tr>
        <w:trPr>
          <w:cantSplit/>
        </w:trPr>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CORS errors in the browser</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WEB_ORIGIN must exactly match the deployed web origin (scheme + host); redeploy API after change</w:t>
            </w:r>
          </w:p>
        </w:tc>
      </w:tr>
      <w:tr>
        <w:trPr>
          <w:cantSplit/>
        </w:trPr>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Web cannot reach API</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Verify NEXT_PUBLIC_API_URL and that the API service is live</w:t>
            </w:r>
          </w:p>
        </w:tc>
      </w:tr>
      <w:tr>
        <w:trPr>
          <w:cantSplit/>
        </w:trPr>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Prisma cannot connect</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Check DATABASE_URL, database availability, SSL, credentials and region networking</w:t>
            </w:r>
          </w:p>
        </w:tc>
      </w:tr>
      <w:tr>
        <w:trPr>
          <w:cantSplit/>
        </w:trPr>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API restart loop</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Inspect runtime logs; typically a missing environment variable or failed migration</w:t>
            </w:r>
          </w:p>
        </w:tc>
      </w:tr>
      <w:tr>
        <w:trPr>
          <w:cantSplit/>
        </w:trPr>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Realtime unavailable</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Confirm the Socket.IO service is running and the gateway forwards its path; check origin rules</w:t>
            </w:r>
          </w:p>
        </w:tc>
      </w:tr>
      <w:tr>
        <w:trPr>
          <w:cantSplit/>
        </w:trPr>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Management API returns 500</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Retry via the Render dashboard and inspect deployment/service events</w:t>
            </w:r>
          </w:p>
        </w:tc>
      </w:tr>
    </w:tbl>
    <w:p>
      <w:pPr>
        <w:spacing w:after="120"/>
      </w:pPr>
    </w:p>
    <w:p>
      <w:pPr>
        <w:pStyle w:val="Heading1"/>
        <w:spacing w:after="160" w:before="400"/>
      </w:pPr>
      <w:r>
        <w:rPr>
          <w:rFonts w:ascii="Arial" w:eastAsia="Arial" w:hAnsi="Arial"/>
          <w:b/>
          <w:bCs/>
          <w:color w:val="162235"/>
          <w:sz w:val="30"/>
          <w:szCs w:val="30"/>
        </w:rPr>
        <w:t xml:space="preserve">9. Operations Runbook</w:t>
      </w:r>
    </w:p>
    <w:p>
      <w:pPr>
        <w:pStyle w:val="Heading2"/>
        <w:spacing w:after="120" w:before="280"/>
      </w:pPr>
      <w:r>
        <w:rPr>
          <w:rFonts w:ascii="Arial" w:eastAsia="Arial" w:hAnsi="Arial"/>
          <w:b/>
          <w:bCs/>
          <w:color w:val="1B6B7A"/>
          <w:sz w:val="25"/>
          <w:szCs w:val="25"/>
        </w:rPr>
        <w:t xml:space="preserve">9.1 Health and Readiness</w:t>
      </w:r>
    </w:p>
    <w:p>
      <w:pPr>
        <w:spacing w:after="120" w:line="312"/>
        <w:jc w:val="both"/>
      </w:pPr>
      <w:r>
        <w:rPr>
          <w:rFonts w:ascii="Calibri" w:eastAsia="Calibri" w:hAnsi="Calibri"/>
          <w:color w:val="24303C"/>
          <w:sz w:val="22"/>
          <w:szCs w:val="22"/>
        </w:rPr>
        <w:t xml:space="preserve">GET /api/system/health is a liveness probe returning service identity and time. GET /api/system/ready is a readiness probe verifying the database (a live query) and the realtime gateway (a health fetch with timeout), returning ready or degraded with per-check status. Wire load balancers to liveness and alert on readiness degradation.</w:t>
      </w:r>
    </w:p>
    <w:p>
      <w:pPr>
        <w:pStyle w:val="Heading2"/>
        <w:spacing w:after="120" w:before="280"/>
      </w:pPr>
      <w:r>
        <w:rPr>
          <w:rFonts w:ascii="Arial" w:eastAsia="Arial" w:hAnsi="Arial"/>
          <w:b/>
          <w:bCs/>
          <w:color w:val="1B6B7A"/>
          <w:sz w:val="25"/>
          <w:szCs w:val="25"/>
        </w:rPr>
        <w:t xml:space="preserve">9.2 Routine Operations</w:t>
      </w:r>
    </w:p>
    <w:p>
      <w:pPr>
        <w:pStyle w:val="ListParagraph"/>
        <w:numPr>
          <w:ilvl w:val="0"/>
          <w:numId w:val="1"/>
        </w:numPr>
        <w:spacing w:after="60" w:line="312"/>
      </w:pPr>
      <w:r>
        <w:rPr>
          <w:rFonts w:ascii="Calibri" w:eastAsia="Calibri" w:hAnsi="Calibri"/>
          <w:b/>
          <w:bCs/>
          <w:color w:val="24303C"/>
          <w:sz w:val="22"/>
          <w:szCs w:val="22"/>
        </w:rPr>
        <w:t xml:space="preserve">Daily — </w:t>
      </w:r>
      <w:r>
        <w:rPr>
          <w:rFonts w:ascii="Calibri" w:eastAsia="Calibri" w:hAnsi="Calibri"/>
          <w:color w:val="24303C"/>
          <w:sz w:val="22"/>
          <w:szCs w:val="22"/>
        </w:rPr>
        <w:t xml:space="preserve">Review new CRITICAL governance alerts daily in the Governance Center; acknowledge with rationale.</w:t>
      </w:r>
    </w:p>
    <w:p>
      <w:pPr>
        <w:pStyle w:val="ListParagraph"/>
        <w:numPr>
          <w:ilvl w:val="0"/>
          <w:numId w:val="1"/>
        </w:numPr>
        <w:spacing w:after="60" w:line="312"/>
      </w:pPr>
      <w:r>
        <w:rPr>
          <w:rFonts w:ascii="Calibri" w:eastAsia="Calibri" w:hAnsi="Calibri"/>
          <w:b/>
          <w:bCs/>
          <w:color w:val="24303C"/>
          <w:sz w:val="22"/>
          <w:szCs w:val="22"/>
        </w:rPr>
        <w:t xml:space="preserve">Daily — </w:t>
      </w:r>
      <w:r>
        <w:rPr>
          <w:rFonts w:ascii="Calibri" w:eastAsia="Calibri" w:hAnsi="Calibri"/>
          <w:color w:val="24303C"/>
          <w:sz w:val="22"/>
          <w:szCs w:val="22"/>
        </w:rPr>
        <w:t xml:space="preserve">Verify /api/system/ready, backup completion, webhook failure counts, integration error counts.</w:t>
      </w:r>
    </w:p>
    <w:p>
      <w:pPr>
        <w:pStyle w:val="ListParagraph"/>
        <w:numPr>
          <w:ilvl w:val="0"/>
          <w:numId w:val="1"/>
        </w:numPr>
        <w:spacing w:after="60" w:line="312"/>
      </w:pPr>
      <w:r>
        <w:rPr>
          <w:rFonts w:ascii="Calibri" w:eastAsia="Calibri" w:hAnsi="Calibri"/>
          <w:b/>
          <w:bCs/>
          <w:color w:val="24303C"/>
          <w:sz w:val="22"/>
          <w:szCs w:val="22"/>
        </w:rPr>
        <w:t xml:space="preserve">Weekly — </w:t>
      </w:r>
      <w:r>
        <w:rPr>
          <w:rFonts w:ascii="Calibri" w:eastAsia="Calibri" w:hAnsi="Calibri"/>
          <w:color w:val="24303C"/>
          <w:sz w:val="22"/>
          <w:szCs w:val="22"/>
        </w:rPr>
        <w:t xml:space="preserve">Review audit trail samples, user access changes, and timesheet approval backlogs.</w:t>
      </w:r>
    </w:p>
    <w:p>
      <w:pPr>
        <w:pStyle w:val="ListParagraph"/>
        <w:numPr>
          <w:ilvl w:val="0"/>
          <w:numId w:val="1"/>
        </w:numPr>
        <w:spacing w:after="60" w:line="312"/>
      </w:pPr>
      <w:r>
        <w:rPr>
          <w:rFonts w:ascii="Calibri" w:eastAsia="Calibri" w:hAnsi="Calibri"/>
          <w:b/>
          <w:bCs/>
          <w:color w:val="24303C"/>
          <w:sz w:val="22"/>
          <w:szCs w:val="22"/>
        </w:rPr>
        <w:t xml:space="preserve">Monthly — </w:t>
      </w:r>
      <w:r>
        <w:rPr>
          <w:rFonts w:ascii="Calibri" w:eastAsia="Calibri" w:hAnsi="Calibri"/>
          <w:color w:val="24303C"/>
          <w:sz w:val="22"/>
          <w:szCs w:val="22"/>
        </w:rPr>
        <w:t xml:space="preserve">Rotate credentials due to expire, review RBAC changes, and re-run the production validation subset.</w:t>
      </w:r>
    </w:p>
    <w:p>
      <w:pPr>
        <w:pStyle w:val="Heading2"/>
        <w:spacing w:after="120" w:before="280"/>
      </w:pPr>
      <w:r>
        <w:rPr>
          <w:rFonts w:ascii="Arial" w:eastAsia="Arial" w:hAnsi="Arial"/>
          <w:b/>
          <w:bCs/>
          <w:color w:val="1B6B7A"/>
          <w:sz w:val="25"/>
          <w:szCs w:val="25"/>
        </w:rPr>
        <w:t xml:space="preserve">9.3 Incident Response</w:t>
      </w:r>
    </w:p>
    <w:p>
      <w:pPr>
        <w:spacing w:after="120" w:line="312"/>
        <w:jc w:val="both"/>
      </w:pPr>
      <w:r>
        <w:rPr>
          <w:rFonts w:ascii="Calibri" w:eastAsia="Calibri" w:hAnsi="Calibri"/>
          <w:color w:val="24303C"/>
          <w:sz w:val="22"/>
          <w:szCs w:val="22"/>
        </w:rPr>
        <w:t xml:space="preserve">For API degradation: check /api/system/ready, inspect service logs for the failing dependency, and scale or restart the service. For database issues: verify connection limits and SSL, fail over to the latest restore point if corruption is suspected (chapter 12). For realtime outage: the application remains fully functional via REST; investigate the gateway service and its path routing. For suspected credential compromise: rotate the affected secrets, force token invalidation by rotating JWT_SECRET (invalidates all sessions), and review the audit trail for the affected identities.</w:t>
      </w:r>
    </w:p>
    <w:p>
      <w:pPr>
        <w:pStyle w:val="Heading1"/>
        <w:spacing w:after="160" w:before="400"/>
      </w:pPr>
      <w:r>
        <w:rPr>
          <w:rFonts w:ascii="Arial" w:eastAsia="Arial" w:hAnsi="Arial"/>
          <w:b/>
          <w:bCs/>
          <w:color w:val="162235"/>
          <w:sz w:val="30"/>
          <w:szCs w:val="30"/>
        </w:rPr>
        <w:t xml:space="preserve">10. Testing Strategy</w:t>
      </w:r>
    </w:p>
    <w:p>
      <w:pPr>
        <w:pStyle w:val="Heading2"/>
        <w:spacing w:after="120" w:before="280"/>
      </w:pPr>
      <w:r>
        <w:rPr>
          <w:rFonts w:ascii="Arial" w:eastAsia="Arial" w:hAnsi="Arial"/>
          <w:b/>
          <w:bCs/>
          <w:color w:val="1B6B7A"/>
          <w:sz w:val="25"/>
          <w:szCs w:val="25"/>
        </w:rPr>
        <w:t xml:space="preserve">10.1 Test Levels</w:t>
      </w:r>
    </w:p>
    <w:p>
      <w:pPr>
        <w:keepNext/>
        <w:spacing w:after="80" w:before="160"/>
      </w:pPr>
      <w:r>
        <w:rPr>
          <w:rFonts w:ascii="Calibri" w:eastAsia="Calibri" w:hAnsi="Calibri"/>
          <w:b/>
          <w:bCs/>
          <w:color w:val="5A6B7A"/>
          <w:sz w:val="21"/>
          <w:szCs w:val="21"/>
        </w:rPr>
        <w:t xml:space="preserve">Test levels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4300"/>
        <w:gridCol w:w="3400"/>
      </w:tblGrid>
      <w:tr>
        <w:trPr>
          <w:cantSplit/>
          <w:tblHeader/>
        </w:trPr>
        <w:tc>
          <w:tcPr>
            <w:tcBorders>
              <w:top w:val="single" w:color="C8DDE2" w:sz="2"/>
              <w:left w:val="single" w:color="C8DDE2" w:sz="2"/>
              <w:bottom w:val="single" w:color="C8DDE2" w:sz="2"/>
              <w:right w:val="single" w:color="C8DDE2" w:sz="2"/>
            </w:tcBorders>
            <w:shd w:fill="1B6B7A" w:val="clear"/>
            <w:tcMar>
              <w:top w:type="dxa" w:w="80"/>
              <w:left w:type="dxa" w:w="120"/>
              <w:bottom w:type="dxa" w:w="80"/>
              <w:right w:type="dxa" w:w="120"/>
            </w:tcMar>
            <w:vAlign w:val="center"/>
          </w:tcPr>
          <w:p>
            <w:pPr>
              <w:spacing w:line="264"/>
            </w:pPr>
            <w:r>
              <w:rPr>
                <w:rFonts w:ascii="Calibri" w:eastAsia="Calibri" w:hAnsi="Calibri"/>
                <w:b/>
                <w:bCs/>
                <w:color w:val="FFFFFF"/>
                <w:sz w:val="19"/>
                <w:szCs w:val="19"/>
              </w:rPr>
              <w:t xml:space="preserve">Level</w:t>
            </w:r>
          </w:p>
        </w:tc>
        <w:tc>
          <w:tcPr>
            <w:tcBorders>
              <w:top w:val="single" w:color="C8DDE2" w:sz="2"/>
              <w:left w:val="single" w:color="C8DDE2" w:sz="2"/>
              <w:bottom w:val="single" w:color="C8DDE2" w:sz="2"/>
              <w:right w:val="single" w:color="C8DDE2" w:sz="2"/>
            </w:tcBorders>
            <w:shd w:fill="1B6B7A" w:val="clear"/>
            <w:tcMar>
              <w:top w:type="dxa" w:w="80"/>
              <w:left w:type="dxa" w:w="120"/>
              <w:bottom w:type="dxa" w:w="80"/>
              <w:right w:type="dxa" w:w="120"/>
            </w:tcMar>
            <w:vAlign w:val="center"/>
          </w:tcPr>
          <w:p>
            <w:pPr>
              <w:spacing w:line="264"/>
            </w:pPr>
            <w:r>
              <w:rPr>
                <w:rFonts w:ascii="Calibri" w:eastAsia="Calibri" w:hAnsi="Calibri"/>
                <w:b/>
                <w:bCs/>
                <w:color w:val="FFFFFF"/>
                <w:sz w:val="19"/>
                <w:szCs w:val="19"/>
              </w:rPr>
              <w:t xml:space="preserve">Scope</w:t>
            </w:r>
          </w:p>
        </w:tc>
        <w:tc>
          <w:tcPr>
            <w:tcBorders>
              <w:top w:val="single" w:color="C8DDE2" w:sz="2"/>
              <w:left w:val="single" w:color="C8DDE2" w:sz="2"/>
              <w:bottom w:val="single" w:color="C8DDE2" w:sz="2"/>
              <w:right w:val="single" w:color="C8DDE2" w:sz="2"/>
            </w:tcBorders>
            <w:shd w:fill="1B6B7A" w:val="clear"/>
            <w:tcMar>
              <w:top w:type="dxa" w:w="80"/>
              <w:left w:type="dxa" w:w="120"/>
              <w:bottom w:type="dxa" w:w="80"/>
              <w:right w:type="dxa" w:w="120"/>
            </w:tcMar>
            <w:vAlign w:val="center"/>
          </w:tcPr>
          <w:p>
            <w:pPr>
              <w:spacing w:line="264"/>
            </w:pPr>
            <w:r>
              <w:rPr>
                <w:rFonts w:ascii="Calibri" w:eastAsia="Calibri" w:hAnsi="Calibri"/>
                <w:b/>
                <w:bCs/>
                <w:color w:val="FFFFFF"/>
                <w:sz w:val="19"/>
                <w:szCs w:val="19"/>
              </w:rPr>
              <w:t xml:space="preserve">Status in this release</w:t>
            </w:r>
          </w:p>
        </w:tc>
      </w:tr>
      <w:tr>
        <w:trPr>
          <w:cantSplit/>
        </w:trPr>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Unit</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CPM forward/backward passes, EVM formulas, health scoring, governance operators</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Implemented (engines are pure functions); extend with Vitest suite</w:t>
            </w:r>
          </w:p>
        </w:tc>
      </w:tr>
      <w:tr>
        <w:trPr>
          <w:cantSplit/>
        </w:trPr>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API integration</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Every endpoint group exercised with authenticated requests, guards and error paths</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Executed via scripted smoke tests (all groups green)</w:t>
            </w:r>
          </w:p>
        </w:tc>
      </w:tr>
      <w:tr>
        <w:trPr>
          <w:cantSplit/>
        </w:trPr>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Workflow</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Timesheet Draft-SUBMITTED-Approved cascade to actuals, EVM, health, governance</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Executed end-to-end with real assertions on database state</w:t>
            </w:r>
          </w:p>
        </w:tc>
      </w:tr>
      <w:tr>
        <w:trPr>
          <w:cantSplit/>
        </w:trPr>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RBAC</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Role-permission matrix enforcement on representative endpoints</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Executed (403 paths verified)</w:t>
            </w:r>
          </w:p>
        </w:tc>
      </w:tr>
      <w:tr>
        <w:trPr>
          <w:cantSplit/>
        </w:trPr>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Realtime</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Socket authentication, room subscriptions, event delivery</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Executed (gateway health + client fan-out)</w:t>
            </w:r>
          </w:p>
        </w:tc>
      </w:tr>
      <w:tr>
        <w:trPr>
          <w:cantSplit/>
        </w:trPr>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Browser E2E</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All 36 views loaded; golden paths: login, dashboard, workspace tabs, timesheet submit/approve, governance evaluate, assistant, template apply</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Executed via automated browser (zero runtime errors)</w:t>
            </w:r>
          </w:p>
        </w:tc>
      </w:tr>
      <w:tr>
        <w:trPr>
          <w:cantSplit/>
        </w:trPr>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Deployment smoke</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Health/ready probes after deploy</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Defined; executes at deployment</w:t>
            </w:r>
          </w:p>
        </w:tc>
      </w:tr>
    </w:tbl>
    <w:p>
      <w:pPr>
        <w:spacing w:after="120"/>
      </w:pPr>
    </w:p>
    <w:p>
      <w:pPr>
        <w:pStyle w:val="Heading2"/>
        <w:spacing w:after="120" w:before="280"/>
      </w:pPr>
      <w:r>
        <w:rPr>
          <w:rFonts w:ascii="Arial" w:eastAsia="Arial" w:hAnsi="Arial"/>
          <w:b/>
          <w:bCs/>
          <w:color w:val="1B6B7A"/>
          <w:sz w:val="25"/>
          <w:szCs w:val="25"/>
        </w:rPr>
        <w:t xml:space="preserve">10.2 The Golden Chain Test</w:t>
      </w:r>
    </w:p>
    <w:p>
      <w:pPr>
        <w:spacing w:after="120" w:line="312"/>
        <w:jc w:val="both"/>
      </w:pPr>
      <w:r>
        <w:rPr>
          <w:rFonts w:ascii="Calibri" w:eastAsia="Calibri" w:hAnsi="Calibri"/>
          <w:color w:val="24303C"/>
          <w:sz w:val="22"/>
          <w:szCs w:val="22"/>
        </w:rPr>
        <w:t xml:space="preserve">The platform mandates an end-to-end assertion of the business chain: Project to WBS to Task to Schedule to Resource to Timesheet to Approval to Actuals to Cost to EVM to Health to Governance to Executive reporting. The release verification approved a real timesheet and confirmed the project actual cost increased by the expected labor amount, a new EVM period context was reflected in health recalculation, governance re-evaluation ran, and the executive bundle showed updated figures. This chain test is the acceptance gate for any release.</w:t>
      </w:r>
    </w:p>
    <w:p>
      <w:pPr>
        <w:pStyle w:val="Heading1"/>
        <w:spacing w:after="160" w:before="400"/>
      </w:pPr>
      <w:r>
        <w:rPr>
          <w:rFonts w:ascii="Arial" w:eastAsia="Arial" w:hAnsi="Arial"/>
          <w:b/>
          <w:bCs/>
          <w:color w:val="162235"/>
          <w:sz w:val="30"/>
          <w:szCs w:val="30"/>
        </w:rPr>
        <w:t xml:space="preserve">11. Go-Live Checklist</w:t>
      </w:r>
    </w:p>
    <w:p>
      <w:pPr>
        <w:keepNext/>
        <w:spacing w:after="80" w:before="160"/>
      </w:pPr>
      <w:r>
        <w:rPr>
          <w:rFonts w:ascii="Calibri" w:eastAsia="Calibri" w:hAnsi="Calibri"/>
          <w:b/>
          <w:bCs/>
          <w:color w:val="5A6B7A"/>
          <w:sz w:val="21"/>
          <w:szCs w:val="21"/>
        </w:rPr>
        <w:t xml:space="preserve">Production certification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3600"/>
        <w:gridCol w:w="5100"/>
      </w:tblGrid>
      <w:tr>
        <w:trPr>
          <w:cantSplit/>
          <w:tblHeader/>
        </w:trPr>
        <w:tc>
          <w:tcPr>
            <w:tcBorders>
              <w:top w:val="single" w:color="C8DDE2" w:sz="2"/>
              <w:left w:val="single" w:color="C8DDE2" w:sz="2"/>
              <w:bottom w:val="single" w:color="C8DDE2" w:sz="2"/>
              <w:right w:val="single" w:color="C8DDE2" w:sz="2"/>
            </w:tcBorders>
            <w:shd w:fill="1B6B7A" w:val="clear"/>
            <w:tcMar>
              <w:top w:type="dxa" w:w="80"/>
              <w:left w:type="dxa" w:w="120"/>
              <w:bottom w:type="dxa" w:w="80"/>
              <w:right w:type="dxa" w:w="120"/>
            </w:tcMar>
            <w:vAlign w:val="center"/>
          </w:tcPr>
          <w:p>
            <w:pPr>
              <w:spacing w:line="264"/>
            </w:pPr>
            <w:r>
              <w:rPr>
                <w:rFonts w:ascii="Calibri" w:eastAsia="Calibri" w:hAnsi="Calibri"/>
                <w:b/>
                <w:bCs/>
                <w:color w:val="FFFFFF"/>
                <w:sz w:val="19"/>
                <w:szCs w:val="19"/>
              </w:rPr>
              <w:t xml:space="preserve">#</w:t>
            </w:r>
          </w:p>
        </w:tc>
        <w:tc>
          <w:tcPr>
            <w:tcBorders>
              <w:top w:val="single" w:color="C8DDE2" w:sz="2"/>
              <w:left w:val="single" w:color="C8DDE2" w:sz="2"/>
              <w:bottom w:val="single" w:color="C8DDE2" w:sz="2"/>
              <w:right w:val="single" w:color="C8DDE2" w:sz="2"/>
            </w:tcBorders>
            <w:shd w:fill="1B6B7A" w:val="clear"/>
            <w:tcMar>
              <w:top w:type="dxa" w:w="80"/>
              <w:left w:type="dxa" w:w="120"/>
              <w:bottom w:type="dxa" w:w="80"/>
              <w:right w:type="dxa" w:w="120"/>
            </w:tcMar>
            <w:vAlign w:val="center"/>
          </w:tcPr>
          <w:p>
            <w:pPr>
              <w:spacing w:line="264"/>
            </w:pPr>
            <w:r>
              <w:rPr>
                <w:rFonts w:ascii="Calibri" w:eastAsia="Calibri" w:hAnsi="Calibri"/>
                <w:b/>
                <w:bCs/>
                <w:color w:val="FFFFFF"/>
                <w:sz w:val="19"/>
                <w:szCs w:val="19"/>
              </w:rPr>
              <w:t xml:space="preserve">Item</w:t>
            </w:r>
          </w:p>
        </w:tc>
        <w:tc>
          <w:tcPr>
            <w:tcBorders>
              <w:top w:val="single" w:color="C8DDE2" w:sz="2"/>
              <w:left w:val="single" w:color="C8DDE2" w:sz="2"/>
              <w:bottom w:val="single" w:color="C8DDE2" w:sz="2"/>
              <w:right w:val="single" w:color="C8DDE2" w:sz="2"/>
            </w:tcBorders>
            <w:shd w:fill="1B6B7A" w:val="clear"/>
            <w:tcMar>
              <w:top w:type="dxa" w:w="80"/>
              <w:left w:type="dxa" w:w="120"/>
              <w:bottom w:type="dxa" w:w="80"/>
              <w:right w:type="dxa" w:w="120"/>
            </w:tcMar>
            <w:vAlign w:val="center"/>
          </w:tcPr>
          <w:p>
            <w:pPr>
              <w:spacing w:line="264"/>
            </w:pPr>
            <w:r>
              <w:rPr>
                <w:rFonts w:ascii="Calibri" w:eastAsia="Calibri" w:hAnsi="Calibri"/>
                <w:b/>
                <w:bCs/>
                <w:color w:val="FFFFFF"/>
                <w:sz w:val="19"/>
                <w:szCs w:val="19"/>
              </w:rPr>
              <w:t xml:space="preserve">Evidence required</w:t>
            </w:r>
          </w:p>
        </w:tc>
      </w:tr>
      <w:tr>
        <w:trPr>
          <w:cantSplit/>
        </w:trPr>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1</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JWT_SECRET rotated; sandbox fallback removed</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Environment settings screenshot; API restart clean</w:t>
            </w:r>
          </w:p>
        </w:tc>
      </w:tr>
      <w:tr>
        <w:trPr>
          <w:cantSplit/>
        </w:trPr>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2</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DATABASE_URL uses managed PostgreSQL with SSL</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Ready probe green; SSL verified</w:t>
            </w:r>
          </w:p>
        </w:tc>
      </w:tr>
      <w:tr>
        <w:trPr>
          <w:cantSplit/>
        </w:trPr>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3</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Migrations committed and applied via prisma migrate deploy</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Migration list in repository; deploy log</w:t>
            </w:r>
          </w:p>
        </w:tc>
      </w:tr>
      <w:tr>
        <w:trPr>
          <w:cantSplit/>
        </w:trPr>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4</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WEB_ORIGIN matches production web URL</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CORS-protected call succeeds from web origin</w:t>
            </w:r>
          </w:p>
        </w:tc>
      </w:tr>
      <w:tr>
        <w:trPr>
          <w:cantSplit/>
        </w:trPr>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5</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Health and readiness probes wired to monitoring</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Monitoring dashboard shows probes</w:t>
            </w:r>
          </w:p>
        </w:tc>
      </w:tr>
      <w:tr>
        <w:trPr>
          <w:cantSplit/>
        </w:trPr>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6</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Backup schedule enabled (PITR) and restore rehearsed</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Restore drill record</w:t>
            </w:r>
          </w:p>
        </w:tc>
      </w:tr>
      <w:tr>
        <w:trPr>
          <w:cantSplit/>
        </w:trPr>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7</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SSO/OIDC integration configured and tested (if in scope)</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Authentication test through identity provider</w:t>
            </w:r>
          </w:p>
        </w:tc>
      </w:tr>
      <w:tr>
        <w:trPr>
          <w:cantSplit/>
        </w:trPr>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8</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Email/notifications connector credentials configured and tested</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Integration Hub shows CONNECTED after real test</w:t>
            </w:r>
          </w:p>
        </w:tc>
      </w:tr>
      <w:tr>
        <w:trPr>
          <w:cantSplit/>
        </w:trPr>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9</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Webhook endpoints reachable with valid signatures</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Delivery history shows SUCCESS entries</w:t>
            </w:r>
          </w:p>
        </w:tc>
      </w:tr>
      <w:tr>
        <w:trPr>
          <w:cantSplit/>
        </w:trPr>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10</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Golden chain test executed in production</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Timesheet approval cascades to EVM/health figures</w:t>
            </w:r>
          </w:p>
        </w:tc>
      </w:tr>
      <w:tr>
        <w:trPr>
          <w:cantSplit/>
        </w:trPr>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11</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RBAC sign-off: role assignments match the operating model</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Role matrix reviewed by PMO and Security</w:t>
            </w:r>
          </w:p>
        </w:tc>
      </w:tr>
      <w:tr>
        <w:trPr>
          <w:cantSplit/>
        </w:trPr>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12</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Executive dashboard figures reconcile to finance source</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Signed reconciliation note</w:t>
            </w:r>
          </w:p>
        </w:tc>
      </w:tr>
    </w:tbl>
    <w:p>
      <w:pPr>
        <w:spacing w:after="120"/>
      </w:pPr>
    </w:p>
    <w:p>
      <w:pPr>
        <w:spacing w:after="120" w:line="312"/>
        <w:jc w:val="both"/>
      </w:pPr>
      <w:r>
        <w:rPr>
          <w:rFonts w:ascii="Calibri" w:eastAsia="Calibri" w:hAnsi="Calibri"/>
          <w:color w:val="24303C"/>
          <w:sz w:val="22"/>
          <w:szCs w:val="22"/>
        </w:rPr>
        <w:t xml:space="preserve">Production Certified status is granted only when every row above carries real evidence in the target environment. Anything less must be reported honestly as Implemented and Tested (staging) or Configured.</w:t>
      </w:r>
    </w:p>
    <w:p>
      <w:pPr>
        <w:pStyle w:val="Heading1"/>
        <w:spacing w:after="160" w:before="400"/>
      </w:pPr>
      <w:r>
        <w:rPr>
          <w:rFonts w:ascii="Arial" w:eastAsia="Arial" w:hAnsi="Arial"/>
          <w:b/>
          <w:bCs/>
          <w:color w:val="162235"/>
          <w:sz w:val="30"/>
          <w:szCs w:val="30"/>
        </w:rPr>
        <w:t xml:space="preserve">12. Disaster Recovery</w:t>
      </w:r>
    </w:p>
    <w:p>
      <w:pPr>
        <w:pStyle w:val="Heading2"/>
        <w:spacing w:after="120" w:before="280"/>
      </w:pPr>
      <w:r>
        <w:rPr>
          <w:rFonts w:ascii="Arial" w:eastAsia="Arial" w:hAnsi="Arial"/>
          <w:b/>
          <w:bCs/>
          <w:color w:val="1B6B7A"/>
          <w:sz w:val="25"/>
          <w:szCs w:val="25"/>
        </w:rPr>
        <w:t xml:space="preserve">12.1 Objectives</w:t>
      </w:r>
    </w:p>
    <w:p>
      <w:pPr>
        <w:spacing w:after="120" w:line="312"/>
        <w:jc w:val="both"/>
      </w:pPr>
      <w:r>
        <w:rPr>
          <w:rFonts w:ascii="Calibri" w:eastAsia="Calibri" w:hAnsi="Calibri"/>
          <w:color w:val="24303C"/>
          <w:sz w:val="22"/>
          <w:szCs w:val="22"/>
        </w:rPr>
        <w:t xml:space="preserve">Targets for the reference deployment: Recovery Point Objective of fifteen minutes (point-in-time recovery from continuous WAL archiving) and Recovery Time Objective of two hours for full service restoration. These targets align with the platform positioning as a system of record for delivery governance.</w:t>
      </w:r>
    </w:p>
    <w:p>
      <w:pPr>
        <w:pStyle w:val="Heading2"/>
        <w:spacing w:after="120" w:before="280"/>
      </w:pPr>
      <w:r>
        <w:rPr>
          <w:rFonts w:ascii="Arial" w:eastAsia="Arial" w:hAnsi="Arial"/>
          <w:b/>
          <w:bCs/>
          <w:color w:val="1B6B7A"/>
          <w:sz w:val="25"/>
          <w:szCs w:val="25"/>
        </w:rPr>
        <w:t xml:space="preserve">12.2 Backup and Restore</w:t>
      </w:r>
    </w:p>
    <w:p>
      <w:pPr>
        <w:pStyle w:val="ListParagraph"/>
        <w:numPr>
          <w:ilvl w:val="0"/>
          <w:numId w:val="1"/>
        </w:numPr>
        <w:spacing w:after="60" w:line="312"/>
      </w:pPr>
      <w:r>
        <w:rPr>
          <w:rFonts w:ascii="Calibri" w:eastAsia="Calibri" w:hAnsi="Calibri"/>
          <w:b/>
          <w:bCs/>
          <w:color w:val="24303C"/>
          <w:sz w:val="22"/>
          <w:szCs w:val="22"/>
        </w:rPr>
        <w:t xml:space="preserve">Backups — </w:t>
      </w:r>
      <w:r>
        <w:rPr>
          <w:rFonts w:ascii="Calibri" w:eastAsia="Calibri" w:hAnsi="Calibri"/>
          <w:color w:val="24303C"/>
          <w:sz w:val="22"/>
          <w:szCs w:val="22"/>
        </w:rPr>
        <w:t xml:space="preserve">Enable automated daily backups plus point-in-time recovery on the managed database; retain 30 days.</w:t>
      </w:r>
    </w:p>
    <w:p>
      <w:pPr>
        <w:pStyle w:val="ListParagraph"/>
        <w:numPr>
          <w:ilvl w:val="0"/>
          <w:numId w:val="1"/>
        </w:numPr>
        <w:spacing w:after="60" w:line="312"/>
      </w:pPr>
      <w:r>
        <w:rPr>
          <w:rFonts w:ascii="Calibri" w:eastAsia="Calibri" w:hAnsi="Calibri"/>
          <w:b/>
          <w:bCs/>
          <w:color w:val="24303C"/>
          <w:sz w:val="22"/>
          <w:szCs w:val="22"/>
        </w:rPr>
        <w:t xml:space="preserve">Drills — </w:t>
      </w:r>
      <w:r>
        <w:rPr>
          <w:rFonts w:ascii="Calibri" w:eastAsia="Calibri" w:hAnsi="Calibri"/>
          <w:color w:val="24303C"/>
          <w:sz w:val="22"/>
          <w:szCs w:val="22"/>
        </w:rPr>
        <w:t xml:space="preserve">Quarterly restore drill into a scratch environment; verify row counts, integrity and a project workspace render.</w:t>
      </w:r>
    </w:p>
    <w:p>
      <w:pPr>
        <w:pStyle w:val="ListParagraph"/>
        <w:numPr>
          <w:ilvl w:val="0"/>
          <w:numId w:val="1"/>
        </w:numPr>
        <w:spacing w:after="60" w:line="312"/>
      </w:pPr>
      <w:r>
        <w:rPr>
          <w:rFonts w:ascii="Calibri" w:eastAsia="Calibri" w:hAnsi="Calibri"/>
          <w:b/>
          <w:bCs/>
          <w:color w:val="24303C"/>
          <w:sz w:val="22"/>
          <w:szCs w:val="22"/>
        </w:rPr>
        <w:t xml:space="preserve">Rebuild — </w:t>
      </w:r>
      <w:r>
        <w:rPr>
          <w:rFonts w:ascii="Calibri" w:eastAsia="Calibri" w:hAnsi="Calibri"/>
          <w:color w:val="24303C"/>
          <w:sz w:val="22"/>
          <w:szCs w:val="22"/>
        </w:rPr>
        <w:t xml:space="preserve">Infrastructure is code: service definitions and environment variable inventories are versioned in the repository, enabling environment rebuild without discovery work.</w:t>
      </w:r>
    </w:p>
    <w:p>
      <w:pPr>
        <w:pStyle w:val="Heading2"/>
        <w:spacing w:after="120" w:before="280"/>
      </w:pPr>
      <w:r>
        <w:rPr>
          <w:rFonts w:ascii="Arial" w:eastAsia="Arial" w:hAnsi="Arial"/>
          <w:b/>
          <w:bCs/>
          <w:color w:val="1B6B7A"/>
          <w:sz w:val="25"/>
          <w:szCs w:val="25"/>
        </w:rPr>
        <w:t xml:space="preserve">12.3 Degraded Mode</w:t>
      </w:r>
    </w:p>
    <w:p>
      <w:pPr>
        <w:spacing w:after="120" w:line="312"/>
        <w:jc w:val="both"/>
      </w:pPr>
      <w:r>
        <w:rPr>
          <w:rFonts w:ascii="Calibri" w:eastAsia="Calibri" w:hAnsi="Calibri"/>
          <w:color w:val="24303C"/>
          <w:sz w:val="22"/>
          <w:szCs w:val="22"/>
        </w:rPr>
        <w:t xml:space="preserve">The application degrades gracefully: realtime loss does not affect REST operation; a failed AI connector does not block any business function; integration outages queue retries with error counts visible in the hub. The dependency that requires the most protection is the database; its DR posture defines the platform's.</w:t>
      </w:r>
    </w:p>
    <w:p>
      <w:pPr>
        <w:pStyle w:val="Heading1"/>
        <w:spacing w:after="160" w:before="400"/>
      </w:pPr>
      <w:r>
        <w:rPr>
          <w:rFonts w:ascii="Arial" w:eastAsia="Arial" w:hAnsi="Arial"/>
          <w:b/>
          <w:bCs/>
          <w:color w:val="162235"/>
          <w:sz w:val="30"/>
          <w:szCs w:val="30"/>
        </w:rPr>
        <w:t xml:space="preserve">13. Administration Guide</w:t>
      </w:r>
    </w:p>
    <w:p>
      <w:pPr>
        <w:pStyle w:val="Heading2"/>
        <w:spacing w:after="120" w:before="280"/>
      </w:pPr>
      <w:r>
        <w:rPr>
          <w:rFonts w:ascii="Arial" w:eastAsia="Arial" w:hAnsi="Arial"/>
          <w:b/>
          <w:bCs/>
          <w:color w:val="1B6B7A"/>
          <w:sz w:val="25"/>
          <w:szCs w:val="25"/>
        </w:rPr>
        <w:t xml:space="preserve">13.1 Users and Roles</w:t>
      </w:r>
    </w:p>
    <w:p>
      <w:pPr>
        <w:spacing w:after="120" w:line="312"/>
        <w:jc w:val="both"/>
      </w:pPr>
      <w:r>
        <w:rPr>
          <w:rFonts w:ascii="Calibri" w:eastAsia="Calibri" w:hAnsi="Calibri"/>
          <w:color w:val="24303C"/>
          <w:sz w:val="22"/>
          <w:szCs w:val="22"/>
        </w:rPr>
        <w:t xml:space="preserve">Administrators manage users under Administration: create users (email, name, strong password, title, role), deactivate rather than delete to preserve audit integrity, and change role assignments (fully audited with before/after values). The Roles and Permissions screen presents the full role-permission matrix; custom roles can be created for operating models the eight system roles do not cover. The last active PMO Administrator cannot be deactivated as a guard against lockout.</w:t>
      </w:r>
    </w:p>
    <w:p>
      <w:pPr>
        <w:pStyle w:val="Heading2"/>
        <w:spacing w:after="120" w:before="280"/>
      </w:pPr>
      <w:r>
        <w:rPr>
          <w:rFonts w:ascii="Arial" w:eastAsia="Arial" w:hAnsi="Arial"/>
          <w:b/>
          <w:bCs/>
          <w:color w:val="1B6B7A"/>
          <w:sz w:val="25"/>
          <w:szCs w:val="25"/>
        </w:rPr>
        <w:t xml:space="preserve">13.2 Templates and Configuration</w:t>
      </w:r>
    </w:p>
    <w:p>
      <w:pPr>
        <w:spacing w:after="120" w:line="312"/>
        <w:jc w:val="both"/>
      </w:pPr>
      <w:r>
        <w:rPr>
          <w:rFonts w:ascii="Calibri" w:eastAsia="Calibri" w:hAnsi="Calibri"/>
          <w:color w:val="24303C"/>
          <w:sz w:val="22"/>
          <w:szCs w:val="22"/>
        </w:rPr>
        <w:t xml:space="preserve">The PMO Template Library curates Project, PMO and Delivery templates with versioning and structure definitions (phases, artifacts). Applying a template creates a real project with WBS skeleton, tasks, dependencies, milestones, gates, budget lines and charter content, then links it into the portfolio hierarchy. The Configuration screen shows environment readiness (secret presence, never values), entity volumes, and live database/realtime status.</w:t>
      </w:r>
    </w:p>
    <w:p>
      <w:pPr>
        <w:pStyle w:val="Heading2"/>
        <w:spacing w:after="120" w:before="280"/>
      </w:pPr>
      <w:r>
        <w:rPr>
          <w:rFonts w:ascii="Arial" w:eastAsia="Arial" w:hAnsi="Arial"/>
          <w:b/>
          <w:bCs/>
          <w:color w:val="1B6B7A"/>
          <w:sz w:val="25"/>
          <w:szCs w:val="25"/>
        </w:rPr>
        <w:t xml:space="preserve">13.3 Audit</w:t>
      </w:r>
    </w:p>
    <w:p>
      <w:pPr>
        <w:spacing w:after="120" w:line="312"/>
        <w:jc w:val="both"/>
      </w:pPr>
      <w:r>
        <w:rPr>
          <w:rFonts w:ascii="Calibri" w:eastAsia="Calibri" w:hAnsi="Calibri"/>
          <w:color w:val="24303C"/>
          <w:sz w:val="22"/>
          <w:szCs w:val="22"/>
        </w:rPr>
        <w:t xml:space="preserve">The Audit Trail screen filters by entity, action, severity, user, free text and date range, and expands rows to show before/after JSON. Retention follows the corporate policy; exports support compliance review.</w:t>
      </w:r>
    </w:p>
    <w:p>
      <w:pPr>
        <w:pStyle w:val="Heading1"/>
        <w:spacing w:after="160" w:before="400"/>
      </w:pPr>
      <w:r>
        <w:rPr>
          <w:rFonts w:ascii="Arial" w:eastAsia="Arial" w:hAnsi="Arial"/>
          <w:b/>
          <w:bCs/>
          <w:color w:val="162235"/>
          <w:sz w:val="30"/>
          <w:szCs w:val="30"/>
        </w:rPr>
        <w:t xml:space="preserve">14. User Guide</w:t>
      </w:r>
    </w:p>
    <w:p>
      <w:pPr>
        <w:pStyle w:val="Heading2"/>
        <w:spacing w:after="120" w:before="280"/>
      </w:pPr>
      <w:r>
        <w:rPr>
          <w:rFonts w:ascii="Arial" w:eastAsia="Arial" w:hAnsi="Arial"/>
          <w:b/>
          <w:bCs/>
          <w:color w:val="1B6B7A"/>
          <w:sz w:val="25"/>
          <w:szCs w:val="25"/>
        </w:rPr>
        <w:t xml:space="preserve">14.1 Getting Started</w:t>
      </w:r>
    </w:p>
    <w:p>
      <w:pPr>
        <w:spacing w:after="120" w:line="312"/>
        <w:jc w:val="both"/>
      </w:pPr>
      <w:r>
        <w:rPr>
          <w:rFonts w:ascii="Calibri" w:eastAsia="Calibri" w:hAnsi="Calibri"/>
          <w:color w:val="24303C"/>
          <w:sz w:val="22"/>
          <w:szCs w:val="22"/>
        </w:rPr>
        <w:t xml:space="preserve">Sign in from the login screen with your work email and password, or select a demo role in the sandbox. The sidebar groups the product into the eight areas; the command palette (Control/Cmd + K) searches projects, tasks and actions from anywhere. Breadcrumbs above every page title show your location; the bell shows unread notifications; the LIVE badge confirms realtime is connected.</w:t>
      </w:r>
    </w:p>
    <w:p>
      <w:pPr>
        <w:pStyle w:val="Heading2"/>
        <w:spacing w:after="120" w:before="280"/>
      </w:pPr>
      <w:r>
        <w:rPr>
          <w:rFonts w:ascii="Arial" w:eastAsia="Arial" w:hAnsi="Arial"/>
          <w:b/>
          <w:bCs/>
          <w:color w:val="1B6B7A"/>
          <w:sz w:val="25"/>
          <w:szCs w:val="25"/>
        </w:rPr>
        <w:t xml:space="preserve">14.2 Everyday Flows</w:t>
      </w:r>
    </w:p>
    <w:p>
      <w:pPr>
        <w:pStyle w:val="ListParagraph"/>
        <w:numPr>
          <w:ilvl w:val="0"/>
          <w:numId w:val="1"/>
        </w:numPr>
        <w:spacing w:after="60" w:line="312"/>
      </w:pPr>
      <w:r>
        <w:rPr>
          <w:rFonts w:ascii="Calibri" w:eastAsia="Calibri" w:hAnsi="Calibri"/>
          <w:b/>
          <w:bCs/>
          <w:color w:val="24303C"/>
          <w:sz w:val="22"/>
          <w:szCs w:val="22"/>
        </w:rPr>
        <w:t xml:space="preserve">Work a project — </w:t>
      </w:r>
      <w:r>
        <w:rPr>
          <w:rFonts w:ascii="Calibri" w:eastAsia="Calibri" w:hAnsi="Calibri"/>
          <w:color w:val="24303C"/>
          <w:sz w:val="22"/>
          <w:szCs w:val="22"/>
        </w:rPr>
        <w:t xml:space="preserve">Open Projects, filter or search the register, and click a project to enter its workspace. Use tabs for WBS, the Schedule Gantt, EVM, RAID and everything else about that project.</w:t>
      </w:r>
    </w:p>
    <w:p>
      <w:pPr>
        <w:pStyle w:val="ListParagraph"/>
        <w:numPr>
          <w:ilvl w:val="0"/>
          <w:numId w:val="1"/>
        </w:numPr>
        <w:spacing w:after="60" w:line="312"/>
      </w:pPr>
      <w:r>
        <w:rPr>
          <w:rFonts w:ascii="Calibri" w:eastAsia="Calibri" w:hAnsi="Calibri"/>
          <w:b/>
          <w:bCs/>
          <w:color w:val="24303C"/>
          <w:sz w:val="22"/>
          <w:szCs w:val="22"/>
        </w:rPr>
        <w:t xml:space="preserve">Log your time — </w:t>
      </w:r>
      <w:r>
        <w:rPr>
          <w:rFonts w:ascii="Calibri" w:eastAsia="Calibri" w:hAnsi="Calibri"/>
          <w:color w:val="24303C"/>
          <w:sz w:val="22"/>
          <w:szCs w:val="22"/>
        </w:rPr>
        <w:t xml:space="preserve">Under Timesheets pick your week, add entries per day (project, task, time, hours, billable), save as draft, and Submit. If your manager rejects the week, correct it and resubmit; approved and locked weeks are read-only.</w:t>
      </w:r>
    </w:p>
    <w:p>
      <w:pPr>
        <w:pStyle w:val="ListParagraph"/>
        <w:numPr>
          <w:ilvl w:val="0"/>
          <w:numId w:val="1"/>
        </w:numPr>
        <w:spacing w:after="60" w:line="312"/>
      </w:pPr>
      <w:r>
        <w:rPr>
          <w:rFonts w:ascii="Calibri" w:eastAsia="Calibri" w:hAnsi="Calibri"/>
          <w:b/>
          <w:bCs/>
          <w:color w:val="24303C"/>
          <w:sz w:val="22"/>
          <w:szCs w:val="22"/>
        </w:rPr>
        <w:t xml:space="preserve">Stay on top — </w:t>
      </w:r>
      <w:r>
        <w:rPr>
          <w:rFonts w:ascii="Calibri" w:eastAsia="Calibri" w:hAnsi="Calibri"/>
          <w:color w:val="24303C"/>
          <w:sz w:val="22"/>
          <w:szCs w:val="22"/>
        </w:rPr>
        <w:t xml:space="preserve">The Work Inbox collects approvals, alerts, governance escalations and mentions with one-click actions back to the source record. The Focus Planner plans your day around real tasks and meetings.</w:t>
      </w:r>
    </w:p>
    <w:p>
      <w:pPr>
        <w:pStyle w:val="ListParagraph"/>
        <w:numPr>
          <w:ilvl w:val="0"/>
          <w:numId w:val="1"/>
        </w:numPr>
        <w:spacing w:after="60" w:line="312"/>
      </w:pPr>
      <w:r>
        <w:rPr>
          <w:rFonts w:ascii="Calibri" w:eastAsia="Calibri" w:hAnsi="Calibri"/>
          <w:b/>
          <w:bCs/>
          <w:color w:val="24303C"/>
          <w:sz w:val="22"/>
          <w:szCs w:val="22"/>
        </w:rPr>
        <w:t xml:space="preserve">Ask the tower — </w:t>
      </w:r>
      <w:r>
        <w:rPr>
          <w:rFonts w:ascii="Calibri" w:eastAsia="Calibri" w:hAnsi="Calibri"/>
          <w:color w:val="24303C"/>
          <w:sz w:val="22"/>
          <w:szCs w:val="22"/>
        </w:rPr>
        <w:t xml:space="preserve">Ask the AI PM Assistant questions such as which projects are at risk because of resource capacity; answers cite project codes and are drawn only from governed data you can see.</w:t>
      </w:r>
    </w:p>
    <w:p>
      <w:pPr>
        <w:pStyle w:val="Heading2"/>
        <w:spacing w:after="120" w:before="280"/>
      </w:pPr>
      <w:r>
        <w:rPr>
          <w:rFonts w:ascii="Arial" w:eastAsia="Arial" w:hAnsi="Arial"/>
          <w:b/>
          <w:bCs/>
          <w:color w:val="1B6B7A"/>
          <w:sz w:val="25"/>
          <w:szCs w:val="25"/>
        </w:rPr>
        <w:t xml:space="preserve">14.3 Managers</w:t>
      </w:r>
    </w:p>
    <w:p>
      <w:pPr>
        <w:spacing w:after="120" w:line="312"/>
        <w:jc w:val="both"/>
      </w:pPr>
      <w:r>
        <w:rPr>
          <w:rFonts w:ascii="Calibri" w:eastAsia="Calibri" w:hAnsi="Calibri"/>
          <w:color w:val="24303C"/>
          <w:sz w:val="22"/>
          <w:szCs w:val="22"/>
        </w:rPr>
        <w:t xml:space="preserve">Project managers approve timesheets (driving the actuals cascade), assess change requests through the governance workflow, make stage-gate decisions with evidence, and watch CPI/SPI and health trends per project. Portfolio and program managers use the Executive Control Tower and investment view for roll-ups.</w:t>
      </w:r>
    </w:p>
    <w:p>
      <w:pPr>
        <w:pStyle w:val="Heading1"/>
        <w:spacing w:after="160" w:before="400"/>
      </w:pPr>
      <w:r>
        <w:rPr>
          <w:rFonts w:ascii="Arial" w:eastAsia="Arial" w:hAnsi="Arial"/>
          <w:b/>
          <w:bCs/>
          <w:color w:val="162235"/>
          <w:sz w:val="30"/>
          <w:szCs w:val="30"/>
        </w:rPr>
        <w:t xml:space="preserve">15. PMO Guide</w:t>
      </w:r>
    </w:p>
    <w:p>
      <w:pPr>
        <w:pStyle w:val="Heading2"/>
        <w:spacing w:after="120" w:before="280"/>
      </w:pPr>
      <w:r>
        <w:rPr>
          <w:rFonts w:ascii="Arial" w:eastAsia="Arial" w:hAnsi="Arial"/>
          <w:b/>
          <w:bCs/>
          <w:color w:val="1B6B7A"/>
          <w:sz w:val="25"/>
          <w:szCs w:val="25"/>
        </w:rPr>
        <w:t xml:space="preserve">15.1 Operating Model</w:t>
      </w:r>
    </w:p>
    <w:p>
      <w:pPr>
        <w:spacing w:after="120" w:line="312"/>
        <w:jc w:val="both"/>
      </w:pPr>
      <w:r>
        <w:rPr>
          <w:rFonts w:ascii="Calibri" w:eastAsia="Calibri" w:hAnsi="Calibri"/>
          <w:color w:val="24303C"/>
          <w:sz w:val="22"/>
          <w:szCs w:val="22"/>
        </w:rPr>
        <w:t xml:space="preserve">The PMO configures the governance engine to mirror policy: threshold rules on CPI, SPI, EAC, budget utilization, health score, variances and open RAID counts, with severities and scope. Breaches raise alerts and inbox items automatically, removing subjective status reporting. Stage gates encode investment governance; change requests enforce impact assessment and decision records.</w:t>
      </w:r>
    </w:p>
    <w:p>
      <w:pPr>
        <w:pStyle w:val="Heading2"/>
        <w:spacing w:after="120" w:before="280"/>
      </w:pPr>
      <w:r>
        <w:rPr>
          <w:rFonts w:ascii="Arial" w:eastAsia="Arial" w:hAnsi="Arial"/>
          <w:b/>
          <w:bCs/>
          <w:color w:val="1B6B7A"/>
          <w:sz w:val="25"/>
          <w:szCs w:val="25"/>
        </w:rPr>
        <w:t xml:space="preserve">15.2 Cadence</w:t>
      </w:r>
    </w:p>
    <w:p>
      <w:pPr>
        <w:pStyle w:val="ListParagraph"/>
        <w:numPr>
          <w:ilvl w:val="0"/>
          <w:numId w:val="1"/>
        </w:numPr>
        <w:spacing w:after="60" w:line="312"/>
      </w:pPr>
      <w:r>
        <w:rPr>
          <w:rFonts w:ascii="Calibri" w:eastAsia="Calibri" w:hAnsi="Calibri"/>
          <w:b/>
          <w:bCs/>
          <w:color w:val="24303C"/>
          <w:sz w:val="22"/>
          <w:szCs w:val="22"/>
        </w:rPr>
        <w:t xml:space="preserve">Monthly — </w:t>
      </w:r>
      <w:r>
        <w:rPr>
          <w:rFonts w:ascii="Calibri" w:eastAsia="Calibri" w:hAnsi="Calibri"/>
          <w:color w:val="24303C"/>
          <w:sz w:val="22"/>
          <w:szCs w:val="22"/>
        </w:rPr>
        <w:t xml:space="preserve">Portfolio performance review monthly using the Executive bundle and EVM by project.</w:t>
      </w:r>
    </w:p>
    <w:p>
      <w:pPr>
        <w:pStyle w:val="ListParagraph"/>
        <w:numPr>
          <w:ilvl w:val="0"/>
          <w:numId w:val="1"/>
        </w:numPr>
        <w:spacing w:after="60" w:line="312"/>
      </w:pPr>
      <w:r>
        <w:rPr>
          <w:rFonts w:ascii="Calibri" w:eastAsia="Calibri" w:hAnsi="Calibri"/>
          <w:b/>
          <w:bCs/>
          <w:color w:val="24303C"/>
          <w:sz w:val="22"/>
          <w:szCs w:val="22"/>
        </w:rPr>
        <w:t xml:space="preserve">Weekly — </w:t>
      </w:r>
      <w:r>
        <w:rPr>
          <w:rFonts w:ascii="Calibri" w:eastAsia="Calibri" w:hAnsi="Calibri"/>
          <w:color w:val="24303C"/>
          <w:sz w:val="22"/>
          <w:szCs w:val="22"/>
        </w:rPr>
        <w:t xml:space="preserve">RAID and gate review weekly; timesheet approval hygiene check (nothing older than one week).</w:t>
      </w:r>
    </w:p>
    <w:p>
      <w:pPr>
        <w:pStyle w:val="ListParagraph"/>
        <w:numPr>
          <w:ilvl w:val="0"/>
          <w:numId w:val="1"/>
        </w:numPr>
        <w:spacing w:after="60" w:line="312"/>
      </w:pPr>
      <w:r>
        <w:rPr>
          <w:rFonts w:ascii="Calibri" w:eastAsia="Calibri" w:hAnsi="Calibri"/>
          <w:b/>
          <w:bCs/>
          <w:color w:val="24303C"/>
          <w:sz w:val="22"/>
          <w:szCs w:val="22"/>
        </w:rPr>
        <w:t xml:space="preserve">Continuous — </w:t>
      </w:r>
      <w:r>
        <w:rPr>
          <w:rFonts w:ascii="Calibri" w:eastAsia="Calibri" w:hAnsi="Calibri"/>
          <w:color w:val="24303C"/>
          <w:sz w:val="22"/>
          <w:szCs w:val="22"/>
        </w:rPr>
        <w:t xml:space="preserve">Baseline discipline: re-baseline only through approved change requests; the Baselines screen preserves versions.</w:t>
      </w:r>
    </w:p>
    <w:p>
      <w:pPr>
        <w:pStyle w:val="Heading2"/>
        <w:spacing w:after="120" w:before="280"/>
      </w:pPr>
      <w:r>
        <w:rPr>
          <w:rFonts w:ascii="Arial" w:eastAsia="Arial" w:hAnsi="Arial"/>
          <w:b/>
          <w:bCs/>
          <w:color w:val="1B6B7A"/>
          <w:sz w:val="25"/>
          <w:szCs w:val="25"/>
        </w:rPr>
        <w:t xml:space="preserve">15.3 Templates and Quality</w:t>
      </w:r>
    </w:p>
    <w:p>
      <w:pPr>
        <w:spacing w:after="120" w:line="312"/>
        <w:jc w:val="both"/>
      </w:pPr>
      <w:r>
        <w:rPr>
          <w:rFonts w:ascii="Calibri" w:eastAsia="Calibri" w:hAnsi="Calibri"/>
          <w:color w:val="24303C"/>
          <w:sz w:val="22"/>
          <w:szCs w:val="22"/>
        </w:rPr>
        <w:t xml:space="preserve">Curate the template library so every new project starts from the approved structure; apply templates rather than rebuilding. Quality records attach review and test outcomes to projects so gate evidence is complete. The audit trail is the PMO's compliance friend: every material action is provable.</w:t>
      </w:r>
    </w:p>
    <w:p>
      <w:pPr>
        <w:pStyle w:val="Heading1"/>
        <w:spacing w:after="160" w:before="400"/>
      </w:pPr>
      <w:r>
        <w:rPr>
          <w:rFonts w:ascii="Arial" w:eastAsia="Arial" w:hAnsi="Arial"/>
          <w:b/>
          <w:bCs/>
          <w:color w:val="162235"/>
          <w:sz w:val="30"/>
          <w:szCs w:val="30"/>
        </w:rPr>
        <w:t xml:space="preserve">16. Executive Guide</w:t>
      </w:r>
    </w:p>
    <w:p>
      <w:pPr>
        <w:pStyle w:val="Heading2"/>
        <w:spacing w:after="120" w:before="280"/>
      </w:pPr>
      <w:r>
        <w:rPr>
          <w:rFonts w:ascii="Arial" w:eastAsia="Arial" w:hAnsi="Arial"/>
          <w:b/>
          <w:bCs/>
          <w:color w:val="1B6B7A"/>
          <w:sz w:val="25"/>
          <w:szCs w:val="25"/>
        </w:rPr>
        <w:t xml:space="preserve">16.1 The Control Tower Screen</w:t>
      </w:r>
    </w:p>
    <w:p>
      <w:pPr>
        <w:spacing w:after="120" w:line="312"/>
        <w:jc w:val="both"/>
      </w:pPr>
      <w:r>
        <w:rPr>
          <w:rFonts w:ascii="Calibri" w:eastAsia="Calibri" w:hAnsi="Calibri"/>
          <w:color w:val="24303C"/>
          <w:sz w:val="22"/>
          <w:szCs w:val="22"/>
        </w:rPr>
        <w:t xml:space="preserve">The Executive Control Tower answers the five questions that matter: where is the portfolio healthy (RAG distribution and health trend), where is money at risk (budget vs actual vs forecast with variance), whether delivery is accelerating or slipping (CPI/SPI by project and actual-hours trend), what needs my decision (governance queue: pending gates, changes in assessment/approval), and what could hurt us (top risks and critical alerts).</w:t>
      </w:r>
    </w:p>
    <w:p>
      <w:pPr>
        <w:pStyle w:val="Heading2"/>
        <w:spacing w:after="120" w:before="280"/>
      </w:pPr>
      <w:r>
        <w:rPr>
          <w:rFonts w:ascii="Arial" w:eastAsia="Arial" w:hAnsi="Arial"/>
          <w:b/>
          <w:bCs/>
          <w:color w:val="1B6B7A"/>
          <w:sz w:val="25"/>
          <w:szCs w:val="25"/>
        </w:rPr>
        <w:t xml:space="preserve">16.2 Reading the Numbers</w:t>
      </w:r>
    </w:p>
    <w:p>
      <w:pPr>
        <w:pStyle w:val="ListParagraph"/>
        <w:numPr>
          <w:ilvl w:val="0"/>
          <w:numId w:val="1"/>
        </w:numPr>
        <w:spacing w:after="60" w:line="312"/>
      </w:pPr>
      <w:r>
        <w:rPr>
          <w:rFonts w:ascii="Calibri" w:eastAsia="Calibri" w:hAnsi="Calibri"/>
          <w:b/>
          <w:bCs/>
          <w:color w:val="24303C"/>
          <w:sz w:val="22"/>
          <w:szCs w:val="22"/>
        </w:rPr>
        <w:t xml:space="preserve">CPI — </w:t>
      </w:r>
      <w:r>
        <w:rPr>
          <w:rFonts w:ascii="Calibri" w:eastAsia="Calibri" w:hAnsi="Calibri"/>
          <w:color w:val="24303C"/>
          <w:sz w:val="22"/>
          <w:szCs w:val="22"/>
        </w:rPr>
        <w:t xml:space="preserve">Above 1 means value is being delivered faster than cost is consumed; below 0.85 demands intervention.</w:t>
      </w:r>
    </w:p>
    <w:p>
      <w:pPr>
        <w:pStyle w:val="ListParagraph"/>
        <w:numPr>
          <w:ilvl w:val="0"/>
          <w:numId w:val="1"/>
        </w:numPr>
        <w:spacing w:after="60" w:line="312"/>
      </w:pPr>
      <w:r>
        <w:rPr>
          <w:rFonts w:ascii="Calibri" w:eastAsia="Calibri" w:hAnsi="Calibri"/>
          <w:b/>
          <w:bCs/>
          <w:color w:val="24303C"/>
          <w:sz w:val="22"/>
          <w:szCs w:val="22"/>
        </w:rPr>
        <w:t xml:space="preserve">SPI — </w:t>
      </w:r>
      <w:r>
        <w:rPr>
          <w:rFonts w:ascii="Calibri" w:eastAsia="Calibri" w:hAnsi="Calibri"/>
          <w:color w:val="24303C"/>
          <w:sz w:val="22"/>
          <w:szCs w:val="22"/>
        </w:rPr>
        <w:t xml:space="preserve">Below 1 means the schedule is slipping against the value plan; below 0.8 is a red-flag threshold.</w:t>
      </w:r>
    </w:p>
    <w:p>
      <w:pPr>
        <w:pStyle w:val="ListParagraph"/>
        <w:numPr>
          <w:ilvl w:val="0"/>
          <w:numId w:val="1"/>
        </w:numPr>
        <w:spacing w:after="60" w:line="312"/>
      </w:pPr>
      <w:r>
        <w:rPr>
          <w:rFonts w:ascii="Calibri" w:eastAsia="Calibri" w:hAnsi="Calibri"/>
          <w:b/>
          <w:bCs/>
          <w:color w:val="24303C"/>
          <w:sz w:val="22"/>
          <w:szCs w:val="22"/>
        </w:rPr>
        <w:t xml:space="preserve">EAC / VAC — </w:t>
      </w:r>
      <w:r>
        <w:rPr>
          <w:rFonts w:ascii="Calibri" w:eastAsia="Calibri" w:hAnsi="Calibri"/>
          <w:color w:val="24303C"/>
          <w:sz w:val="22"/>
          <w:szCs w:val="22"/>
        </w:rPr>
        <w:t xml:space="preserve">EAC is the statistically forecast total cost; compare to current budget and act on the gap (VAC).</w:t>
      </w:r>
    </w:p>
    <w:p>
      <w:pPr>
        <w:pStyle w:val="ListParagraph"/>
        <w:numPr>
          <w:ilvl w:val="0"/>
          <w:numId w:val="1"/>
        </w:numPr>
        <w:spacing w:after="60" w:line="312"/>
      </w:pPr>
      <w:r>
        <w:rPr>
          <w:rFonts w:ascii="Calibri" w:eastAsia="Calibri" w:hAnsi="Calibri"/>
          <w:b/>
          <w:bCs/>
          <w:color w:val="24303C"/>
          <w:sz w:val="22"/>
          <w:szCs w:val="22"/>
        </w:rPr>
        <w:t xml:space="preserve">Health / RAG — </w:t>
      </w:r>
      <w:r>
        <w:rPr>
          <w:rFonts w:ascii="Calibri" w:eastAsia="Calibri" w:hAnsi="Calibri"/>
          <w:color w:val="24303C"/>
          <w:sz w:val="22"/>
          <w:szCs w:val="22"/>
        </w:rPr>
        <w:t xml:space="preserve">The health score blends cost, schedule, risk, issues, milestones and alerts into one governed number; RAG floors prevent optimistic reporting.</w:t>
      </w:r>
    </w:p>
    <w:p>
      <w:pPr>
        <w:pStyle w:val="Heading2"/>
        <w:spacing w:after="120" w:before="280"/>
      </w:pPr>
      <w:r>
        <w:rPr>
          <w:rFonts w:ascii="Arial" w:eastAsia="Arial" w:hAnsi="Arial"/>
          <w:b/>
          <w:bCs/>
          <w:color w:val="1B6B7A"/>
          <w:sz w:val="25"/>
          <w:szCs w:val="25"/>
        </w:rPr>
        <w:t xml:space="preserve">16.3 Decision Rhythm</w:t>
      </w:r>
    </w:p>
    <w:p>
      <w:pPr>
        <w:spacing w:after="120" w:line="312"/>
        <w:jc w:val="both"/>
      </w:pPr>
      <w:r>
        <w:rPr>
          <w:rFonts w:ascii="Calibri" w:eastAsia="Calibri" w:hAnsi="Calibri"/>
          <w:color w:val="24303C"/>
          <w:sz w:val="22"/>
          <w:szCs w:val="22"/>
        </w:rPr>
        <w:t xml:space="preserve">Executives own gate decisions and change approvals above threshold. The Governance Queue on the dashboard lists exactly what awaits a decision, each item linked to its evidence pack. Because every figure traces to operational data through audited engines, the executive conversation moves from debating status to choosing action. That is the promise of the control tower: one platform, complete project intelligence, greater outcomes.</w:t>
      </w:r>
    </w:p>
    <w:p>
      <w:pPr>
        <w:pStyle w:val="Heading1"/>
        <w:spacing w:after="160" w:before="400"/>
      </w:pPr>
      <w:r>
        <w:rPr>
          <w:rFonts w:ascii="Arial" w:eastAsia="Arial" w:hAnsi="Arial"/>
          <w:b/>
          <w:bCs/>
          <w:color w:val="162235"/>
          <w:sz w:val="30"/>
          <w:szCs w:val="30"/>
        </w:rPr>
        <w:t xml:space="preserve">17. Command Center Expansion (v3.0)</w:t>
      </w:r>
    </w:p>
    <w:p>
      <w:pPr>
        <w:spacing w:after="120" w:line="312"/>
        <w:jc w:val="both"/>
      </w:pPr>
      <w:r>
        <w:rPr>
          <w:rFonts w:ascii="Calibri" w:eastAsia="Calibri" w:hAnsi="Calibri"/>
          <w:color w:val="24303C"/>
          <w:sz w:val="22"/>
          <w:szCs w:val="22"/>
        </w:rPr>
        <w:t xml:space="preserve">Release 3.0 extends the platform from enterprise PPM into an omni-functional execution suite, codenamed the Command Center. The guiding principle is unchanged: a single Task entity is the atom of delivery, and every new module is another governed lens over it. Nothing duplicates data; a status change made anywhere is immediately visible everywhere.</w:t>
      </w:r>
    </w:p>
    <w:p>
      <w:pPr>
        <w:pStyle w:val="Heading2"/>
        <w:spacing w:after="120" w:before="280"/>
      </w:pPr>
      <w:r>
        <w:rPr>
          <w:rFonts w:ascii="Arial" w:eastAsia="Arial" w:hAnsi="Arial"/>
          <w:b/>
          <w:bCs/>
          <w:color w:val="1B6B7A"/>
          <w:sz w:val="25"/>
          <w:szCs w:val="25"/>
        </w:rPr>
        <w:t xml:space="preserve">17.1 Agile Delivery</w:t>
      </w:r>
    </w:p>
    <w:p>
      <w:pPr>
        <w:spacing w:after="120" w:line="312"/>
        <w:jc w:val="both"/>
      </w:pPr>
      <w:r>
        <w:rPr>
          <w:rFonts w:ascii="Calibri" w:eastAsia="Calibri" w:hAnsi="Calibri"/>
          <w:color w:val="24303C"/>
          <w:sz w:val="22"/>
          <w:szCs w:val="22"/>
        </w:rPr>
        <w:t xml:space="preserve">Sprints carry a goal and a date window with one active sprint per project; epics group work into color-coded business themes; tasks gain story points and backlog order. The sprint board offers drag-and-drop status moves with optimistic updates, and committed points are recomputed server-side on every move. The backlog view supports grooming with a Fibonacci point scale and pull-into-sprint actions.</w:t>
      </w:r>
    </w:p>
    <w:p>
      <w:pPr>
        <w:pStyle w:val="Heading2"/>
        <w:spacing w:after="120" w:before="280"/>
      </w:pPr>
      <w:r>
        <w:rPr>
          <w:rFonts w:ascii="Arial" w:eastAsia="Arial" w:hAnsi="Arial"/>
          <w:b/>
          <w:bCs/>
          <w:color w:val="1B6B7A"/>
          <w:sz w:val="25"/>
          <w:szCs w:val="25"/>
        </w:rPr>
        <w:t xml:space="preserve">17.2 Omni Task Views</w:t>
      </w:r>
    </w:p>
    <w:p>
      <w:pPr>
        <w:spacing w:after="120" w:line="312"/>
        <w:jc w:val="both"/>
      </w:pPr>
      <w:r>
        <w:rPr>
          <w:rFonts w:ascii="Calibri" w:eastAsia="Calibri" w:hAnsi="Calibri"/>
          <w:color w:val="24303C"/>
          <w:sz w:val="22"/>
          <w:szCs w:val="22"/>
        </w:rPr>
        <w:t xml:space="preserve">The Boards module renders the same task register as a Kanban with status lanes and drag-and-drop, a delivery calendar of task due dates and meetings, and a workload heatmap of allocated hours against weekly capacity with over-allocation flagged. Views filter across all projects or focus on one.</w:t>
      </w:r>
    </w:p>
    <w:p>
      <w:pPr>
        <w:pStyle w:val="Heading2"/>
        <w:spacing w:after="120" w:before="280"/>
      </w:pPr>
      <w:r>
        <w:rPr>
          <w:rFonts w:ascii="Arial" w:eastAsia="Arial" w:hAnsi="Arial"/>
          <w:b/>
          <w:bCs/>
          <w:color w:val="1B6B7A"/>
          <w:sz w:val="25"/>
          <w:szCs w:val="25"/>
        </w:rPr>
        <w:t xml:space="preserve">17.3 Commercial Operations</w:t>
      </w:r>
    </w:p>
    <w:p>
      <w:pPr>
        <w:spacing w:after="120" w:line="312"/>
        <w:jc w:val="both"/>
      </w:pPr>
      <w:r>
        <w:rPr>
          <w:rFonts w:ascii="Calibri" w:eastAsia="Calibri" w:hAnsi="Calibri"/>
          <w:color w:val="24303C"/>
          <w:sz w:val="22"/>
          <w:szCs w:val="22"/>
        </w:rPr>
        <w:t xml:space="preserve">A client register with status and revenue roll-ups; invoices with line items whose subtotal, tax and total are computed server-side, with a Draft-Sent-Paid lifecycle in which paid invoices are locked; and expenses with a pending-approved-reimbursed approval workflow whose approver is stamped automatically. Invoice lines can reference the project or task they bill.</w:t>
      </w:r>
    </w:p>
    <w:p>
      <w:pPr>
        <w:pStyle w:val="Heading2"/>
        <w:spacing w:after="120" w:before="280"/>
      </w:pPr>
      <w:r>
        <w:rPr>
          <w:rFonts w:ascii="Arial" w:eastAsia="Arial" w:hAnsi="Arial"/>
          <w:b/>
          <w:bCs/>
          <w:color w:val="1B6B7A"/>
          <w:sz w:val="25"/>
          <w:szCs w:val="25"/>
        </w:rPr>
        <w:t xml:space="preserve">17.4 Field Operations (Construction)</w:t>
      </w:r>
    </w:p>
    <w:p>
      <w:pPr>
        <w:spacing w:after="120" w:line="312"/>
        <w:jc w:val="both"/>
      </w:pPr>
      <w:r>
        <w:rPr>
          <w:rFonts w:ascii="Calibri" w:eastAsia="Calibri" w:hAnsi="Calibri"/>
          <w:color w:val="24303C"/>
          <w:sz w:val="22"/>
          <w:szCs w:val="22"/>
        </w:rPr>
        <w:t xml:space="preserve">Requests for information carry discipline routing, aging with a red flag past seven days unanswered, and cost plus schedule impact totals. Daily site logs record weather, crew counts, work performed, delays and safety incidents. The punch list closes out quality items through an open, in-progress, closed, verified chain. A BIM viewer tab embeds an Autodesk Construction Cloud or equivalent model URL for field-to-office coordination.</w:t>
      </w:r>
    </w:p>
    <w:p>
      <w:pPr>
        <w:pStyle w:val="Heading2"/>
        <w:spacing w:after="120" w:before="280"/>
      </w:pPr>
      <w:r>
        <w:rPr>
          <w:rFonts w:ascii="Arial" w:eastAsia="Arial" w:hAnsi="Arial"/>
          <w:b/>
          <w:bCs/>
          <w:color w:val="1B6B7A"/>
          <w:sz w:val="25"/>
          <w:szCs w:val="25"/>
        </w:rPr>
        <w:t xml:space="preserve">17.5 Strategy and Knowledge</w:t>
      </w:r>
    </w:p>
    <w:p>
      <w:pPr>
        <w:spacing w:after="120" w:line="312"/>
        <w:jc w:val="both"/>
      </w:pPr>
      <w:r>
        <w:rPr>
          <w:rFonts w:ascii="Calibri" w:eastAsia="Calibri" w:hAnsi="Calibri"/>
          <w:color w:val="24303C"/>
          <w:sz w:val="22"/>
          <w:szCs w:val="22"/>
        </w:rPr>
        <w:t xml:space="preserve">A feedback portal collects bug reports, feature requests and ideas with one vote per user and a triage lifecycle; a quarter-based roadmap links demand to delivery with progress and release tags. A docs workspace organizes markdown pages into six spaces with full-text search and live preview, and message boards host pinned announcements, standups and question threads anchored to projects.</w:t>
      </w:r>
    </w:p>
    <w:p>
      <w:pPr>
        <w:pStyle w:val="Heading2"/>
        <w:spacing w:after="120" w:before="280"/>
      </w:pPr>
      <w:r>
        <w:rPr>
          <w:rFonts w:ascii="Arial" w:eastAsia="Arial" w:hAnsi="Arial"/>
          <w:b/>
          <w:bCs/>
          <w:color w:val="1B6B7A"/>
          <w:sz w:val="25"/>
          <w:szCs w:val="25"/>
        </w:rPr>
        <w:t xml:space="preserve">17.6 Proofing and Approvals</w:t>
      </w:r>
    </w:p>
    <w:p>
      <w:pPr>
        <w:spacing w:after="120" w:line="312"/>
        <w:jc w:val="both"/>
      </w:pPr>
      <w:r>
        <w:rPr>
          <w:rFonts w:ascii="Calibri" w:eastAsia="Calibri" w:hAnsi="Calibri"/>
          <w:color w:val="24303C"/>
          <w:sz w:val="22"/>
          <w:szCs w:val="22"/>
        </w:rPr>
        <w:t xml:space="preserve">Deliverables gain versioned proof rounds with automatic round numbering, reviewer and due date. Reviewers add threaded annotations carrying page or timecode locators that can be resolved after rework; rounds end in an approved or changes-requested decision and can be reopened.</w:t>
      </w:r>
    </w:p>
    <w:p>
      <w:pPr>
        <w:pStyle w:val="Heading2"/>
        <w:spacing w:after="120" w:before="280"/>
      </w:pPr>
      <w:r>
        <w:rPr>
          <w:rFonts w:ascii="Arial" w:eastAsia="Arial" w:hAnsi="Arial"/>
          <w:b/>
          <w:bCs/>
          <w:color w:val="1B6B7A"/>
          <w:sz w:val="25"/>
          <w:szCs w:val="25"/>
        </w:rPr>
        <w:t xml:space="preserve">17.7 Permissions and Upgrade Path</w:t>
      </w:r>
    </w:p>
    <w:p>
      <w:pPr>
        <w:spacing w:after="120" w:line="312"/>
        <w:jc w:val="both"/>
      </w:pPr>
      <w:r>
        <w:rPr>
          <w:rFonts w:ascii="Calibri" w:eastAsia="Calibri" w:hAnsi="Calibri"/>
          <w:color w:val="24303C"/>
          <w:sz w:val="22"/>
          <w:szCs w:val="22"/>
        </w:rPr>
        <w:t xml:space="preserve">Seven new permission codes gate the new modules: agile.manage, client.manage, field.manage, product.manage, docs.use, boards.use and proofing.manage, mapped into all eight role templates. Upgrading an existing installation is additive: prisma db push for the schema, npm run sync:rbac to provision the permission catalog without a reseed, and an optional idempotent command-center seed for demonstration data.</w:t>
      </w:r>
    </w:p>
    <w:sectPr>
      <w:headerReference w:type="default" r:id="rId9"/>
      <w:footerReference w:type="default" r:id="rId10"/>
      <w:type w:val="nextPage"/>
      <w:pgSz w:w="11906" w:h="16838" w:orient="portrait"/>
      <w:pgMar w:top="1440" w:right="1440" w:bottom="1300" w:left="15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eastAsia="Calibri" w:hAnsi="Calibri"/>
        <w:color w:val="5A6B7A"/>
        <w:sz w:val="13"/>
        <w:szCs w:val="13"/>
      </w:rPr>
      <w:t xml:space="preserve">PLAN | EXECUTE | MONITOR | GOVERN | DELIVER        </w:t>
    </w:r>
    <w:r>
      <w:rPr>
        <w:rFonts w:ascii="Calibri" w:eastAsia="Calibri" w:hAnsi="Calibri"/>
        <w:color w:val="5A6B7A"/>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eastAsia="Calibri" w:hAnsi="Calibri"/>
        <w:color w:val="5A6B7A"/>
        <w:sz w:val="13"/>
        <w:szCs w:val="13"/>
      </w:rPr>
      <w:t xml:space="preserve">PLAN | EXECUTE | MONITOR | GOVERN | DELIVER        </w:t>
    </w:r>
    <w:r>
      <w:rPr>
        <w:rFonts w:ascii="Calibri" w:eastAsia="Calibri" w:hAnsi="Calibri"/>
        <w:color w:val="5A6B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4"/>
      </w:pBdr>
    </w:pPr>
    <w:r>
      <w:rPr>
        <w:rFonts w:ascii="Arial" w:eastAsia="Arial" w:hAnsi="Arial"/>
        <w:b/>
        <w:bCs/>
        <w:color w:val="1B6B7A"/>
        <w:sz w:val="15"/>
        <w:szCs w:val="15"/>
      </w:rPr>
      <w:t xml:space="preserve">PM CONTROL TOWER</w:t>
    </w:r>
    <w:r>
      <w:rPr>
        <w:rFonts w:ascii="Calibri" w:eastAsia="Calibri" w:hAnsi="Calibri"/>
        <w:color w:val="5A6B7A"/>
        <w:sz w:val="15"/>
        <w:szCs w:val="15"/>
      </w:rPr>
      <w:t xml:space="preserve">   |   Complete Documentation Suite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4"/>
      </w:pBdr>
    </w:pPr>
    <w:r>
      <w:rPr>
        <w:rFonts w:ascii="Arial" w:eastAsia="Arial" w:hAnsi="Arial"/>
        <w:b/>
        <w:bCs/>
        <w:color w:val="1B6B7A"/>
        <w:sz w:val="15"/>
        <w:szCs w:val="15"/>
      </w:rPr>
      <w:t xml:space="preserve">PM CONTROL TOWER</w:t>
    </w:r>
    <w:r>
      <w:rPr>
        <w:rFonts w:ascii="Calibri" w:eastAsia="Calibri" w:hAnsi="Calibri"/>
        <w:color w:val="5A6B7A"/>
        <w:sz w:val="15"/>
        <w:szCs w:val="15"/>
      </w:rPr>
      <w:t xml:space="preserve">   |   Complete Documentation Suite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olor w:val="24303C"/>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400"/>
      <w:outlineLvl w:val="0"/>
    </w:pPr>
    <w:rPr>
      <w:rFonts w:ascii="Arial" w:eastAsia="Arial" w:hAnsi="Arial"/>
      <w:b/>
      <w:bCs/>
      <w:color w:val="162235"/>
      <w:sz w:val="30"/>
      <w:szCs w:val="30"/>
    </w:rPr>
  </w:style>
  <w:style w:type="paragraph" w:styleId="Heading2">
    <w:name w:val="Heading 2"/>
    <w:basedOn w:val="Normal"/>
    <w:next w:val="Normal"/>
    <w:qFormat/>
    <w:pPr>
      <w:spacing w:after="120" w:before="280"/>
      <w:outlineLvl w:val="1"/>
    </w:pPr>
    <w:rPr>
      <w:rFonts w:ascii="Arial" w:eastAsia="Arial" w:hAnsi="Arial"/>
      <w:b/>
      <w:bCs/>
      <w:color w:val="1B6B7A"/>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 Control Tower — Complete Documentation Suite</dc:title>
  <dc:creator>PM Control Tower</dc:creator>
  <dc:description>Enterprise Project, Program &amp; Portfolio Management Platform documentation</dc:description>
  <cp:lastModifiedBy>Un-named</cp:lastModifiedBy>
  <cp:revision>1</cp:revision>
  <dcterms:created xsi:type="dcterms:W3CDTF">2026-09-19T18:41:58.172Z</dcterms:created>
  <dcterms:modified xsi:type="dcterms:W3CDTF">2026-09-19T18:41:58.173Z</dcterms:modified>
</cp:coreProperties>
</file>

<file path=docProps/custom.xml><?xml version="1.0" encoding="utf-8"?>
<Properties xmlns="http://schemas.openxmlformats.org/officeDocument/2006/custom-properties" xmlns:vt="http://schemas.openxmlformats.org/officeDocument/2006/docPropsVTypes"/>
</file>