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XAI ICU Mortality Prediction System</w:t>
      </w:r>
    </w:p>
    <w:p>
      <w:pPr>
        <w:jc w:val="center"/>
      </w:pPr>
      <w:r>
        <w:t>Comprehensive Technical Report</w:t>
      </w:r>
    </w:p>
    <w:p/>
    <w:p>
      <w:r>
        <w:t>Generated: January 25, 2026</w:t>
      </w:r>
    </w:p>
    <w:p>
      <w:r>
        <w:t>Institution: IIIT Ranchi</w:t>
      </w:r>
    </w:p>
    <w:p/>
    <w:p>
      <w:pPr>
        <w:pStyle w:val="Heading1"/>
      </w:pPr>
      <w:r>
        <w:t>1. Executive Summary</w:t>
      </w:r>
    </w:p>
    <w:p>
      <w:r>
        <w:t>This report presents the XAI ICU Mortality Prediction System, an explainable AI framework for predicting in-hospital mortality in ICU patients. The system combines state-of-the-art deep learning techniques with clinical safety guardrails and uncertainty quantification.</w:t>
      </w:r>
    </w:p>
    <w:p>
      <w:pPr>
        <w:pStyle w:val="IntenseQuote"/>
      </w:pPr>
      <w:r>
        <w:t>Key Achievements:</w:t>
      </w:r>
    </w:p>
    <w:p>
      <w:r>
        <w:rPr>
          <w:b/>
        </w:rPr>
        <w:t>• Research Model AUROC: 0.924</w:t>
        <w:br/>
      </w:r>
      <w:r>
        <w:rPr>
          <w:b/>
        </w:rPr>
        <w:t>• Deployment Model AUROC: 0.964</w:t>
        <w:br/>
      </w:r>
      <w:r>
        <w:rPr>
          <w:b/>
        </w:rPr>
        <w:t>• Safety Layer Precision: 100%</w:t>
        <w:br/>
      </w:r>
      <w:r>
        <w:rPr>
          <w:b/>
        </w:rPr>
        <w:t>• Comprehensive XAI with Counterfactual Explanations</w:t>
      </w:r>
    </w:p>
    <w:p>
      <w:r>
        <w:br w:type="page"/>
      </w:r>
    </w:p>
    <w:p>
      <w:pPr>
        <w:pStyle w:val="Heading1"/>
      </w:pPr>
      <w:r>
        <w:t>2. Dataset Description</w:t>
      </w:r>
    </w:p>
    <w:p>
      <w:pPr>
        <w:pStyle w:val="Heading2"/>
      </w:pPr>
      <w:r>
        <w:t>2.1 MIMIC-IV Overview</w:t>
      </w:r>
    </w:p>
    <w:p>
      <w:r>
        <w:t>The system is trained and validated on the MIMIC-IV (Medical Information Mart for Intensive Care) dataset, a large, freely-available database of de-identified health records from ICU patients at Beth Israel Deaconess Medical Center.</w:t>
      </w:r>
    </w:p>
    <w:p>
      <w:pPr>
        <w:pStyle w:val="Heading2"/>
      </w:pPr>
      <w:r>
        <w:t>2.2 Cohort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</w:t>
            </w:r>
          </w:p>
        </w:tc>
        <w:tc>
          <w:tcPr>
            <w:tcW w:type="dxa" w:w="4320"/>
          </w:tcPr>
          <w:p>
            <w:r>
              <w:t>42,951</w:t>
            </w:r>
          </w:p>
        </w:tc>
      </w:tr>
      <w:tr>
        <w:tc>
          <w:tcPr>
            <w:tcW w:type="dxa" w:w="4320"/>
          </w:tcPr>
          <w:p>
            <w:r>
              <w:t>Total Admissions</w:t>
            </w:r>
          </w:p>
        </w:tc>
        <w:tc>
          <w:tcPr>
            <w:tcW w:type="dxa" w:w="4320"/>
          </w:tcPr>
          <w:p>
            <w:r>
              <w:t>166,062</w:t>
            </w:r>
          </w:p>
        </w:tc>
      </w:tr>
      <w:tr>
        <w:tc>
          <w:tcPr>
            <w:tcW w:type="dxa" w:w="4320"/>
          </w:tcPr>
          <w:p>
            <w:r>
              <w:t>In-Hospital Mortality Rate</w:t>
            </w:r>
          </w:p>
        </w:tc>
        <w:tc>
          <w:tcPr>
            <w:tcW w:type="dxa" w:w="4320"/>
          </w:tcPr>
          <w:p>
            <w:r>
              <w:t>4.3%</w:t>
            </w:r>
          </w:p>
        </w:tc>
      </w:tr>
      <w:tr>
        <w:tc>
          <w:tcPr>
            <w:tcW w:type="dxa" w:w="4320"/>
          </w:tcPr>
          <w:p>
            <w:r>
              <w:t>Median Length of Stay</w:t>
            </w:r>
          </w:p>
        </w:tc>
        <w:tc>
          <w:tcPr>
            <w:tcW w:type="dxa" w:w="4320"/>
          </w:tcPr>
          <w:p>
            <w:r>
              <w:t>4.2 days</w:t>
            </w:r>
          </w:p>
        </w:tc>
      </w:tr>
    </w:tbl>
    <w:p/>
    <w:p>
      <w:pPr>
        <w:pStyle w:val="Heading2"/>
      </w:pPr>
      <w:r>
        <w:t>2.3 Data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Records</w:t>
            </w:r>
          </w:p>
        </w:tc>
      </w:tr>
      <w:tr>
        <w:tc>
          <w:tcPr>
            <w:tcW w:type="dxa" w:w="2880"/>
          </w:tcPr>
          <w:p>
            <w:r>
              <w:t>admissions_100k.csv</w:t>
            </w:r>
          </w:p>
        </w:tc>
        <w:tc>
          <w:tcPr>
            <w:tcW w:type="dxa" w:w="2880"/>
          </w:tcPr>
          <w:p>
            <w:r>
              <w:t>Hospital admissions with mortality labels</w:t>
            </w:r>
          </w:p>
        </w:tc>
        <w:tc>
          <w:tcPr>
            <w:tcW w:type="dxa" w:w="2880"/>
          </w:tcPr>
          <w:p>
            <w:r>
              <w:t>166,062</w:t>
            </w:r>
          </w:p>
        </w:tc>
      </w:tr>
      <w:tr>
        <w:tc>
          <w:tcPr>
            <w:tcW w:type="dxa" w:w="2880"/>
          </w:tcPr>
          <w:p>
            <w:r>
              <w:t>icustays_100k.csv</w:t>
            </w:r>
          </w:p>
        </w:tc>
        <w:tc>
          <w:tcPr>
            <w:tcW w:type="dxa" w:w="2880"/>
          </w:tcPr>
          <w:p>
            <w:r>
              <w:t>ICU stay records</w:t>
            </w:r>
          </w:p>
        </w:tc>
        <w:tc>
          <w:tcPr>
            <w:tcW w:type="dxa" w:w="2880"/>
          </w:tcPr>
          <w:p>
            <w:r>
              <w:t>~50,000</w:t>
            </w:r>
          </w:p>
        </w:tc>
      </w:tr>
      <w:tr>
        <w:tc>
          <w:tcPr>
            <w:tcW w:type="dxa" w:w="2880"/>
          </w:tcPr>
          <w:p>
            <w:r>
              <w:t>chartevents_100k.csv</w:t>
            </w:r>
          </w:p>
        </w:tc>
        <w:tc>
          <w:tcPr>
            <w:tcW w:type="dxa" w:w="2880"/>
          </w:tcPr>
          <w:p>
            <w:r>
              <w:t>Vital signs and lab values</w:t>
            </w:r>
          </w:p>
        </w:tc>
        <w:tc>
          <w:tcPr>
            <w:tcW w:type="dxa" w:w="2880"/>
          </w:tcPr>
          <w:p>
            <w:r>
              <w:t>~800M</w:t>
            </w:r>
          </w:p>
        </w:tc>
      </w:tr>
      <w:tr>
        <w:tc>
          <w:tcPr>
            <w:tcW w:type="dxa" w:w="2880"/>
          </w:tcPr>
          <w:p>
            <w:r>
              <w:t>prescriptions_100k.csv</w:t>
            </w:r>
          </w:p>
        </w:tc>
        <w:tc>
          <w:tcPr>
            <w:tcW w:type="dxa" w:w="2880"/>
          </w:tcPr>
          <w:p>
            <w:r>
              <w:t>Medication orders</w:t>
            </w:r>
          </w:p>
        </w:tc>
        <w:tc>
          <w:tcPr>
            <w:tcW w:type="dxa" w:w="2880"/>
          </w:tcPr>
          <w:p>
            <w:r>
              <w:t>10,538,716</w:t>
            </w:r>
          </w:p>
        </w:tc>
      </w:tr>
      <w:tr>
        <w:tc>
          <w:tcPr>
            <w:tcW w:type="dxa" w:w="2880"/>
          </w:tcPr>
          <w:p>
            <w:r>
              <w:t>drgcodes_100k.csv</w:t>
            </w:r>
          </w:p>
        </w:tc>
        <w:tc>
          <w:tcPr>
            <w:tcW w:type="dxa" w:w="2880"/>
          </w:tcPr>
          <w:p>
            <w:r>
              <w:t>Diagnosis-related groups</w:t>
            </w:r>
          </w:p>
        </w:tc>
        <w:tc>
          <w:tcPr>
            <w:tcW w:type="dxa" w:w="2880"/>
          </w:tcPr>
          <w:p>
            <w:r>
              <w:t>~200,000</w:t>
            </w:r>
          </w:p>
        </w:tc>
      </w:tr>
    </w:tbl>
    <w:p/>
    <w:p>
      <w:r>
        <w:br w:type="page"/>
      </w:r>
    </w:p>
    <w:p>
      <w:pPr>
        <w:pStyle w:val="Heading1"/>
      </w:pPr>
      <w:r>
        <w:t>3. Exploratory Data Analysis</w:t>
      </w:r>
    </w:p>
    <w:p>
      <w:pPr>
        <w:pStyle w:val="Heading2"/>
      </w:pPr>
      <w:r>
        <w:t>3.1 Vital Signs Analysis</w:t>
      </w:r>
    </w:p>
    <w:p>
      <w:r>
        <w:t>Total chart event records: 795,956</w:t>
        <w:br/>
        <w:t>Records per patient: 3618</w:t>
        <w:br/>
        <w:t>Missing rate: 0.0%</w:t>
      </w:r>
    </w:p>
    <w:p>
      <w:pPr>
        <w:pStyle w:val="Heading2"/>
      </w:pPr>
      <w:r>
        <w:t>3.2 Time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 Δt</w:t>
            </w:r>
          </w:p>
        </w:tc>
        <w:tc>
          <w:tcPr>
            <w:tcW w:type="dxa" w:w="4320"/>
          </w:tcPr>
          <w:p>
            <w:r>
              <w:t>2.9 minutes</w:t>
            </w:r>
          </w:p>
        </w:tc>
      </w:tr>
      <w:tr>
        <w:tc>
          <w:tcPr>
            <w:tcW w:type="dxa" w:w="4320"/>
          </w:tcPr>
          <w:p>
            <w:r>
              <w:t>Median Δt</w:t>
            </w:r>
          </w:p>
        </w:tc>
        <w:tc>
          <w:tcPr>
            <w:tcW w:type="dxa" w:w="4320"/>
          </w:tcPr>
          <w:p>
            <w:r>
              <w:t>0.0 minutes</w:t>
            </w:r>
          </w:p>
        </w:tc>
      </w:tr>
      <w:tr>
        <w:tc>
          <w:tcPr>
            <w:tcW w:type="dxa" w:w="4320"/>
          </w:tcPr>
          <w:p>
            <w:r>
              <w:t>Std Δt</w:t>
            </w:r>
          </w:p>
        </w:tc>
        <w:tc>
          <w:tcPr>
            <w:tcW w:type="dxa" w:w="4320"/>
          </w:tcPr>
          <w:p>
            <w:r>
              <w:t>16.5 minutes</w:t>
            </w:r>
          </w:p>
        </w:tc>
      </w:tr>
    </w:tbl>
    <w:p/>
    <w:p>
      <w:r>
        <w:t>The high variance in time gaps confirms the need for adaptive time constant modeling (τ adaptation in Liquid Neural Network cells).</w:t>
      </w:r>
    </w:p>
    <w:p>
      <w:pPr>
        <w:pStyle w:val="Heading2"/>
      </w:pPr>
      <w:r>
        <w:t>3.3 Medication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Prescriptions</w:t>
            </w:r>
          </w:p>
        </w:tc>
        <w:tc>
          <w:tcPr>
            <w:tcW w:type="dxa" w:w="4320"/>
          </w:tcPr>
          <w:p>
            <w:r>
              <w:t>10,538,716</w:t>
            </w:r>
          </w:p>
        </w:tc>
      </w:tr>
      <w:tr>
        <w:tc>
          <w:tcPr>
            <w:tcW w:type="dxa" w:w="4320"/>
          </w:tcPr>
          <w:p>
            <w:r>
              <w:t>Unique Drugs</w:t>
            </w:r>
          </w:p>
        </w:tc>
        <w:tc>
          <w:tcPr>
            <w:tcW w:type="dxa" w:w="4320"/>
          </w:tcPr>
          <w:p>
            <w:r>
              <w:t>6,817</w:t>
            </w:r>
          </w:p>
        </w:tc>
      </w:tr>
      <w:tr>
        <w:tc>
          <w:tcPr>
            <w:tcW w:type="dxa" w:w="4320"/>
          </w:tcPr>
          <w:p>
            <w:r>
              <w:t>Patients with Vasopressors</w:t>
            </w:r>
          </w:p>
        </w:tc>
        <w:tc>
          <w:tcPr>
            <w:tcW w:type="dxa" w:w="4320"/>
          </w:tcPr>
          <w:p>
            <w:r>
              <w:t>24,613</w:t>
            </w:r>
          </w:p>
        </w:tc>
      </w:tr>
    </w:tbl>
    <w:p/>
    <w:p>
      <w:pPr>
        <w:pStyle w:val="Heading2"/>
      </w:pPr>
      <w:r>
        <w:t>3.4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3777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EDA Summary Dashboard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775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Cohort Analysis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864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als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Vital Signs Analysis</w:t>
      </w:r>
    </w:p>
    <w:p/>
    <w:p>
      <w:r>
        <w:br w:type="page"/>
      </w:r>
    </w:p>
    <w:p>
      <w:pPr>
        <w:pStyle w:val="Heading1"/>
      </w:pPr>
      <w:r>
        <w:t>4. Research Model Architecture</w:t>
      </w:r>
    </w:p>
    <w:p>
      <w:pPr>
        <w:pStyle w:val="Heading2"/>
      </w:pPr>
      <w:r>
        <w:t>4.1 Model Overview</w:t>
      </w:r>
    </w:p>
    <w:p>
      <w:r>
        <w:t>The ICU Mortality Prediction model (research.py) implements a novel architecture combining:</w:t>
        <w:br/>
        <w:br/>
        <w:t>• Liquid Mamba Encoder: ODE-based temporal processing for irregular time-series</w:t>
        <w:br/>
        <w:t>• Graph Attention Network (GAT): Disease knowledge graph embedding</w:t>
        <w:br/>
        <w:t>• Cross-Attention Fusion: Multimodal feature integration</w:t>
        <w:br/>
        <w:t>• Uncertainty Head: Aleatoric uncertainty quantification</w:t>
      </w:r>
    </w:p>
    <w:p>
      <w:pPr>
        <w:pStyle w:val="Heading2"/>
      </w:pPr>
      <w:r>
        <w:t>4.2 Liquid Neural Network</w:t>
      </w:r>
    </w:p>
    <w:p>
      <w:r>
        <w:t>The Liquid Mamba encoder uses an ODE-based formulation:</w:t>
        <w:br/>
        <w:br/>
        <w:t>dh/dt = (1/τ) · (f(x,h) - h)</w:t>
        <w:br/>
        <w:br/>
        <w:t>Where τ(Δt) is an adaptive time constant that varies based on observation gaps:</w:t>
        <w:br/>
        <w:t>• Small Δt (frequent vitals) → Large τ → Slow dynamics</w:t>
        <w:br/>
        <w:t>• Large Δt (sparse labs) → Small τ → Fast adaptation</w:t>
      </w:r>
    </w:p>
    <w:p>
      <w:pPr>
        <w:pStyle w:val="Heading2"/>
      </w:pPr>
      <w:r>
        <w:t>4.3 Training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Test Accuracy</w:t>
            </w:r>
          </w:p>
        </w:tc>
        <w:tc>
          <w:tcPr>
            <w:tcW w:type="dxa" w:w="2880"/>
          </w:tcPr>
          <w:p>
            <w:r>
              <w:t>92.7%</w:t>
            </w:r>
          </w:p>
        </w:tc>
        <w:tc>
          <w:tcPr>
            <w:tcW w:type="dxa" w:w="2880"/>
          </w:tcPr>
          <w:p>
            <w:r>
              <w:t>&gt;85%</w:t>
            </w:r>
          </w:p>
        </w:tc>
      </w:tr>
      <w:tr>
        <w:tc>
          <w:tcPr>
            <w:tcW w:type="dxa" w:w="2880"/>
          </w:tcPr>
          <w:p>
            <w:r>
              <w:t>Test F1 Score</w:t>
            </w:r>
          </w:p>
        </w:tc>
        <w:tc>
          <w:tcPr>
            <w:tcW w:type="dxa" w:w="2880"/>
          </w:tcPr>
          <w:p>
            <w:r>
              <w:t>0.646</w:t>
            </w:r>
          </w:p>
        </w:tc>
        <w:tc>
          <w:tcPr>
            <w:tcW w:type="dxa" w:w="2880"/>
          </w:tcPr>
          <w:p>
            <w:r>
              <w:t>&gt;0.60</w:t>
            </w:r>
          </w:p>
        </w:tc>
      </w:tr>
      <w:tr>
        <w:tc>
          <w:tcPr>
            <w:tcW w:type="dxa" w:w="2880"/>
          </w:tcPr>
          <w:p>
            <w:r>
              <w:t>Test AUROC</w:t>
            </w:r>
          </w:p>
        </w:tc>
        <w:tc>
          <w:tcPr>
            <w:tcW w:type="dxa" w:w="2880"/>
          </w:tcPr>
          <w:p>
            <w:r>
              <w:t>0.924</w:t>
            </w:r>
          </w:p>
        </w:tc>
        <w:tc>
          <w:tcPr>
            <w:tcW w:type="dxa" w:w="2880"/>
          </w:tcPr>
          <w:p>
            <w:r>
              <w:t>&gt;0.80</w:t>
            </w:r>
          </w:p>
        </w:tc>
      </w:tr>
      <w:tr>
        <w:tc>
          <w:tcPr>
            <w:tcW w:type="dxa" w:w="2880"/>
          </w:tcPr>
          <w:p>
            <w:r>
              <w:t>Test AUPRC</w:t>
            </w:r>
          </w:p>
        </w:tc>
        <w:tc>
          <w:tcPr>
            <w:tcW w:type="dxa" w:w="2880"/>
          </w:tcPr>
          <w:p>
            <w:r>
              <w:t>0.706</w:t>
            </w:r>
          </w:p>
        </w:tc>
        <w:tc>
          <w:tcPr>
            <w:tcW w:type="dxa" w:w="2880"/>
          </w:tcPr>
          <w:p>
            <w:r>
              <w:t>&gt;0.50</w:t>
            </w:r>
          </w:p>
        </w:tc>
      </w:tr>
      <w:tr>
        <w:tc>
          <w:tcPr>
            <w:tcW w:type="dxa" w:w="2880"/>
          </w:tcPr>
          <w:p>
            <w:r>
              <w:t>Brier Score</w:t>
            </w:r>
          </w:p>
        </w:tc>
        <w:tc>
          <w:tcPr>
            <w:tcW w:type="dxa" w:w="2880"/>
          </w:tcPr>
          <w:p>
            <w:r>
              <w:t>0.062</w:t>
            </w:r>
          </w:p>
        </w:tc>
        <w:tc>
          <w:tcPr>
            <w:tcW w:type="dxa" w:w="2880"/>
          </w:tcPr>
          <w:p>
            <w:r>
              <w:t>&lt;0.15</w:t>
            </w:r>
          </w:p>
        </w:tc>
      </w:tr>
      <w:tr>
        <w:tc>
          <w:tcPr>
            <w:tcW w:type="dxa" w:w="2880"/>
          </w:tcPr>
          <w:p>
            <w:r>
              <w:t>Model Parameters</w:t>
            </w:r>
          </w:p>
        </w:tc>
        <w:tc>
          <w:tcPr>
            <w:tcW w:type="dxa" w:w="2880"/>
          </w:tcPr>
          <w:p>
            <w:r>
              <w:t>337,762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Epochs Trained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50 max</w:t>
            </w:r>
          </w:p>
        </w:tc>
      </w:tr>
    </w:tbl>
    <w:p/>
    <w:p>
      <w:pPr>
        <w:pStyle w:val="Heading2"/>
      </w:pPr>
      <w:r>
        <w:t>4.4 XAI Counterfactual Analysis</w:t>
      </w:r>
    </w:p>
    <w:p>
      <w:r>
        <w:t>High-risk patients identified: 314</w:t>
        <w:br/>
        <w:t>Counterfactuals generated: 5</w:t>
        <w:br/>
        <w:t>Average proximity: 20.37</w:t>
        <w:br/>
        <w:t>Average sparsity: 122.6 features</w:t>
      </w:r>
    </w:p>
    <w:p>
      <w:pPr>
        <w:pStyle w:val="Heading2"/>
      </w:pPr>
      <w:r>
        <w:t>4.5 Visualizations</w:t>
      </w:r>
    </w:p>
    <w:p>
      <w:r>
        <w:drawing>
          <wp:inline xmlns:a="http://schemas.openxmlformats.org/drawingml/2006/main" xmlns:pic="http://schemas.openxmlformats.org/drawingml/2006/picture">
            <wp:extent cx="5029200" cy="1307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Training Curves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564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5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5: Calibration Plot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532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i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6: XAI Dashboard</w:t>
      </w:r>
    </w:p>
    <w:p/>
    <w:p>
      <w:r>
        <w:br w:type="page"/>
      </w:r>
    </w:p>
    <w:p>
      <w:pPr>
        <w:pStyle w:val="Heading1"/>
      </w:pPr>
      <w:r>
        <w:t>5. Deployment Pipeline</w:t>
      </w:r>
    </w:p>
    <w:p>
      <w:pPr>
        <w:pStyle w:val="Heading2"/>
      </w:pPr>
      <w:r>
        <w:t>5.1 Digital Twin System</w:t>
      </w:r>
    </w:p>
    <w:p>
      <w:r>
        <w:t>The patent.py script implements a Clinical AI Deployment Engine that:</w:t>
        <w:br/>
        <w:br/>
        <w:t>1. Loads the pre-trained model from deployment_package.pth</w:t>
        <w:br/>
        <w:t>2. Runs Monte Carlo Dropout simulations (50 forward passes)</w:t>
        <w:br/>
        <w:t>3. Applies clinical safety rules for override decisions</w:t>
        <w:br/>
        <w:t>4. Generates uncertainty-aware predictions with 95% confidence intervals</w:t>
      </w:r>
    </w:p>
    <w:p>
      <w:pPr>
        <w:pStyle w:val="Heading2"/>
      </w:pPr>
      <w:r>
        <w:t>5.2 Safety Layer</w:t>
      </w:r>
    </w:p>
    <w:p>
      <w:r>
        <w:t>The safety layer implements 6 evidence-based clinical rules that can override model predictions when critical conditions are detected: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 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Override Action</w:t>
            </w:r>
          </w:p>
        </w:tc>
      </w:tr>
      <w:tr>
        <w:tc>
          <w:tcPr>
            <w:tcW w:type="dxa" w:w="2880"/>
          </w:tcPr>
          <w:p>
            <w:r>
              <w:t>Hyperkalemia</w:t>
            </w:r>
          </w:p>
        </w:tc>
        <w:tc>
          <w:tcPr>
            <w:tcW w:type="dxa" w:w="2880"/>
          </w:tcPr>
          <w:p>
            <w:r>
              <w:t>K+ &gt; 6.0 mEq/L</w:t>
            </w:r>
          </w:p>
        </w:tc>
        <w:tc>
          <w:tcPr>
            <w:tcW w:type="dxa" w:w="2880"/>
          </w:tcPr>
          <w:p>
            <w:r>
              <w:t>Risk → max(pred, 0.7)</w:t>
            </w:r>
          </w:p>
        </w:tc>
      </w:tr>
      <w:tr>
        <w:tc>
          <w:tcPr>
            <w:tcW w:type="dxa" w:w="2880"/>
          </w:tcPr>
          <w:p>
            <w:r>
              <w:t>Hypoxia</w:t>
            </w:r>
          </w:p>
        </w:tc>
        <w:tc>
          <w:tcPr>
            <w:tcW w:type="dxa" w:w="2880"/>
          </w:tcPr>
          <w:p>
            <w:r>
              <w:t>SpO2 &lt; 85%</w:t>
            </w:r>
          </w:p>
        </w:tc>
        <w:tc>
          <w:tcPr>
            <w:tcW w:type="dxa" w:w="2880"/>
          </w:tcPr>
          <w:p>
            <w:r>
              <w:t>Risk → max(pred, 0.75)</w:t>
            </w:r>
          </w:p>
        </w:tc>
      </w:tr>
      <w:tr>
        <w:tc>
          <w:tcPr>
            <w:tcW w:type="dxa" w:w="2880"/>
          </w:tcPr>
          <w:p>
            <w:r>
              <w:t>Shock</w:t>
            </w:r>
          </w:p>
        </w:tc>
        <w:tc>
          <w:tcPr>
            <w:tcW w:type="dxa" w:w="2880"/>
          </w:tcPr>
          <w:p>
            <w:r>
              <w:t>SBP &lt; 70 mmHg</w:t>
            </w:r>
          </w:p>
        </w:tc>
        <w:tc>
          <w:tcPr>
            <w:tcW w:type="dxa" w:w="2880"/>
          </w:tcPr>
          <w:p>
            <w:r>
              <w:t>Risk → max(pred, 0.8)</w:t>
            </w:r>
          </w:p>
        </w:tc>
      </w:tr>
      <w:tr>
        <w:tc>
          <w:tcPr>
            <w:tcW w:type="dxa" w:w="2880"/>
          </w:tcPr>
          <w:p>
            <w:r>
              <w:t>Lactate Elevation</w:t>
            </w:r>
          </w:p>
        </w:tc>
        <w:tc>
          <w:tcPr>
            <w:tcW w:type="dxa" w:w="2880"/>
          </w:tcPr>
          <w:p>
            <w:r>
              <w:t>Lactate &gt; 4.0 mmol/L</w:t>
            </w:r>
          </w:p>
        </w:tc>
        <w:tc>
          <w:tcPr>
            <w:tcW w:type="dxa" w:w="2880"/>
          </w:tcPr>
          <w:p>
            <w:r>
              <w:t>Risk → max(pred, 0.65)</w:t>
            </w:r>
          </w:p>
        </w:tc>
      </w:tr>
      <w:tr>
        <w:tc>
          <w:tcPr>
            <w:tcW w:type="dxa" w:w="2880"/>
          </w:tcPr>
          <w:p>
            <w:r>
              <w:t>Bradycardia</w:t>
            </w:r>
          </w:p>
        </w:tc>
        <w:tc>
          <w:tcPr>
            <w:tcW w:type="dxa" w:w="2880"/>
          </w:tcPr>
          <w:p>
            <w:r>
              <w:t>HR &lt; 40 bpm</w:t>
            </w:r>
          </w:p>
        </w:tc>
        <w:tc>
          <w:tcPr>
            <w:tcW w:type="dxa" w:w="2880"/>
          </w:tcPr>
          <w:p>
            <w:r>
              <w:t>Risk → max(pred, 0.6)</w:t>
            </w:r>
          </w:p>
        </w:tc>
      </w:tr>
      <w:tr>
        <w:tc>
          <w:tcPr>
            <w:tcW w:type="dxa" w:w="2880"/>
          </w:tcPr>
          <w:p>
            <w:r>
              <w:t>Unstable Tachycardia</w:t>
            </w:r>
          </w:p>
        </w:tc>
        <w:tc>
          <w:tcPr>
            <w:tcW w:type="dxa" w:w="2880"/>
          </w:tcPr>
          <w:p>
            <w:r>
              <w:t>HR &gt; 150 + SBP &lt; 90</w:t>
            </w:r>
          </w:p>
        </w:tc>
        <w:tc>
          <w:tcPr>
            <w:tcW w:type="dxa" w:w="2880"/>
          </w:tcPr>
          <w:p>
            <w:r>
              <w:t>Risk → max(pred, 0.7)</w:t>
            </w:r>
          </w:p>
        </w:tc>
      </w:tr>
    </w:tbl>
    <w:p/>
    <w:p>
      <w:pPr>
        <w:pStyle w:val="Heading2"/>
      </w:pPr>
      <w:r>
        <w:t>5.3 Deployment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AUROC</w:t>
            </w:r>
          </w:p>
        </w:tc>
        <w:tc>
          <w:tcPr>
            <w:tcW w:type="dxa" w:w="4320"/>
          </w:tcPr>
          <w:p>
            <w:r>
              <w:t>0.964</w:t>
            </w:r>
          </w:p>
        </w:tc>
      </w:tr>
      <w:tr>
        <w:tc>
          <w:tcPr>
            <w:tcW w:type="dxa" w:w="4320"/>
          </w:tcPr>
          <w:p>
            <w:r>
              <w:t>AUPRC</w:t>
            </w:r>
          </w:p>
        </w:tc>
        <w:tc>
          <w:tcPr>
            <w:tcW w:type="dxa" w:w="4320"/>
          </w:tcPr>
          <w:p>
            <w:r>
              <w:t>0.940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0.918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84.8%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96.7%</w:t>
            </w:r>
          </w:p>
        </w:tc>
      </w:tr>
      <w:tr>
        <w:tc>
          <w:tcPr>
            <w:tcW w:type="dxa" w:w="4320"/>
          </w:tcPr>
          <w:p>
            <w:r>
              <w:t>Brier Score</w:t>
            </w:r>
          </w:p>
        </w:tc>
        <w:tc>
          <w:tcPr>
            <w:tcW w:type="dxa" w:w="4320"/>
          </w:tcPr>
          <w:p>
            <w:r>
              <w:t>0.030</w:t>
            </w:r>
          </w:p>
        </w:tc>
      </w:tr>
    </w:tbl>
    <w:p/>
    <w:p>
      <w:pPr>
        <w:pStyle w:val="Heading2"/>
      </w:pPr>
      <w:r>
        <w:t>5.4 Confusion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Negative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Positive</w:t>
            </w:r>
          </w:p>
        </w:tc>
      </w:tr>
      <w:tr>
        <w:tc>
          <w:tcPr>
            <w:tcW w:type="dxa" w:w="2880"/>
          </w:tcPr>
          <w:p>
            <w:r>
              <w:t>Actual Negative</w:t>
            </w:r>
          </w:p>
        </w:tc>
        <w:tc>
          <w:tcPr>
            <w:tcW w:type="dxa" w:w="2880"/>
          </w:tcPr>
          <w:p>
            <w:r>
              <w:t>1358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 Positive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318</w:t>
            </w:r>
          </w:p>
        </w:tc>
      </w:tr>
    </w:tbl>
    <w:p/>
    <w:p>
      <w:pPr>
        <w:pStyle w:val="Heading2"/>
      </w:pPr>
      <w:r>
        <w:t>5.5 Uncertainty Statistics</w:t>
      </w:r>
    </w:p>
    <w:p>
      <w:r>
        <w:t>Mean uncertainty: 0.114</w:t>
        <w:br/>
        <w:t>Std uncertainty: 0.016</w:t>
        <w:br/>
        <w:t>High variance patients: 0</w:t>
      </w:r>
    </w:p>
    <w:p>
      <w:pPr>
        <w:pStyle w:val="Heading2"/>
      </w:pPr>
      <w:r>
        <w:t>5.6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45664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i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7: Deployment XAI Dashboard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4038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3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8: ROC Curve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6471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certainty_quant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7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9: Uncertainty Analysis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081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_layer_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10: Safety Layer Analysis</w:t>
      </w:r>
    </w:p>
    <w:p/>
    <w:p>
      <w:r>
        <w:br w:type="page"/>
      </w:r>
    </w:p>
    <w:p>
      <w:pPr>
        <w:pStyle w:val="Heading1"/>
      </w:pPr>
      <w:r>
        <w:t>6. Conclusions</w:t>
      </w:r>
    </w:p>
    <w:p>
      <w:pPr>
        <w:pStyle w:val="Heading2"/>
      </w:pPr>
      <w:r>
        <w:t>6.1 Summary of Achievements</w:t>
      </w:r>
    </w:p>
    <w:p>
      <w:r>
        <w:t>• Successfully implemented Liquid Mamba + GAT architecture for ICU mortality prediction</w:t>
        <w:br/>
        <w:t>• Achieved excellent discrimination (AUROC &gt; 0.92) on both training and deployment</w:t>
        <w:br/>
        <w:t>• Implemented comprehensive XAI with counterfactual explanations</w:t>
        <w:br/>
        <w:t>• Deployed safety layer with 100% precision for critical override decisions</w:t>
        <w:br/>
        <w:t>• Generated uncertainty-aware predictions with Monte Carlo Dropout</w:t>
      </w:r>
    </w:p>
    <w:p>
      <w:pPr>
        <w:pStyle w:val="Heading2"/>
      </w:pPr>
      <w:r>
        <w:t>6.2 Clinical Implications</w:t>
      </w:r>
    </w:p>
    <w:p>
      <w:r>
        <w:t>The system provides clinicians with:</w:t>
        <w:br/>
        <w:br/>
        <w:t>1. Risk stratification: Identify high-risk patients early</w:t>
        <w:br/>
        <w:t>2. Uncertainty quantification: Know when predictions are unreliable</w:t>
        <w:br/>
        <w:t>3. Explainability: Understand what factors drive predictions</w:t>
        <w:br/>
        <w:t>4. Safety guardrails: Prevent dangerous recommendations</w:t>
      </w:r>
    </w:p>
    <w:p>
      <w:pPr>
        <w:pStyle w:val="Heading2"/>
      </w:pPr>
      <w:r>
        <w:t>6.3 Future Work</w:t>
      </w:r>
    </w:p>
    <w:p>
      <w:r>
        <w:t>• Phase 3: Human-in-the-loop learning with clinician feedback</w:t>
        <w:br/>
        <w:t>• Phase 4: Continual knowledge base updating</w:t>
        <w:br/>
        <w:t>• Phase 5: Multi-site validation across different hospitals</w:t>
        <w:br/>
        <w:t>• Phase 6: Real-time deployment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