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C5F8A"/>
          <w:sz w:val="22"/>
          <w:szCs w:val="22"/>
        </w:rPr>
        <w:t xml:space="preserve">Week 2 Task</w:t>
      </w:r>
    </w:p>
    <w:p>
      <w:pPr>
        <w:spacing w:after="40"/>
        <w:jc w:val="center"/>
      </w:pPr>
      <w:r>
        <w:rPr>
          <w:b/>
          <w:bCs/>
          <w:color w:val="1a3a52"/>
          <w:sz w:val="36"/>
          <w:szCs w:val="36"/>
        </w:rPr>
        <w:t xml:space="preserve">Exploratory Data Analysis (EDA) and Visualization Framework Design</w:t>
      </w:r>
    </w:p>
    <w:p>
      <w:pPr>
        <w:spacing w:after="60"/>
        <w:jc w:val="center"/>
      </w:pPr>
      <w:r>
        <w:rPr>
          <w:i/>
          <w:iCs/>
          <w:color w:val="2C5F8A"/>
          <w:sz w:val="24"/>
          <w:szCs w:val="24"/>
        </w:rPr>
        <w:t xml:space="preserve">Project: Customer Churn Prediction for a Telecom Company</w:t>
      </w:r>
    </w:p>
    <w:p>
      <w:pPr>
        <w:pBdr>
          <w:bottom w:val="single" w:color="2C5F8A" w:sz="6" w:space="8"/>
        </w:pBdr>
        <w:spacing w:after="300"/>
        <w:jc w:val="center"/>
      </w:pPr>
      <w:r>
        <w:rPr>
          <w:color w:val="555555"/>
          <w:sz w:val="20"/>
          <w:szCs w:val="20"/>
        </w:rPr>
        <w:t xml:space="preserve">Virtual Data Science Explorer Internship – YuvaIntern</w:t>
      </w:r>
    </w:p>
    <w:p>
      <w:pPr>
        <w:pStyle w:val="Heading1"/>
        <w:spacing w:after="160" w:before="320"/>
      </w:pPr>
      <w:r>
        <w:rPr>
          <w:b/>
          <w:bCs/>
          <w:color w:val="1a3a52"/>
          <w:sz w:val="30"/>
          <w:szCs w:val="30"/>
        </w:rPr>
        <w:t xml:space="preserve">1. Introduction to Exploratory Data Analysis</w:t>
      </w:r>
    </w:p>
    <w:p>
      <w:pPr>
        <w:spacing w:after="160" w:line="300"/>
      </w:pPr>
      <w:r>
        <w:rPr>
          <w:sz w:val="22"/>
          <w:szCs w:val="22"/>
        </w:rPr>
        <w:t xml:space="preserve">Exploratory Data Analysis (EDA) is the process of investigating a dataset to summarize its main characteristics, uncover patterns, spot anomalies, and test underlying assumptions — primarily through summary statistics and visualizations, before any formal modeling begins. In a data science project such as this one (predicting customer churn for a telecom company), EDA is the bridge between raw, messy data and a trustworthy predictive model: it reveals which features actually relate to churn, exposes data-quality issues that would otherwise silently corrupt a model, and builds the analyst's intuition for the business problem.</w:t>
      </w:r>
    </w:p>
    <w:p>
      <w:pPr>
        <w:spacing w:after="160" w:line="300"/>
      </w:pPr>
      <w:r>
        <w:rPr>
          <w:sz w:val="22"/>
          <w:szCs w:val="22"/>
        </w:rPr>
        <w:t xml:space="preserve">This report outlines the full EDA and visualization framework I would apply to the (not-yet-provided) churn dataset — covering the data types expected, the exploration techniques for each, the visualization strategy with concrete chart choices, the tools involved, and how findings would be documented and reported.</w:t>
      </w:r>
    </w:p>
    <w:p>
      <w:pPr>
        <w:spacing w:after="60" w:before="120"/>
        <w:jc w:val="center"/>
      </w:pPr>
      <w:r>
        <w:drawing>
          <wp:inline distT="0" distB="0" distL="0" distR="0">
            <wp:extent cx="5524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771650"/>
                    </a:xfrm>
                    <a:prstGeom prst="rect">
                      <a:avLst/>
                    </a:prstGeom>
                  </pic:spPr>
                </pic:pic>
              </a:graphicData>
            </a:graphic>
          </wp:inline>
        </w:drawing>
      </w:r>
    </w:p>
    <w:p>
      <w:pPr>
        <w:spacing w:after="240"/>
        <w:jc w:val="center"/>
      </w:pPr>
      <w:r>
        <w:rPr>
          <w:i/>
          <w:iCs/>
          <w:color w:val="555555"/>
          <w:sz w:val="18"/>
          <w:szCs w:val="18"/>
        </w:rPr>
        <w:t xml:space="preserve">Figure 1: The EDA framework applied in this project, from data profiling to reporting</w:t>
      </w:r>
    </w:p>
    <w:p>
      <w:pPr>
        <w:pStyle w:val="Heading1"/>
        <w:spacing w:after="160" w:before="320"/>
      </w:pPr>
      <w:r>
        <w:rPr>
          <w:b/>
          <w:bCs/>
          <w:color w:val="1a3a52"/>
          <w:sz w:val="30"/>
          <w:szCs w:val="30"/>
        </w:rPr>
        <w:t xml:space="preserve">2. Potential Data Types</w:t>
      </w:r>
    </w:p>
    <w:p>
      <w:pPr>
        <w:spacing w:after="160" w:line="300"/>
      </w:pPr>
      <w:r>
        <w:rPr>
          <w:sz w:val="22"/>
          <w:szCs w:val="22"/>
        </w:rPr>
        <w:t xml:space="preserve">Before analysis begins, every column is profiled and typed correctly — mis-typed data (e.g., a numeric field stored as text) is one of the most common causes of broken EDA. For a telecom churn dataset, the expected data types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rPr>
          <w:tblHeader/>
        </w:trPr>
        <w:tc>
          <w:tcPr>
            <w:tcW w:type="dxa" w:w="2600"/>
            <w:shd w:fill="2C5F8A" w:val="clear"/>
            <w:tcMar>
              <w:top w:type="dxa" w:w="80"/>
              <w:left w:type="dxa" w:w="100"/>
              <w:bottom w:type="dxa" w:w="80"/>
              <w:right w:type="dxa" w:w="100"/>
            </w:tcMar>
          </w:tcPr>
          <w:p>
            <w:r>
              <w:rPr>
                <w:b/>
                <w:bCs/>
                <w:color w:val="FFFFFF"/>
                <w:sz w:val="20"/>
                <w:szCs w:val="20"/>
              </w:rPr>
              <w:t xml:space="preserve">Data Type</w:t>
            </w:r>
          </w:p>
        </w:tc>
        <w:tc>
          <w:tcPr>
            <w:tcW w:type="dxa" w:w="4200"/>
            <w:shd w:fill="2C5F8A" w:val="clear"/>
            <w:tcMar>
              <w:top w:type="dxa" w:w="80"/>
              <w:left w:type="dxa" w:w="100"/>
              <w:bottom w:type="dxa" w:w="80"/>
              <w:right w:type="dxa" w:w="100"/>
            </w:tcMar>
          </w:tcPr>
          <w:p>
            <w:r>
              <w:rPr>
                <w:b/>
                <w:bCs/>
                <w:color w:val="FFFFFF"/>
                <w:sz w:val="20"/>
                <w:szCs w:val="20"/>
              </w:rPr>
              <w:t xml:space="preserve">Examples in the Churn Dataset</w:t>
            </w:r>
          </w:p>
        </w:tc>
        <w:tc>
          <w:tcPr>
            <w:tcW w:type="dxa" w:w="2200"/>
            <w:shd w:fill="2C5F8A" w:val="clear"/>
            <w:tcMar>
              <w:top w:type="dxa" w:w="80"/>
              <w:left w:type="dxa" w:w="100"/>
              <w:bottom w:type="dxa" w:w="80"/>
              <w:right w:type="dxa" w:w="100"/>
            </w:tcMar>
          </w:tcPr>
          <w:p>
            <w:r>
              <w:rPr>
                <w:b/>
                <w:bCs/>
                <w:color w:val="FFFFFF"/>
                <w:sz w:val="20"/>
                <w:szCs w:val="20"/>
              </w:rPr>
              <w:t xml:space="preserve">Typical pandas dtype</w:t>
            </w:r>
          </w:p>
        </w:tc>
      </w:tr>
      <w:tr>
        <w:trPr>
          <w:tblHeader w:val="false"/>
        </w:trPr>
        <w:tc>
          <w:tcPr>
            <w:tcW w:type="dxa" w:w="2600"/>
            <w:tcMar>
              <w:top w:type="dxa" w:w="80"/>
              <w:left w:type="dxa" w:w="100"/>
              <w:bottom w:type="dxa" w:w="80"/>
              <w:right w:type="dxa" w:w="100"/>
            </w:tcMar>
          </w:tcPr>
          <w:p>
            <w:r>
              <w:rPr>
                <w:b w:val="false"/>
                <w:bCs w:val="false"/>
                <w:color w:val="000000"/>
                <w:sz w:val="20"/>
                <w:szCs w:val="20"/>
              </w:rPr>
              <w:t xml:space="preserve">Numerical – Continuous</w:t>
            </w:r>
          </w:p>
        </w:tc>
        <w:tc>
          <w:tcPr>
            <w:tcW w:type="dxa" w:w="4200"/>
            <w:tcMar>
              <w:top w:type="dxa" w:w="80"/>
              <w:left w:type="dxa" w:w="100"/>
              <w:bottom w:type="dxa" w:w="80"/>
              <w:right w:type="dxa" w:w="100"/>
            </w:tcMar>
          </w:tcPr>
          <w:p>
            <w:r>
              <w:rPr>
                <w:b w:val="false"/>
                <w:bCs w:val="false"/>
                <w:color w:val="000000"/>
                <w:sz w:val="20"/>
                <w:szCs w:val="20"/>
              </w:rPr>
              <w:t xml:space="preserve">MonthlyCharges, TotalCharges, TenureMonths</w:t>
            </w:r>
          </w:p>
        </w:tc>
        <w:tc>
          <w:tcPr>
            <w:tcW w:type="dxa" w:w="2200"/>
            <w:tcMar>
              <w:top w:type="dxa" w:w="80"/>
              <w:left w:type="dxa" w:w="100"/>
              <w:bottom w:type="dxa" w:w="80"/>
              <w:right w:type="dxa" w:w="100"/>
            </w:tcMar>
          </w:tcPr>
          <w:p>
            <w:r>
              <w:rPr>
                <w:b w:val="false"/>
                <w:bCs w:val="false"/>
                <w:color w:val="000000"/>
                <w:sz w:val="20"/>
                <w:szCs w:val="20"/>
              </w:rPr>
              <w:t xml:space="preserve">float64</w:t>
            </w:r>
          </w:p>
        </w:tc>
      </w:tr>
      <w:tr>
        <w:trPr>
          <w:tblHeader w:val="false"/>
        </w:trPr>
        <w:tc>
          <w:tcPr>
            <w:tcW w:type="dxa" w:w="2600"/>
            <w:tcMar>
              <w:top w:type="dxa" w:w="80"/>
              <w:left w:type="dxa" w:w="100"/>
              <w:bottom w:type="dxa" w:w="80"/>
              <w:right w:type="dxa" w:w="100"/>
            </w:tcMar>
          </w:tcPr>
          <w:p>
            <w:r>
              <w:rPr>
                <w:b w:val="false"/>
                <w:bCs w:val="false"/>
                <w:color w:val="000000"/>
                <w:sz w:val="20"/>
                <w:szCs w:val="20"/>
              </w:rPr>
              <w:t xml:space="preserve">Numerical – Discrete</w:t>
            </w:r>
          </w:p>
        </w:tc>
        <w:tc>
          <w:tcPr>
            <w:tcW w:type="dxa" w:w="4200"/>
            <w:tcMar>
              <w:top w:type="dxa" w:w="80"/>
              <w:left w:type="dxa" w:w="100"/>
              <w:bottom w:type="dxa" w:w="80"/>
              <w:right w:type="dxa" w:w="100"/>
            </w:tcMar>
          </w:tcPr>
          <w:p>
            <w:r>
              <w:rPr>
                <w:b w:val="false"/>
                <w:bCs w:val="false"/>
                <w:color w:val="000000"/>
                <w:sz w:val="20"/>
                <w:szCs w:val="20"/>
              </w:rPr>
              <w:t xml:space="preserve">NumSupportTickets, NumServices</w:t>
            </w:r>
          </w:p>
        </w:tc>
        <w:tc>
          <w:tcPr>
            <w:tcW w:type="dxa" w:w="2200"/>
            <w:tcMar>
              <w:top w:type="dxa" w:w="80"/>
              <w:left w:type="dxa" w:w="100"/>
              <w:bottom w:type="dxa" w:w="80"/>
              <w:right w:type="dxa" w:w="100"/>
            </w:tcMar>
          </w:tcPr>
          <w:p>
            <w:r>
              <w:rPr>
                <w:b w:val="false"/>
                <w:bCs w:val="false"/>
                <w:color w:val="000000"/>
                <w:sz w:val="20"/>
                <w:szCs w:val="20"/>
              </w:rPr>
              <w:t xml:space="preserve">int64</w:t>
            </w:r>
          </w:p>
        </w:tc>
      </w:tr>
      <w:tr>
        <w:trPr>
          <w:tblHeader w:val="false"/>
        </w:trPr>
        <w:tc>
          <w:tcPr>
            <w:tcW w:type="dxa" w:w="2600"/>
            <w:tcMar>
              <w:top w:type="dxa" w:w="80"/>
              <w:left w:type="dxa" w:w="100"/>
              <w:bottom w:type="dxa" w:w="80"/>
              <w:right w:type="dxa" w:w="100"/>
            </w:tcMar>
          </w:tcPr>
          <w:p>
            <w:r>
              <w:rPr>
                <w:b w:val="false"/>
                <w:bCs w:val="false"/>
                <w:color w:val="000000"/>
                <w:sz w:val="20"/>
                <w:szCs w:val="20"/>
              </w:rPr>
              <w:t xml:space="preserve">Categorical – Nominal</w:t>
            </w:r>
          </w:p>
        </w:tc>
        <w:tc>
          <w:tcPr>
            <w:tcW w:type="dxa" w:w="4200"/>
            <w:tcMar>
              <w:top w:type="dxa" w:w="80"/>
              <w:left w:type="dxa" w:w="100"/>
              <w:bottom w:type="dxa" w:w="80"/>
              <w:right w:type="dxa" w:w="100"/>
            </w:tcMar>
          </w:tcPr>
          <w:p>
            <w:r>
              <w:rPr>
                <w:b w:val="false"/>
                <w:bCs w:val="false"/>
                <w:color w:val="000000"/>
                <w:sz w:val="20"/>
                <w:szCs w:val="20"/>
              </w:rPr>
              <w:t xml:space="preserve">ContractType, PaymentMethod, InternetService</w:t>
            </w:r>
          </w:p>
        </w:tc>
        <w:tc>
          <w:tcPr>
            <w:tcW w:type="dxa" w:w="2200"/>
            <w:tcMar>
              <w:top w:type="dxa" w:w="80"/>
              <w:left w:type="dxa" w:w="100"/>
              <w:bottom w:type="dxa" w:w="80"/>
              <w:right w:type="dxa" w:w="100"/>
            </w:tcMar>
          </w:tcPr>
          <w:p>
            <w:r>
              <w:rPr>
                <w:b w:val="false"/>
                <w:bCs w:val="false"/>
                <w:color w:val="000000"/>
                <w:sz w:val="20"/>
                <w:szCs w:val="20"/>
              </w:rPr>
              <w:t xml:space="preserve">object / category</w:t>
            </w:r>
          </w:p>
        </w:tc>
      </w:tr>
      <w:tr>
        <w:trPr>
          <w:tblHeader w:val="false"/>
        </w:trPr>
        <w:tc>
          <w:tcPr>
            <w:tcW w:type="dxa" w:w="2600"/>
            <w:tcMar>
              <w:top w:type="dxa" w:w="80"/>
              <w:left w:type="dxa" w:w="100"/>
              <w:bottom w:type="dxa" w:w="80"/>
              <w:right w:type="dxa" w:w="100"/>
            </w:tcMar>
          </w:tcPr>
          <w:p>
            <w:r>
              <w:rPr>
                <w:b w:val="false"/>
                <w:bCs w:val="false"/>
                <w:color w:val="000000"/>
                <w:sz w:val="20"/>
                <w:szCs w:val="20"/>
              </w:rPr>
              <w:t xml:space="preserve">Categorical – Ordinal</w:t>
            </w:r>
          </w:p>
        </w:tc>
        <w:tc>
          <w:tcPr>
            <w:tcW w:type="dxa" w:w="4200"/>
            <w:tcMar>
              <w:top w:type="dxa" w:w="80"/>
              <w:left w:type="dxa" w:w="100"/>
              <w:bottom w:type="dxa" w:w="80"/>
              <w:right w:type="dxa" w:w="100"/>
            </w:tcMar>
          </w:tcPr>
          <w:p>
            <w:r>
              <w:rPr>
                <w:b w:val="false"/>
                <w:bCs w:val="false"/>
                <w:color w:val="000000"/>
                <w:sz w:val="20"/>
                <w:szCs w:val="20"/>
              </w:rPr>
              <w:t xml:space="preserve">SatisfactionRating (Low/Medium/High)</w:t>
            </w:r>
          </w:p>
        </w:tc>
        <w:tc>
          <w:tcPr>
            <w:tcW w:type="dxa" w:w="2200"/>
            <w:tcMar>
              <w:top w:type="dxa" w:w="80"/>
              <w:left w:type="dxa" w:w="100"/>
              <w:bottom w:type="dxa" w:w="80"/>
              <w:right w:type="dxa" w:w="100"/>
            </w:tcMar>
          </w:tcPr>
          <w:p>
            <w:r>
              <w:rPr>
                <w:b w:val="false"/>
                <w:bCs w:val="false"/>
                <w:color w:val="000000"/>
                <w:sz w:val="20"/>
                <w:szCs w:val="20"/>
              </w:rPr>
              <w:t xml:space="preserve">category (ordered)</w:t>
            </w:r>
          </w:p>
        </w:tc>
      </w:tr>
      <w:tr>
        <w:trPr>
          <w:tblHeader w:val="false"/>
        </w:trPr>
        <w:tc>
          <w:tcPr>
            <w:tcW w:type="dxa" w:w="2600"/>
            <w:tcMar>
              <w:top w:type="dxa" w:w="80"/>
              <w:left w:type="dxa" w:w="100"/>
              <w:bottom w:type="dxa" w:w="80"/>
              <w:right w:type="dxa" w:w="100"/>
            </w:tcMar>
          </w:tcPr>
          <w:p>
            <w:r>
              <w:rPr>
                <w:b w:val="false"/>
                <w:bCs w:val="false"/>
                <w:color w:val="000000"/>
                <w:sz w:val="20"/>
                <w:szCs w:val="20"/>
              </w:rPr>
              <w:t xml:space="preserve">Binary / Boolean</w:t>
            </w:r>
          </w:p>
        </w:tc>
        <w:tc>
          <w:tcPr>
            <w:tcW w:type="dxa" w:w="4200"/>
            <w:tcMar>
              <w:top w:type="dxa" w:w="80"/>
              <w:left w:type="dxa" w:w="100"/>
              <w:bottom w:type="dxa" w:w="80"/>
              <w:right w:type="dxa" w:w="100"/>
            </w:tcMar>
          </w:tcPr>
          <w:p>
            <w:r>
              <w:rPr>
                <w:b w:val="false"/>
                <w:bCs w:val="false"/>
                <w:color w:val="000000"/>
                <w:sz w:val="20"/>
                <w:szCs w:val="20"/>
              </w:rPr>
              <w:t xml:space="preserve">Churned (Yes/No), SeniorCitizen, Partner</w:t>
            </w:r>
          </w:p>
        </w:tc>
        <w:tc>
          <w:tcPr>
            <w:tcW w:type="dxa" w:w="2200"/>
            <w:tcMar>
              <w:top w:type="dxa" w:w="80"/>
              <w:left w:type="dxa" w:w="100"/>
              <w:bottom w:type="dxa" w:w="80"/>
              <w:right w:type="dxa" w:w="100"/>
            </w:tcMar>
          </w:tcPr>
          <w:p>
            <w:r>
              <w:rPr>
                <w:b w:val="false"/>
                <w:bCs w:val="false"/>
                <w:color w:val="000000"/>
                <w:sz w:val="20"/>
                <w:szCs w:val="20"/>
              </w:rPr>
              <w:t xml:space="preserve">bool / object</w:t>
            </w:r>
          </w:p>
        </w:tc>
      </w:tr>
      <w:tr>
        <w:trPr>
          <w:tblHeader w:val="false"/>
        </w:trPr>
        <w:tc>
          <w:tcPr>
            <w:tcW w:type="dxa" w:w="2600"/>
            <w:tcMar>
              <w:top w:type="dxa" w:w="80"/>
              <w:left w:type="dxa" w:w="100"/>
              <w:bottom w:type="dxa" w:w="80"/>
              <w:right w:type="dxa" w:w="100"/>
            </w:tcMar>
          </w:tcPr>
          <w:p>
            <w:r>
              <w:rPr>
                <w:b w:val="false"/>
                <w:bCs w:val="false"/>
                <w:color w:val="000000"/>
                <w:sz w:val="20"/>
                <w:szCs w:val="20"/>
              </w:rPr>
              <w:t xml:space="preserve">Datetime</w:t>
            </w:r>
          </w:p>
        </w:tc>
        <w:tc>
          <w:tcPr>
            <w:tcW w:type="dxa" w:w="4200"/>
            <w:tcMar>
              <w:top w:type="dxa" w:w="80"/>
              <w:left w:type="dxa" w:w="100"/>
              <w:bottom w:type="dxa" w:w="80"/>
              <w:right w:type="dxa" w:w="100"/>
            </w:tcMar>
          </w:tcPr>
          <w:p>
            <w:r>
              <w:rPr>
                <w:b w:val="false"/>
                <w:bCs w:val="false"/>
                <w:color w:val="000000"/>
                <w:sz w:val="20"/>
                <w:szCs w:val="20"/>
              </w:rPr>
              <w:t xml:space="preserve">SignupDate, LastBillingDate</w:t>
            </w:r>
          </w:p>
        </w:tc>
        <w:tc>
          <w:tcPr>
            <w:tcW w:type="dxa" w:w="2200"/>
            <w:tcMar>
              <w:top w:type="dxa" w:w="80"/>
              <w:left w:type="dxa" w:w="100"/>
              <w:bottom w:type="dxa" w:w="80"/>
              <w:right w:type="dxa" w:w="100"/>
            </w:tcMar>
          </w:tcPr>
          <w:p>
            <w:r>
              <w:rPr>
                <w:b w:val="false"/>
                <w:bCs w:val="false"/>
                <w:color w:val="000000"/>
                <w:sz w:val="20"/>
                <w:szCs w:val="20"/>
              </w:rPr>
              <w:t xml:space="preserve">datetime64</w:t>
            </w:r>
          </w:p>
        </w:tc>
      </w:tr>
    </w:tbl>
    <w:p>
      <w:r>
        <w:br w:type="page"/>
      </w:r>
    </w:p>
    <w:p>
      <w:pPr>
        <w:pStyle w:val="Heading1"/>
        <w:spacing w:after="160" w:before="320"/>
      </w:pPr>
      <w:r>
        <w:rPr>
          <w:b/>
          <w:bCs/>
          <w:color w:val="1a3a52"/>
          <w:sz w:val="30"/>
          <w:szCs w:val="30"/>
        </w:rPr>
        <w:t xml:space="preserve">3. Data Exploration Techniques</w:t>
      </w:r>
    </w:p>
    <w:p>
      <w:pPr>
        <w:spacing w:after="160" w:line="300"/>
      </w:pPr>
      <w:r>
        <w:rPr>
          <w:sz w:val="22"/>
          <w:szCs w:val="22"/>
        </w:rPr>
        <w:t xml:space="preserve">Exploration proceeds in increasing order of complexity — from single variables, to pairs of variables, to the full multivariate picture — alongside dedicated checks for data-quality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2C5F8A" w:val="clear"/>
            <w:tcMar>
              <w:top w:type="dxa" w:w="80"/>
              <w:left w:type="dxa" w:w="100"/>
              <w:bottom w:type="dxa" w:w="80"/>
              <w:right w:type="dxa" w:w="100"/>
            </w:tcMar>
          </w:tcPr>
          <w:p>
            <w:r>
              <w:rPr>
                <w:b/>
                <w:bCs/>
                <w:color w:val="FFFFFF"/>
                <w:sz w:val="20"/>
                <w:szCs w:val="20"/>
              </w:rPr>
              <w:t xml:space="preserve">Technique</w:t>
            </w:r>
          </w:p>
        </w:tc>
        <w:tc>
          <w:tcPr>
            <w:tcW w:type="dxa" w:w="3400"/>
            <w:shd w:fill="2C5F8A" w:val="clear"/>
            <w:tcMar>
              <w:top w:type="dxa" w:w="80"/>
              <w:left w:type="dxa" w:w="100"/>
              <w:bottom w:type="dxa" w:w="80"/>
              <w:right w:type="dxa" w:w="100"/>
            </w:tcMar>
          </w:tcPr>
          <w:p>
            <w:r>
              <w:rPr>
                <w:b/>
                <w:bCs/>
                <w:color w:val="FFFFFF"/>
                <w:sz w:val="20"/>
                <w:szCs w:val="20"/>
              </w:rPr>
              <w:t xml:space="preserve">What It Examines</w:t>
            </w:r>
          </w:p>
        </w:tc>
        <w:tc>
          <w:tcPr>
            <w:tcW w:type="dxa" w:w="3400"/>
            <w:shd w:fill="2C5F8A" w:val="clear"/>
            <w:tcMar>
              <w:top w:type="dxa" w:w="80"/>
              <w:left w:type="dxa" w:w="100"/>
              <w:bottom w:type="dxa" w:w="80"/>
              <w:right w:type="dxa" w:w="100"/>
            </w:tcMar>
          </w:tcPr>
          <w:p>
            <w:r>
              <w:rPr>
                <w:b/>
                <w:bCs/>
                <w:color w:val="FFFFFF"/>
                <w:sz w:val="20"/>
                <w:szCs w:val="20"/>
              </w:rPr>
              <w:t xml:space="preserve">Example Methods</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Univariate Analysis</w:t>
            </w:r>
          </w:p>
        </w:tc>
        <w:tc>
          <w:tcPr>
            <w:tcW w:type="dxa" w:w="3400"/>
            <w:tcMar>
              <w:top w:type="dxa" w:w="80"/>
              <w:left w:type="dxa" w:w="100"/>
              <w:bottom w:type="dxa" w:w="80"/>
              <w:right w:type="dxa" w:w="100"/>
            </w:tcMar>
          </w:tcPr>
          <w:p>
            <w:r>
              <w:rPr>
                <w:b w:val="false"/>
                <w:bCs w:val="false"/>
                <w:color w:val="000000"/>
                <w:sz w:val="20"/>
                <w:szCs w:val="20"/>
              </w:rPr>
              <w:t xml:space="preserve">Distribution and spread of a single variable</w:t>
            </w:r>
          </w:p>
        </w:tc>
        <w:tc>
          <w:tcPr>
            <w:tcW w:type="dxa" w:w="3400"/>
            <w:tcMar>
              <w:top w:type="dxa" w:w="80"/>
              <w:left w:type="dxa" w:w="100"/>
              <w:bottom w:type="dxa" w:w="80"/>
              <w:right w:type="dxa" w:w="100"/>
            </w:tcMar>
          </w:tcPr>
          <w:p>
            <w:r>
              <w:rPr>
                <w:b w:val="false"/>
                <w:bCs w:val="false"/>
                <w:color w:val="000000"/>
                <w:sz w:val="20"/>
                <w:szCs w:val="20"/>
              </w:rPr>
              <w:t xml:space="preserve">Histograms, box plots, value_counts(), describe()</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Bivariate Analysis</w:t>
            </w:r>
          </w:p>
        </w:tc>
        <w:tc>
          <w:tcPr>
            <w:tcW w:type="dxa" w:w="3400"/>
            <w:tcMar>
              <w:top w:type="dxa" w:w="80"/>
              <w:left w:type="dxa" w:w="100"/>
              <w:bottom w:type="dxa" w:w="80"/>
              <w:right w:type="dxa" w:w="100"/>
            </w:tcMar>
          </w:tcPr>
          <w:p>
            <w:r>
              <w:rPr>
                <w:b w:val="false"/>
                <w:bCs w:val="false"/>
                <w:color w:val="000000"/>
                <w:sz w:val="20"/>
                <w:szCs w:val="20"/>
              </w:rPr>
              <w:t xml:space="preserve">Relationship between two variables (often vs. churn)</w:t>
            </w:r>
          </w:p>
        </w:tc>
        <w:tc>
          <w:tcPr>
            <w:tcW w:type="dxa" w:w="3400"/>
            <w:tcMar>
              <w:top w:type="dxa" w:w="80"/>
              <w:left w:type="dxa" w:w="100"/>
              <w:bottom w:type="dxa" w:w="80"/>
              <w:right w:type="dxa" w:w="100"/>
            </w:tcMar>
          </w:tcPr>
          <w:p>
            <w:r>
              <w:rPr>
                <w:b w:val="false"/>
                <w:bCs w:val="false"/>
                <w:color w:val="000000"/>
                <w:sz w:val="20"/>
                <w:szCs w:val="20"/>
              </w:rPr>
              <w:t xml:space="preserve">Grouped bar charts, scatter plots, crosstabs, correlation</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Multivariate Analysis</w:t>
            </w:r>
          </w:p>
        </w:tc>
        <w:tc>
          <w:tcPr>
            <w:tcW w:type="dxa" w:w="3400"/>
            <w:tcMar>
              <w:top w:type="dxa" w:w="80"/>
              <w:left w:type="dxa" w:w="100"/>
              <w:bottom w:type="dxa" w:w="80"/>
              <w:right w:type="dxa" w:w="100"/>
            </w:tcMar>
          </w:tcPr>
          <w:p>
            <w:r>
              <w:rPr>
                <w:b w:val="false"/>
                <w:bCs w:val="false"/>
                <w:color w:val="000000"/>
                <w:sz w:val="20"/>
                <w:szCs w:val="20"/>
              </w:rPr>
              <w:t xml:space="preserve">Interactions among 3+ variables simultaneously</w:t>
            </w:r>
          </w:p>
        </w:tc>
        <w:tc>
          <w:tcPr>
            <w:tcW w:type="dxa" w:w="3400"/>
            <w:tcMar>
              <w:top w:type="dxa" w:w="80"/>
              <w:left w:type="dxa" w:w="100"/>
              <w:bottom w:type="dxa" w:w="80"/>
              <w:right w:type="dxa" w:w="100"/>
            </w:tcMar>
          </w:tcPr>
          <w:p>
            <w:r>
              <w:rPr>
                <w:b w:val="false"/>
                <w:bCs w:val="false"/>
                <w:color w:val="000000"/>
                <w:sz w:val="20"/>
                <w:szCs w:val="20"/>
              </w:rPr>
              <w:t xml:space="preserve">Pair plots, heatmaps, PCA, faceted plots</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Missing Data Handling</w:t>
            </w:r>
          </w:p>
        </w:tc>
        <w:tc>
          <w:tcPr>
            <w:tcW w:type="dxa" w:w="3400"/>
            <w:tcMar>
              <w:top w:type="dxa" w:w="80"/>
              <w:left w:type="dxa" w:w="100"/>
              <w:bottom w:type="dxa" w:w="80"/>
              <w:right w:type="dxa" w:w="100"/>
            </w:tcMar>
          </w:tcPr>
          <w:p>
            <w:r>
              <w:rPr>
                <w:b w:val="false"/>
                <w:bCs w:val="false"/>
                <w:color w:val="000000"/>
                <w:sz w:val="20"/>
                <w:szCs w:val="20"/>
              </w:rPr>
              <w:t xml:space="preserve">Identify and treat null/blank values</w:t>
            </w:r>
          </w:p>
        </w:tc>
        <w:tc>
          <w:tcPr>
            <w:tcW w:type="dxa" w:w="3400"/>
            <w:tcMar>
              <w:top w:type="dxa" w:w="80"/>
              <w:left w:type="dxa" w:w="100"/>
              <w:bottom w:type="dxa" w:w="80"/>
              <w:right w:type="dxa" w:w="100"/>
            </w:tcMar>
          </w:tcPr>
          <w:p>
            <w:r>
              <w:rPr>
                <w:b w:val="false"/>
                <w:bCs w:val="false"/>
                <w:color w:val="000000"/>
                <w:sz w:val="20"/>
                <w:szCs w:val="20"/>
              </w:rPr>
              <w:t xml:space="preserve">isnull().sum(), heatmap of missingness, imputation</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Outlier Detection</w:t>
            </w:r>
          </w:p>
        </w:tc>
        <w:tc>
          <w:tcPr>
            <w:tcW w:type="dxa" w:w="3400"/>
            <w:tcMar>
              <w:top w:type="dxa" w:w="80"/>
              <w:left w:type="dxa" w:w="100"/>
              <w:bottom w:type="dxa" w:w="80"/>
              <w:right w:type="dxa" w:w="100"/>
            </w:tcMar>
          </w:tcPr>
          <w:p>
            <w:r>
              <w:rPr>
                <w:b w:val="false"/>
                <w:bCs w:val="false"/>
                <w:color w:val="000000"/>
                <w:sz w:val="20"/>
                <w:szCs w:val="20"/>
              </w:rPr>
              <w:t xml:space="preserve">Identify extreme or anomalous values</w:t>
            </w:r>
          </w:p>
        </w:tc>
        <w:tc>
          <w:tcPr>
            <w:tcW w:type="dxa" w:w="3400"/>
            <w:tcMar>
              <w:top w:type="dxa" w:w="80"/>
              <w:left w:type="dxa" w:w="100"/>
              <w:bottom w:type="dxa" w:w="80"/>
              <w:right w:type="dxa" w:w="100"/>
            </w:tcMar>
          </w:tcPr>
          <w:p>
            <w:r>
              <w:rPr>
                <w:b w:val="false"/>
                <w:bCs w:val="false"/>
                <w:color w:val="000000"/>
                <w:sz w:val="20"/>
                <w:szCs w:val="20"/>
              </w:rPr>
              <w:t xml:space="preserve">Box plots, Z-score, IQR method</w:t>
            </w:r>
          </w:p>
        </w:tc>
      </w:tr>
    </w:tbl>
    <w:p>
      <w:pPr>
        <w:pStyle w:val="Heading2"/>
        <w:spacing w:after="120" w:before="240"/>
      </w:pPr>
      <w:r>
        <w:rPr>
          <w:b/>
          <w:bCs/>
          <w:color w:val="2C5F8A"/>
          <w:sz w:val="24"/>
          <w:szCs w:val="24"/>
        </w:rPr>
        <w:t xml:space="preserve">3.1 Univariate Analysis</w:t>
      </w:r>
    </w:p>
    <w:p>
      <w:pPr>
        <w:pStyle w:val="ListParagraph"/>
        <w:numPr>
          <w:ilvl w:val="0"/>
          <w:numId w:val="2"/>
        </w:numPr>
        <w:spacing w:after="80"/>
      </w:pPr>
      <w:r>
        <w:rPr>
          <w:sz w:val="22"/>
          <w:szCs w:val="22"/>
        </w:rPr>
        <w:t xml:space="preserve">Compute summary statistics (mean, median, std, min/max, quartiles) for every numeric column using describe().</w:t>
      </w:r>
    </w:p>
    <w:p>
      <w:pPr>
        <w:pStyle w:val="ListParagraph"/>
        <w:numPr>
          <w:ilvl w:val="0"/>
          <w:numId w:val="2"/>
        </w:numPr>
        <w:spacing w:after="80"/>
      </w:pPr>
      <w:r>
        <w:rPr>
          <w:sz w:val="22"/>
          <w:szCs w:val="22"/>
        </w:rPr>
        <w:t xml:space="preserve">Plot histograms and KDE curves for continuous variables (TenureMonths, MonthlyCharges) to check skewness.</w:t>
      </w:r>
    </w:p>
    <w:p>
      <w:pPr>
        <w:pStyle w:val="ListParagraph"/>
        <w:numPr>
          <w:ilvl w:val="0"/>
          <w:numId w:val="2"/>
        </w:numPr>
        <w:spacing w:after="80"/>
      </w:pPr>
      <w:r>
        <w:rPr>
          <w:sz w:val="22"/>
          <w:szCs w:val="22"/>
        </w:rPr>
        <w:t xml:space="preserve">Use value_counts() and bar charts for categorical variables (ContractType, PaymentMethod).</w:t>
      </w:r>
    </w:p>
    <w:p>
      <w:pPr>
        <w:pStyle w:val="Heading2"/>
        <w:spacing w:after="120" w:before="240"/>
      </w:pPr>
      <w:r>
        <w:rPr>
          <w:b/>
          <w:bCs/>
          <w:color w:val="2C5F8A"/>
          <w:sz w:val="24"/>
          <w:szCs w:val="24"/>
        </w:rPr>
        <w:t xml:space="preserve">3.2 Bivariate Analysis</w:t>
      </w:r>
    </w:p>
    <w:p>
      <w:pPr>
        <w:pStyle w:val="ListParagraph"/>
        <w:numPr>
          <w:ilvl w:val="0"/>
          <w:numId w:val="2"/>
        </w:numPr>
        <w:spacing w:after="80"/>
      </w:pPr>
      <w:r>
        <w:rPr>
          <w:sz w:val="22"/>
          <w:szCs w:val="22"/>
        </w:rPr>
        <w:t xml:space="preserve">Compare each feature against the target variable (Churned) — e.g., churn rate by contract type.</w:t>
      </w:r>
    </w:p>
    <w:p>
      <w:pPr>
        <w:pStyle w:val="ListParagraph"/>
        <w:numPr>
          <w:ilvl w:val="0"/>
          <w:numId w:val="2"/>
        </w:numPr>
        <w:spacing w:after="80"/>
      </w:pPr>
      <w:r>
        <w:rPr>
          <w:sz w:val="22"/>
          <w:szCs w:val="22"/>
        </w:rPr>
        <w:t xml:space="preserve">Use grouped box plots to compare MonthlyCharges distributions between churned and retained customers.</w:t>
      </w:r>
    </w:p>
    <w:p>
      <w:pPr>
        <w:pStyle w:val="ListParagraph"/>
        <w:numPr>
          <w:ilvl w:val="0"/>
          <w:numId w:val="2"/>
        </w:numPr>
        <w:spacing w:after="80"/>
      </w:pPr>
      <w:r>
        <w:rPr>
          <w:sz w:val="22"/>
          <w:szCs w:val="22"/>
        </w:rPr>
        <w:t xml:space="preserve">Build a correlation matrix between numeric features and a point-biserial correlation against the binary churn label.</w:t>
      </w:r>
    </w:p>
    <w:p>
      <w:pPr>
        <w:pStyle w:val="Heading2"/>
        <w:spacing w:after="120" w:before="240"/>
      </w:pPr>
      <w:r>
        <w:rPr>
          <w:b/>
          <w:bCs/>
          <w:color w:val="2C5F8A"/>
          <w:sz w:val="24"/>
          <w:szCs w:val="24"/>
        </w:rPr>
        <w:t xml:space="preserve">3.3 Multivariate Analysis</w:t>
      </w:r>
    </w:p>
    <w:p>
      <w:pPr>
        <w:pStyle w:val="ListParagraph"/>
        <w:numPr>
          <w:ilvl w:val="0"/>
          <w:numId w:val="2"/>
        </w:numPr>
        <w:spacing w:after="80"/>
      </w:pPr>
      <w:r>
        <w:rPr>
          <w:sz w:val="22"/>
          <w:szCs w:val="22"/>
        </w:rPr>
        <w:t xml:space="preserve">Use a seaborn pair plot across key numeric features (tenure, charges, tickets), colored by churn status.</w:t>
      </w:r>
    </w:p>
    <w:p>
      <w:pPr>
        <w:pStyle w:val="ListParagraph"/>
        <w:numPr>
          <w:ilvl w:val="0"/>
          <w:numId w:val="2"/>
        </w:numPr>
        <w:spacing w:after="80"/>
      </w:pPr>
      <w:r>
        <w:rPr>
          <w:sz w:val="22"/>
          <w:szCs w:val="22"/>
        </w:rPr>
        <w:t xml:space="preserve">Use a correlation heatmap across all numeric features to check for multicollinearity before modeling.</w:t>
      </w:r>
    </w:p>
    <w:p>
      <w:pPr>
        <w:pStyle w:val="ListParagraph"/>
        <w:numPr>
          <w:ilvl w:val="0"/>
          <w:numId w:val="2"/>
        </w:numPr>
        <w:spacing w:after="80"/>
      </w:pPr>
      <w:r>
        <w:rPr>
          <w:sz w:val="22"/>
          <w:szCs w:val="22"/>
        </w:rPr>
        <w:t xml:space="preserve">Optionally apply PCA for a 2D visual summary of how churned vs. retained customers cluster.</w:t>
      </w:r>
    </w:p>
    <w:p>
      <w:pPr>
        <w:pStyle w:val="Heading2"/>
        <w:spacing w:after="120" w:before="240"/>
      </w:pPr>
      <w:r>
        <w:rPr>
          <w:b/>
          <w:bCs/>
          <w:color w:val="2C5F8A"/>
          <w:sz w:val="24"/>
          <w:szCs w:val="24"/>
        </w:rPr>
        <w:t xml:space="preserve">3.4 Missing Data &amp; Outlier Treatment</w:t>
      </w:r>
    </w:p>
    <w:p>
      <w:pPr>
        <w:pStyle w:val="ListParagraph"/>
        <w:numPr>
          <w:ilvl w:val="0"/>
          <w:numId w:val="2"/>
        </w:numPr>
        <w:spacing w:after="80"/>
      </w:pPr>
      <w:r>
        <w:rPr>
          <w:sz w:val="22"/>
          <w:szCs w:val="22"/>
        </w:rPr>
        <w:t xml:space="preserve">Quantify missingness per column with isnull().sum() and visualize patterns with a missingno matrix.</w:t>
      </w:r>
    </w:p>
    <w:p>
      <w:pPr>
        <w:pStyle w:val="ListParagraph"/>
        <w:numPr>
          <w:ilvl w:val="0"/>
          <w:numId w:val="2"/>
        </w:numPr>
        <w:spacing w:after="80"/>
      </w:pPr>
      <w:r>
        <w:rPr>
          <w:sz w:val="22"/>
          <w:szCs w:val="22"/>
        </w:rPr>
        <w:t xml:space="preserve">Decide a treatment per column: median/mode imputation for low-missingness numeric/categorical fields; flag-and-review for high-missingness fields.</w:t>
      </w:r>
    </w:p>
    <w:p>
      <w:pPr>
        <w:pStyle w:val="ListParagraph"/>
        <w:numPr>
          <w:ilvl w:val="0"/>
          <w:numId w:val="2"/>
        </w:numPr>
        <w:spacing w:after="80"/>
      </w:pPr>
      <w:r>
        <w:rPr>
          <w:sz w:val="22"/>
          <w:szCs w:val="22"/>
        </w:rPr>
        <w:t xml:space="preserve">Detect outliers using the IQR method and box plots; cap or review extreme values in MonthlyCharges and TotalCharges rather than dropping them outright.</w:t>
      </w:r>
    </w:p>
    <w:p>
      <w:r>
        <w:br w:type="page"/>
      </w:r>
    </w:p>
    <w:p>
      <w:pPr>
        <w:pStyle w:val="Heading1"/>
        <w:spacing w:after="160" w:before="320"/>
      </w:pPr>
      <w:r>
        <w:rPr>
          <w:b/>
          <w:bCs/>
          <w:color w:val="1a3a52"/>
          <w:sz w:val="30"/>
          <w:szCs w:val="30"/>
        </w:rPr>
        <w:t xml:space="preserve">4. Proposed Visualization Strategies</w:t>
      </w:r>
    </w:p>
    <w:p>
      <w:pPr>
        <w:spacing w:after="160" w:line="300"/>
      </w:pPr>
      <w:r>
        <w:rPr>
          <w:sz w:val="22"/>
          <w:szCs w:val="22"/>
        </w:rPr>
        <w:t xml:space="preserve">Each exploration step is paired with a specific chart type chosen for what it best reveals, rather than using one chart style everywhere: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rPr>
          <w:tblHeader/>
        </w:trPr>
        <w:tc>
          <w:tcPr>
            <w:tcW w:type="dxa" w:w="2000"/>
            <w:shd w:fill="2C5F8A" w:val="clear"/>
            <w:tcMar>
              <w:top w:type="dxa" w:w="80"/>
              <w:left w:type="dxa" w:w="100"/>
              <w:bottom w:type="dxa" w:w="80"/>
              <w:right w:type="dxa" w:w="100"/>
            </w:tcMar>
          </w:tcPr>
          <w:p>
            <w:r>
              <w:rPr>
                <w:b/>
                <w:bCs/>
                <w:color w:val="FFFFFF"/>
                <w:sz w:val="20"/>
                <w:szCs w:val="20"/>
              </w:rPr>
              <w:t xml:space="preserve">Chart Type</w:t>
            </w:r>
          </w:p>
        </w:tc>
        <w:tc>
          <w:tcPr>
            <w:tcW w:type="dxa" w:w="3600"/>
            <w:shd w:fill="2C5F8A" w:val="clear"/>
            <w:tcMar>
              <w:top w:type="dxa" w:w="80"/>
              <w:left w:type="dxa" w:w="100"/>
              <w:bottom w:type="dxa" w:w="80"/>
              <w:right w:type="dxa" w:w="100"/>
            </w:tcMar>
          </w:tcPr>
          <w:p>
            <w:r>
              <w:rPr>
                <w:b/>
                <w:bCs/>
                <w:color w:val="FFFFFF"/>
                <w:sz w:val="20"/>
                <w:szCs w:val="20"/>
              </w:rPr>
              <w:t xml:space="preserve">Best Used For</w:t>
            </w:r>
          </w:p>
        </w:tc>
        <w:tc>
          <w:tcPr>
            <w:tcW w:type="dxa" w:w="3400"/>
            <w:shd w:fill="2C5F8A" w:val="clear"/>
            <w:tcMar>
              <w:top w:type="dxa" w:w="80"/>
              <w:left w:type="dxa" w:w="100"/>
              <w:bottom w:type="dxa" w:w="80"/>
              <w:right w:type="dxa" w:w="100"/>
            </w:tcMar>
          </w:tcPr>
          <w:p>
            <w:r>
              <w:rPr>
                <w:b/>
                <w:bCs/>
                <w:color w:val="FFFFFF"/>
                <w:sz w:val="20"/>
                <w:szCs w:val="20"/>
              </w:rPr>
              <w:t xml:space="preserve">Application in This Project</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Histogram</w:t>
            </w:r>
          </w:p>
        </w:tc>
        <w:tc>
          <w:tcPr>
            <w:tcW w:type="dxa" w:w="3600"/>
            <w:tcMar>
              <w:top w:type="dxa" w:w="80"/>
              <w:left w:type="dxa" w:w="100"/>
              <w:bottom w:type="dxa" w:w="80"/>
              <w:right w:type="dxa" w:w="100"/>
            </w:tcMar>
          </w:tcPr>
          <w:p>
            <w:r>
              <w:rPr>
                <w:b w:val="false"/>
                <w:bCs w:val="false"/>
                <w:color w:val="000000"/>
                <w:sz w:val="20"/>
                <w:szCs w:val="20"/>
              </w:rPr>
              <w:t xml:space="preserve">Distribution of a single continuous variable</w:t>
            </w:r>
          </w:p>
        </w:tc>
        <w:tc>
          <w:tcPr>
            <w:tcW w:type="dxa" w:w="3400"/>
            <w:tcMar>
              <w:top w:type="dxa" w:w="80"/>
              <w:left w:type="dxa" w:w="100"/>
              <w:bottom w:type="dxa" w:w="80"/>
              <w:right w:type="dxa" w:w="100"/>
            </w:tcMar>
          </w:tcPr>
          <w:p>
            <w:r>
              <w:rPr>
                <w:b w:val="false"/>
                <w:bCs w:val="false"/>
                <w:color w:val="000000"/>
                <w:sz w:val="20"/>
                <w:szCs w:val="20"/>
              </w:rPr>
              <w:t xml:space="preserve">Distribution of TenureMonths and MonthlyCharges</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Box Plot</w:t>
            </w:r>
          </w:p>
        </w:tc>
        <w:tc>
          <w:tcPr>
            <w:tcW w:type="dxa" w:w="3600"/>
            <w:tcMar>
              <w:top w:type="dxa" w:w="80"/>
              <w:left w:type="dxa" w:w="100"/>
              <w:bottom w:type="dxa" w:w="80"/>
              <w:right w:type="dxa" w:w="100"/>
            </w:tcMar>
          </w:tcPr>
          <w:p>
            <w:r>
              <w:rPr>
                <w:b w:val="false"/>
                <w:bCs w:val="false"/>
                <w:color w:val="000000"/>
                <w:sz w:val="20"/>
                <w:szCs w:val="20"/>
              </w:rPr>
              <w:t xml:space="preserve">Spread, median, and outliers across categories</w:t>
            </w:r>
          </w:p>
        </w:tc>
        <w:tc>
          <w:tcPr>
            <w:tcW w:type="dxa" w:w="3400"/>
            <w:tcMar>
              <w:top w:type="dxa" w:w="80"/>
              <w:left w:type="dxa" w:w="100"/>
              <w:bottom w:type="dxa" w:w="80"/>
              <w:right w:type="dxa" w:w="100"/>
            </w:tcMar>
          </w:tcPr>
          <w:p>
            <w:r>
              <w:rPr>
                <w:b w:val="false"/>
                <w:bCs w:val="false"/>
                <w:color w:val="000000"/>
                <w:sz w:val="20"/>
                <w:szCs w:val="20"/>
              </w:rPr>
              <w:t xml:space="preserve">MonthlyCharges across ContractType, split by churn</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Bar Chart</w:t>
            </w:r>
          </w:p>
        </w:tc>
        <w:tc>
          <w:tcPr>
            <w:tcW w:type="dxa" w:w="3600"/>
            <w:tcMar>
              <w:top w:type="dxa" w:w="80"/>
              <w:left w:type="dxa" w:w="100"/>
              <w:bottom w:type="dxa" w:w="80"/>
              <w:right w:type="dxa" w:w="100"/>
            </w:tcMar>
          </w:tcPr>
          <w:p>
            <w:r>
              <w:rPr>
                <w:b w:val="false"/>
                <w:bCs w:val="false"/>
                <w:color w:val="000000"/>
                <w:sz w:val="20"/>
                <w:szCs w:val="20"/>
              </w:rPr>
              <w:t xml:space="preserve">Comparing counts/averages across categories</w:t>
            </w:r>
          </w:p>
        </w:tc>
        <w:tc>
          <w:tcPr>
            <w:tcW w:type="dxa" w:w="3400"/>
            <w:tcMar>
              <w:top w:type="dxa" w:w="80"/>
              <w:left w:type="dxa" w:w="100"/>
              <w:bottom w:type="dxa" w:w="80"/>
              <w:right w:type="dxa" w:w="100"/>
            </w:tcMar>
          </w:tcPr>
          <w:p>
            <w:r>
              <w:rPr>
                <w:b w:val="false"/>
                <w:bCs w:val="false"/>
                <w:color w:val="000000"/>
                <w:sz w:val="20"/>
                <w:szCs w:val="20"/>
              </w:rPr>
              <w:t xml:space="preserve">Churn rate by ContractType and PaymentMethod</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Scatter Plot</w:t>
            </w:r>
          </w:p>
        </w:tc>
        <w:tc>
          <w:tcPr>
            <w:tcW w:type="dxa" w:w="3600"/>
            <w:tcMar>
              <w:top w:type="dxa" w:w="80"/>
              <w:left w:type="dxa" w:w="100"/>
              <w:bottom w:type="dxa" w:w="80"/>
              <w:right w:type="dxa" w:w="100"/>
            </w:tcMar>
          </w:tcPr>
          <w:p>
            <w:r>
              <w:rPr>
                <w:b w:val="false"/>
                <w:bCs w:val="false"/>
                <w:color w:val="000000"/>
                <w:sz w:val="20"/>
                <w:szCs w:val="20"/>
              </w:rPr>
              <w:t xml:space="preserve">Relationship between two continuous variables</w:t>
            </w:r>
          </w:p>
        </w:tc>
        <w:tc>
          <w:tcPr>
            <w:tcW w:type="dxa" w:w="3400"/>
            <w:tcMar>
              <w:top w:type="dxa" w:w="80"/>
              <w:left w:type="dxa" w:w="100"/>
              <w:bottom w:type="dxa" w:w="80"/>
              <w:right w:type="dxa" w:w="100"/>
            </w:tcMar>
          </w:tcPr>
          <w:p>
            <w:r>
              <w:rPr>
                <w:b w:val="false"/>
                <w:bCs w:val="false"/>
                <w:color w:val="000000"/>
                <w:sz w:val="20"/>
                <w:szCs w:val="20"/>
              </w:rPr>
              <w:t xml:space="preserve">TenureMonths vs. TotalCharges, colored by churn</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Heatmap</w:t>
            </w:r>
          </w:p>
        </w:tc>
        <w:tc>
          <w:tcPr>
            <w:tcW w:type="dxa" w:w="3600"/>
            <w:tcMar>
              <w:top w:type="dxa" w:w="80"/>
              <w:left w:type="dxa" w:w="100"/>
              <w:bottom w:type="dxa" w:w="80"/>
              <w:right w:type="dxa" w:w="100"/>
            </w:tcMar>
          </w:tcPr>
          <w:p>
            <w:r>
              <w:rPr>
                <w:b w:val="false"/>
                <w:bCs w:val="false"/>
                <w:color w:val="000000"/>
                <w:sz w:val="20"/>
                <w:szCs w:val="20"/>
              </w:rPr>
              <w:t xml:space="preserve">Correlation strength across numeric features</w:t>
            </w:r>
          </w:p>
        </w:tc>
        <w:tc>
          <w:tcPr>
            <w:tcW w:type="dxa" w:w="3400"/>
            <w:tcMar>
              <w:top w:type="dxa" w:w="80"/>
              <w:left w:type="dxa" w:w="100"/>
              <w:bottom w:type="dxa" w:w="80"/>
              <w:right w:type="dxa" w:w="100"/>
            </w:tcMar>
          </w:tcPr>
          <w:p>
            <w:r>
              <w:rPr>
                <w:b w:val="false"/>
                <w:bCs w:val="false"/>
                <w:color w:val="000000"/>
                <w:sz w:val="20"/>
                <w:szCs w:val="20"/>
              </w:rPr>
              <w:t xml:space="preserve">Correlation matrix of all numeric churn features</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Pair Plot</w:t>
            </w:r>
          </w:p>
        </w:tc>
        <w:tc>
          <w:tcPr>
            <w:tcW w:type="dxa" w:w="3600"/>
            <w:tcMar>
              <w:top w:type="dxa" w:w="80"/>
              <w:left w:type="dxa" w:w="100"/>
              <w:bottom w:type="dxa" w:w="80"/>
              <w:right w:type="dxa" w:w="100"/>
            </w:tcMar>
          </w:tcPr>
          <w:p>
            <w:r>
              <w:rPr>
                <w:b w:val="false"/>
                <w:bCs w:val="false"/>
                <w:color w:val="000000"/>
                <w:sz w:val="20"/>
                <w:szCs w:val="20"/>
              </w:rPr>
              <w:t xml:space="preserve">Pairwise relationships across multiple variables at once</w:t>
            </w:r>
          </w:p>
        </w:tc>
        <w:tc>
          <w:tcPr>
            <w:tcW w:type="dxa" w:w="3400"/>
            <w:tcMar>
              <w:top w:type="dxa" w:w="80"/>
              <w:left w:type="dxa" w:w="100"/>
              <w:bottom w:type="dxa" w:w="80"/>
              <w:right w:type="dxa" w:w="100"/>
            </w:tcMar>
          </w:tcPr>
          <w:p>
            <w:r>
              <w:rPr>
                <w:b w:val="false"/>
                <w:bCs w:val="false"/>
                <w:color w:val="000000"/>
                <w:sz w:val="20"/>
                <w:szCs w:val="20"/>
              </w:rPr>
              <w:t xml:space="preserve">Multivariate view of tenure, charges, and tickets</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Line Chart</w:t>
            </w:r>
          </w:p>
        </w:tc>
        <w:tc>
          <w:tcPr>
            <w:tcW w:type="dxa" w:w="3600"/>
            <w:tcMar>
              <w:top w:type="dxa" w:w="80"/>
              <w:left w:type="dxa" w:w="100"/>
              <w:bottom w:type="dxa" w:w="80"/>
              <w:right w:type="dxa" w:w="100"/>
            </w:tcMar>
          </w:tcPr>
          <w:p>
            <w:r>
              <w:rPr>
                <w:b w:val="false"/>
                <w:bCs w:val="false"/>
                <w:color w:val="000000"/>
                <w:sz w:val="20"/>
                <w:szCs w:val="20"/>
              </w:rPr>
              <w:t xml:space="preserve">Trends over time or ordered categories</w:t>
            </w:r>
          </w:p>
        </w:tc>
        <w:tc>
          <w:tcPr>
            <w:tcW w:type="dxa" w:w="3400"/>
            <w:tcMar>
              <w:top w:type="dxa" w:w="80"/>
              <w:left w:type="dxa" w:w="100"/>
              <w:bottom w:type="dxa" w:w="80"/>
              <w:right w:type="dxa" w:w="100"/>
            </w:tcMar>
          </w:tcPr>
          <w:p>
            <w:r>
              <w:rPr>
                <w:b w:val="false"/>
                <w:bCs w:val="false"/>
                <w:color w:val="000000"/>
                <w:sz w:val="20"/>
                <w:szCs w:val="20"/>
              </w:rPr>
              <w:t xml:space="preserve">Average monthly charges trend across tenure buckets</w:t>
            </w:r>
          </w:p>
        </w:tc>
      </w:tr>
      <w:tr>
        <w:trPr>
          <w:tblHeader w:val="false"/>
        </w:trPr>
        <w:tc>
          <w:tcPr>
            <w:tcW w:type="dxa" w:w="2000"/>
            <w:tcMar>
              <w:top w:type="dxa" w:w="80"/>
              <w:left w:type="dxa" w:w="100"/>
              <w:bottom w:type="dxa" w:w="80"/>
              <w:right w:type="dxa" w:w="100"/>
            </w:tcMar>
          </w:tcPr>
          <w:p>
            <w:r>
              <w:rPr>
                <w:b w:val="false"/>
                <w:bCs w:val="false"/>
                <w:color w:val="000000"/>
                <w:sz w:val="20"/>
                <w:szCs w:val="20"/>
              </w:rPr>
              <w:t xml:space="preserve">Pie / Donut Chart</w:t>
            </w:r>
          </w:p>
        </w:tc>
        <w:tc>
          <w:tcPr>
            <w:tcW w:type="dxa" w:w="3600"/>
            <w:tcMar>
              <w:top w:type="dxa" w:w="80"/>
              <w:left w:type="dxa" w:w="100"/>
              <w:bottom w:type="dxa" w:w="80"/>
              <w:right w:type="dxa" w:w="100"/>
            </w:tcMar>
          </w:tcPr>
          <w:p>
            <w:r>
              <w:rPr>
                <w:b w:val="false"/>
                <w:bCs w:val="false"/>
                <w:color w:val="000000"/>
                <w:sz w:val="20"/>
                <w:szCs w:val="20"/>
              </w:rPr>
              <w:t xml:space="preserve">Simple proportion of a categorical variable</w:t>
            </w:r>
          </w:p>
        </w:tc>
        <w:tc>
          <w:tcPr>
            <w:tcW w:type="dxa" w:w="3400"/>
            <w:tcMar>
              <w:top w:type="dxa" w:w="80"/>
              <w:left w:type="dxa" w:w="100"/>
              <w:bottom w:type="dxa" w:w="80"/>
              <w:right w:type="dxa" w:w="100"/>
            </w:tcMar>
          </w:tcPr>
          <w:p>
            <w:r>
              <w:rPr>
                <w:b w:val="false"/>
                <w:bCs w:val="false"/>
                <w:color w:val="000000"/>
                <w:sz w:val="20"/>
                <w:szCs w:val="20"/>
              </w:rPr>
              <w:t xml:space="preserve">Overall churn vs. retained customer split</w:t>
            </w:r>
          </w:p>
        </w:tc>
      </w:tr>
    </w:tbl>
    <w:p>
      <w:pPr>
        <w:spacing w:after="160" w:line="300"/>
      </w:pPr>
      <w:r>
        <w:rPr>
          <w:sz w:val="22"/>
          <w:szCs w:val="22"/>
        </w:rPr>
        <w:t xml:space="preserve">Together, these charts move from “what does one variable look like” (histograms, bar charts) to “how do two variables relate” (box plots, scatter plots) to “what is the full picture” (heatmaps, pair plots) — mirroring the univariate → bivariate → multivariate progression in Section 3.</w:t>
      </w:r>
    </w:p>
    <w:p>
      <w:pPr>
        <w:pStyle w:val="Heading1"/>
        <w:spacing w:after="160" w:before="320"/>
      </w:pPr>
      <w:r>
        <w:rPr>
          <w:b/>
          <w:bCs/>
          <w:color w:val="1a3a52"/>
          <w:sz w:val="30"/>
          <w:szCs w:val="30"/>
        </w:rPr>
        <w:t xml:space="preserve">5. Tools and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2C5F8A" w:val="clear"/>
            <w:tcMar>
              <w:top w:type="dxa" w:w="80"/>
              <w:left w:type="dxa" w:w="100"/>
              <w:bottom w:type="dxa" w:w="80"/>
              <w:right w:type="dxa" w:w="100"/>
            </w:tcMar>
          </w:tcPr>
          <w:p>
            <w:r>
              <w:rPr>
                <w:b/>
                <w:bCs/>
                <w:color w:val="FFFFFF"/>
                <w:sz w:val="20"/>
                <w:szCs w:val="20"/>
              </w:rPr>
              <w:t xml:space="preserve">Library</w:t>
            </w:r>
          </w:p>
        </w:tc>
        <w:tc>
          <w:tcPr>
            <w:tcW w:type="dxa" w:w="6800"/>
            <w:shd w:fill="2C5F8A" w:val="clear"/>
            <w:tcMar>
              <w:top w:type="dxa" w:w="80"/>
              <w:left w:type="dxa" w:w="100"/>
              <w:bottom w:type="dxa" w:w="80"/>
              <w:right w:type="dxa" w:w="100"/>
            </w:tcMar>
          </w:tcPr>
          <w:p>
            <w:r>
              <w:rPr>
                <w:b/>
                <w:bCs/>
                <w:color w:val="FFFFFF"/>
                <w:sz w:val="20"/>
                <w:szCs w:val="20"/>
              </w:rPr>
              <w:t xml:space="preserve">Role in This Project</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pandas</w:t>
            </w:r>
          </w:p>
        </w:tc>
        <w:tc>
          <w:tcPr>
            <w:tcW w:type="dxa" w:w="6800"/>
            <w:tcMar>
              <w:top w:type="dxa" w:w="80"/>
              <w:left w:type="dxa" w:w="100"/>
              <w:bottom w:type="dxa" w:w="80"/>
              <w:right w:type="dxa" w:w="100"/>
            </w:tcMar>
          </w:tcPr>
          <w:p>
            <w:r>
              <w:rPr>
                <w:b w:val="false"/>
                <w:bCs w:val="false"/>
                <w:color w:val="000000"/>
                <w:sz w:val="20"/>
                <w:szCs w:val="20"/>
              </w:rPr>
              <w:t xml:space="preserve">Load, profile, and manipulate the dataset — dtype checks, groupby summaries, missing-value counts, and crosstabs that feed every other step.</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numpy</w:t>
            </w:r>
          </w:p>
        </w:tc>
        <w:tc>
          <w:tcPr>
            <w:tcW w:type="dxa" w:w="6800"/>
            <w:tcMar>
              <w:top w:type="dxa" w:w="80"/>
              <w:left w:type="dxa" w:w="100"/>
              <w:bottom w:type="dxa" w:w="80"/>
              <w:right w:type="dxa" w:w="100"/>
            </w:tcMar>
          </w:tcPr>
          <w:p>
            <w:r>
              <w:rPr>
                <w:b w:val="false"/>
                <w:bCs w:val="false"/>
                <w:color w:val="000000"/>
                <w:sz w:val="20"/>
                <w:szCs w:val="20"/>
              </w:rPr>
              <w:t xml:space="preserve">Underlying numerical operations — array math, percentile/IQR calculations for outlier detection.</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matplotlib</w:t>
            </w:r>
          </w:p>
        </w:tc>
        <w:tc>
          <w:tcPr>
            <w:tcW w:type="dxa" w:w="6800"/>
            <w:tcMar>
              <w:top w:type="dxa" w:w="80"/>
              <w:left w:type="dxa" w:w="100"/>
              <w:bottom w:type="dxa" w:w="80"/>
              <w:right w:type="dxa" w:w="100"/>
            </w:tcMar>
          </w:tcPr>
          <w:p>
            <w:r>
              <w:rPr>
                <w:b w:val="false"/>
                <w:bCs w:val="false"/>
                <w:color w:val="000000"/>
                <w:sz w:val="20"/>
                <w:szCs w:val="20"/>
              </w:rPr>
              <w:t xml:space="preserve">Base plotting engine for histograms, box plots, scatter plots, and fine-grained custom chart formatting.</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seaborn</w:t>
            </w:r>
          </w:p>
        </w:tc>
        <w:tc>
          <w:tcPr>
            <w:tcW w:type="dxa" w:w="6800"/>
            <w:tcMar>
              <w:top w:type="dxa" w:w="80"/>
              <w:left w:type="dxa" w:w="100"/>
              <w:bottom w:type="dxa" w:w="80"/>
              <w:right w:type="dxa" w:w="100"/>
            </w:tcMar>
          </w:tcPr>
          <w:p>
            <w:r>
              <w:rPr>
                <w:b w:val="false"/>
                <w:bCs w:val="false"/>
                <w:color w:val="000000"/>
                <w:sz w:val="20"/>
                <w:szCs w:val="20"/>
              </w:rPr>
              <w:t xml:space="preserve">Statistical visualizations built on matplotlib — heatmaps, pair plots, and grouped box/violin plots with far less code.</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plotly</w:t>
            </w:r>
          </w:p>
        </w:tc>
        <w:tc>
          <w:tcPr>
            <w:tcW w:type="dxa" w:w="6800"/>
            <w:tcMar>
              <w:top w:type="dxa" w:w="80"/>
              <w:left w:type="dxa" w:w="100"/>
              <w:bottom w:type="dxa" w:w="80"/>
              <w:right w:type="dxa" w:w="100"/>
            </w:tcMar>
          </w:tcPr>
          <w:p>
            <w:r>
              <w:rPr>
                <w:b w:val="false"/>
                <w:bCs w:val="false"/>
                <w:color w:val="000000"/>
                <w:sz w:val="20"/>
                <w:szCs w:val="20"/>
              </w:rPr>
              <w:t xml:space="preserve">Interactive charts (hoverable scatter plots, dashboards) useful for exploring data live and for the final presentation.</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missingno</w:t>
            </w:r>
          </w:p>
        </w:tc>
        <w:tc>
          <w:tcPr>
            <w:tcW w:type="dxa" w:w="6800"/>
            <w:tcMar>
              <w:top w:type="dxa" w:w="80"/>
              <w:left w:type="dxa" w:w="100"/>
              <w:bottom w:type="dxa" w:w="80"/>
              <w:right w:type="dxa" w:w="100"/>
            </w:tcMar>
          </w:tcPr>
          <w:p>
            <w:r>
              <w:rPr>
                <w:b w:val="false"/>
                <w:bCs w:val="false"/>
                <w:color w:val="000000"/>
                <w:sz w:val="20"/>
                <w:szCs w:val="20"/>
              </w:rPr>
              <w:t xml:space="preserve">Quick visual matrix/heatmap of missing-data patterns across the dataset.</w:t>
            </w:r>
          </w:p>
        </w:tc>
      </w:tr>
      <w:tr>
        <w:trPr>
          <w:tblHeader w:val="false"/>
        </w:trPr>
        <w:tc>
          <w:tcPr>
            <w:tcW w:type="dxa" w:w="2200"/>
            <w:tcMar>
              <w:top w:type="dxa" w:w="80"/>
              <w:left w:type="dxa" w:w="100"/>
              <w:bottom w:type="dxa" w:w="80"/>
              <w:right w:type="dxa" w:w="100"/>
            </w:tcMar>
          </w:tcPr>
          <w:p>
            <w:r>
              <w:rPr>
                <w:b w:val="false"/>
                <w:bCs w:val="false"/>
                <w:color w:val="000000"/>
                <w:sz w:val="20"/>
                <w:szCs w:val="20"/>
              </w:rPr>
              <w:t xml:space="preserve">scipy.stats</w:t>
            </w:r>
          </w:p>
        </w:tc>
        <w:tc>
          <w:tcPr>
            <w:tcW w:type="dxa" w:w="6800"/>
            <w:tcMar>
              <w:top w:type="dxa" w:w="80"/>
              <w:left w:type="dxa" w:w="100"/>
              <w:bottom w:type="dxa" w:w="80"/>
              <w:right w:type="dxa" w:w="100"/>
            </w:tcMar>
          </w:tcPr>
          <w:p>
            <w:r>
              <w:rPr>
                <w:b w:val="false"/>
                <w:bCs w:val="false"/>
                <w:color w:val="000000"/>
                <w:sz w:val="20"/>
                <w:szCs w:val="20"/>
              </w:rPr>
              <w:t xml:space="preserve">Statistical tests (e.g., chi-square for categorical association with churn) to support visual findings numerically.</w:t>
            </w:r>
          </w:p>
        </w:tc>
      </w:tr>
    </w:tbl>
    <w:p>
      <w:r>
        <w:br w:type="page"/>
      </w:r>
    </w:p>
    <w:p>
      <w:pPr>
        <w:pStyle w:val="Heading1"/>
        <w:spacing w:after="160" w:before="320"/>
      </w:pPr>
      <w:r>
        <w:rPr>
          <w:b/>
          <w:bCs/>
          <w:color w:val="1a3a52"/>
          <w:sz w:val="30"/>
          <w:szCs w:val="30"/>
        </w:rPr>
        <w:t xml:space="preserve">6. Reporting and Documentation Plan</w:t>
      </w:r>
    </w:p>
    <w:p>
      <w:pPr>
        <w:spacing w:after="160" w:line="300"/>
      </w:pPr>
      <w:r>
        <w:rPr>
          <w:sz w:val="22"/>
          <w:szCs w:val="22"/>
        </w:rPr>
        <w:t xml:space="preserve">Findings would be compiled into a single EDA report, organized so a reader can follow the same univariate → bivariate → multivariate → conclusions flow used during analysis. The proposed sections for the final report or presentation are:</w:t>
      </w:r>
    </w:p>
    <w:p>
      <w:pPr>
        <w:pStyle w:val="ListParagraph"/>
        <w:numPr>
          <w:ilvl w:val="0"/>
          <w:numId w:val="2"/>
        </w:numPr>
        <w:spacing w:after="80"/>
      </w:pPr>
      <w:r>
        <w:rPr>
          <w:sz w:val="22"/>
          <w:szCs w:val="22"/>
        </w:rPr>
        <w:t xml:space="preserve">Executive Summary – 3–4 sentence overview of the dataset and the most important churn drivers found.</w:t>
      </w:r>
    </w:p>
    <w:p>
      <w:pPr>
        <w:pStyle w:val="ListParagraph"/>
        <w:numPr>
          <w:ilvl w:val="0"/>
          <w:numId w:val="2"/>
        </w:numPr>
        <w:spacing w:after="80"/>
      </w:pPr>
      <w:r>
        <w:rPr>
          <w:sz w:val="22"/>
          <w:szCs w:val="22"/>
        </w:rPr>
        <w:t xml:space="preserve">Dataset Overview – shape, data dictionary, and data-type summary (Section 2 of this document).</w:t>
      </w:r>
    </w:p>
    <w:p>
      <w:pPr>
        <w:pStyle w:val="ListParagraph"/>
        <w:numPr>
          <w:ilvl w:val="0"/>
          <w:numId w:val="2"/>
        </w:numPr>
        <w:spacing w:after="80"/>
      </w:pPr>
      <w:r>
        <w:rPr>
          <w:sz w:val="22"/>
          <w:szCs w:val="22"/>
        </w:rPr>
        <w:t xml:space="preserve">Data Quality Notes – missing-value summary, outliers found, and how each was treated.</w:t>
      </w:r>
    </w:p>
    <w:p>
      <w:pPr>
        <w:pStyle w:val="ListParagraph"/>
        <w:numPr>
          <w:ilvl w:val="0"/>
          <w:numId w:val="2"/>
        </w:numPr>
        <w:spacing w:after="80"/>
      </w:pPr>
      <w:r>
        <w:rPr>
          <w:sz w:val="22"/>
          <w:szCs w:val="22"/>
        </w:rPr>
        <w:t xml:space="preserve">Univariate Findings – key distributions, with histograms/bar charts and 1–2 sentence takeaways each.</w:t>
      </w:r>
    </w:p>
    <w:p>
      <w:pPr>
        <w:pStyle w:val="ListParagraph"/>
        <w:numPr>
          <w:ilvl w:val="0"/>
          <w:numId w:val="2"/>
        </w:numPr>
        <w:spacing w:after="80"/>
      </w:pPr>
      <w:r>
        <w:rPr>
          <w:sz w:val="22"/>
          <w:szCs w:val="22"/>
        </w:rPr>
        <w:t xml:space="preserve">Bivariate Findings – each feature's relationship to churn, with the supporting chart and takeaway.</w:t>
      </w:r>
    </w:p>
    <w:p>
      <w:pPr>
        <w:pStyle w:val="ListParagraph"/>
        <w:numPr>
          <w:ilvl w:val="0"/>
          <w:numId w:val="2"/>
        </w:numPr>
        <w:spacing w:after="80"/>
      </w:pPr>
      <w:r>
        <w:rPr>
          <w:sz w:val="22"/>
          <w:szCs w:val="22"/>
        </w:rPr>
        <w:t xml:space="preserve">Multivariate Findings – correlation heatmap and pair plot, with any multicollinearity or clustering notes.</w:t>
      </w:r>
    </w:p>
    <w:p>
      <w:pPr>
        <w:pStyle w:val="ListParagraph"/>
        <w:numPr>
          <w:ilvl w:val="0"/>
          <w:numId w:val="2"/>
        </w:numPr>
        <w:spacing w:after="80"/>
      </w:pPr>
      <w:r>
        <w:rPr>
          <w:sz w:val="22"/>
          <w:szCs w:val="22"/>
        </w:rPr>
        <w:t xml:space="preserve">Key Insights &amp; Recommendations – a short, plain-language list of what the retention team should act on.</w:t>
      </w:r>
    </w:p>
    <w:p>
      <w:pPr>
        <w:pStyle w:val="ListParagraph"/>
        <w:numPr>
          <w:ilvl w:val="0"/>
          <w:numId w:val="2"/>
        </w:numPr>
        <w:spacing w:after="80"/>
      </w:pPr>
      <w:r>
        <w:rPr>
          <w:sz w:val="22"/>
          <w:szCs w:val="22"/>
        </w:rPr>
        <w:t xml:space="preserve">Appendix – full code snippets and any charts not included in the main body.</w:t>
      </w:r>
    </w:p>
    <w:p>
      <w:pPr>
        <w:spacing w:after="160" w:line="300"/>
      </w:pPr>
      <w:r>
        <w:rPr>
          <w:sz w:val="22"/>
          <w:szCs w:val="22"/>
        </w:rPr>
        <w:t xml:space="preserve">The report would be delivered as a single DOC file, with headings for each section above, embedded charts placed directly beside the text that discusses them, and short captions under every figure — the same format used throughout this document — so a non-technical evaluator can follow the logic without reading code.</w:t>
      </w:r>
    </w:p>
    <w:p>
      <w:pPr>
        <w:pStyle w:val="Heading1"/>
        <w:spacing w:after="160" w:before="320"/>
      </w:pPr>
      <w:r>
        <w:rPr>
          <w:b/>
          <w:bCs/>
          <w:color w:val="1a3a52"/>
          <w:sz w:val="30"/>
          <w:szCs w:val="30"/>
        </w:rPr>
        <w:t xml:space="preserve">7. Timeline</w:t>
      </w:r>
    </w:p>
    <w:p>
      <w:pPr>
        <w:spacing w:after="160" w:line="300"/>
      </w:pPr>
      <w:r>
        <w:rPr>
          <w:sz w:val="22"/>
          <w:szCs w:val="22"/>
        </w:rPr>
        <w:t xml:space="preserve">The plan below allocates 33 hours across the week for designing this EDA and visualization framework.</w:t>
      </w:r>
    </w:p>
    <w:p>
      <w:pPr>
        <w:spacing w:after="60" w:before="12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381250"/>
                    </a:xfrm>
                    <a:prstGeom prst="rect">
                      <a:avLst/>
                    </a:prstGeom>
                  </pic:spPr>
                </pic:pic>
              </a:graphicData>
            </a:graphic>
          </wp:inline>
        </w:drawing>
      </w:r>
    </w:p>
    <w:p>
      <w:pPr>
        <w:spacing w:after="240"/>
        <w:jc w:val="center"/>
      </w:pPr>
      <w:r>
        <w:rPr>
          <w:i/>
          <w:iCs/>
          <w:color w:val="555555"/>
          <w:sz w:val="18"/>
          <w:szCs w:val="18"/>
        </w:rPr>
        <w:t xml:space="preserve">Figure 2: Week 2 effort allocation across EDA framework design activities (33 hours total)</w:t>
      </w:r>
    </w:p>
    <w:p>
      <w:pPr>
        <w:pStyle w:val="Heading1"/>
        <w:spacing w:after="160" w:before="320"/>
      </w:pPr>
      <w:r>
        <w:rPr>
          <w:b/>
          <w:bCs/>
          <w:color w:val="1a3a52"/>
          <w:sz w:val="30"/>
          <w:szCs w:val="30"/>
        </w:rPr>
        <w:t xml:space="preserve">8. Conclusion</w:t>
      </w:r>
    </w:p>
    <w:p>
      <w:pPr>
        <w:spacing w:after="160" w:line="300"/>
      </w:pPr>
      <w:r>
        <w:rPr>
          <w:sz w:val="22"/>
          <w:szCs w:val="22"/>
        </w:rPr>
        <w:t xml:space="preserve">This framework lays out a complete, dataset-agnostic EDA and visualization strategy — spanning data typing, univariate through multivariate exploration, missing-data and outlier handling, a deliberate chart-type selection for each question being asked, and a clear reporting structure. Because it is designed around techniques and reasoning rather than a specific file, this plan is directly reusable the moment a real churn dataset (or any similarly structured tabular dataset) becomes available, fulfilling the goal of deepening practical, adaptable data-analysis skills.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6b2bf5cf0423e36b316f9d6db40cc7b1328db11.png"/><Relationship Id="rId8" Type="http://schemas.openxmlformats.org/officeDocument/2006/relationships/image" Target="media/fc20878e65c6f704edf1b867a471c2d961c413e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2026-09-26T10:47:58.036Z</dcterms:created>
  <dcterms:modified xsi:type="dcterms:W3CDTF">2026-09-26T10:47:58.046Z</dcterms:modified>
</cp:coreProperties>
</file>

<file path=docProps/custom.xml><?xml version="1.0" encoding="utf-8"?>
<Properties xmlns="http://schemas.openxmlformats.org/officeDocument/2006/custom-properties" xmlns:vt="http://schemas.openxmlformats.org/officeDocument/2006/docPropsVTypes"/>
</file>