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56"/>
          <w:szCs w:val="56"/>
        </w:rPr>
        <w:t xml:space="preserve">PayGuard</w:t>
      </w:r>
    </w:p>
    <w:p>
      <w:pPr>
        <w:spacing w:after="80"/>
        <w:jc w:val="center"/>
      </w:pPr>
      <w:r>
        <w:rPr>
          <w:color w:val="444444"/>
          <w:sz w:val="28"/>
          <w:szCs w:val="28"/>
        </w:rPr>
        <w:t xml:space="preserve">A Real-Time UPI Fraud Detection System</w:t>
      </w:r>
    </w:p>
    <w:p>
      <w:pPr>
        <w:spacing w:after="400"/>
        <w:jc w:val="center"/>
      </w:pPr>
      <w:r>
        <w:rPr>
          <w:i/>
          <w:iCs/>
          <w:color w:val="666666"/>
          <w:sz w:val="24"/>
          <w:szCs w:val="24"/>
        </w:rPr>
        <w:t xml:space="preserve">Project Report</w:t>
      </w:r>
    </w:p>
    <w:p>
      <w:pPr>
        <w:spacing w:after="40"/>
        <w:jc w:val="center"/>
      </w:pPr>
      <w:r>
        <w:rPr>
          <w:sz w:val="20"/>
          <w:szCs w:val="20"/>
        </w:rPr>
        <w:t xml:space="preserve">Prepared by: Keshav Chandak</w:t>
      </w:r>
    </w:p>
    <w:p>
      <w:pPr>
        <w:spacing w:after="400"/>
        <w:jc w:val="center"/>
      </w:pPr>
      <w:r>
        <w:rPr>
          <w:color w:val="666666"/>
          <w:sz w:val="20"/>
          <w:szCs w:val="20"/>
        </w:rPr>
        <w:t xml:space="preserve">October 2026</w:t>
      </w:r>
    </w:p>
    <w:p>
      <w:pPr>
        <w:pStyle w:val="Heading2"/>
        <w:spacing w:after="100" w:before="200"/>
      </w:pPr>
      <w:r>
        <w:rPr>
          <w:b/>
          <w:bCs/>
          <w:color w:val="1F4E79"/>
          <w:sz w:val="24"/>
          <w:szCs w:val="24"/>
        </w:rPr>
        <w:t xml:space="preserve">Abstract</w:t>
      </w:r>
    </w:p>
    <w:p>
      <w:pPr>
        <w:spacing w:after="140" w:line="288"/>
        <w:jc w:val="both"/>
      </w:pPr>
      <w:r>
        <w:rPr>
          <w:sz w:val="22"/>
          <w:szCs w:val="22"/>
        </w:rPr>
        <w:t xml:space="preserve">PayGuard is a real-time fraud detection system built around UPI, India's instant payments rail. Instead of one large application, it is built as five small, independently-running services that talk to each other through Kafka events. Every payment is checked the instant it is made by a handful of simple, deterministic rules — no AI, no external calls, just logic that runs in a fraction of a millisecond. Only when a payment looks suspicious does an AI model get involved, and even then its only job is to explain the decision in plain English for a human reviewer — never to make the call itself. This report covers what the system does, how it is put together, what went wrong while building it, and what that taught us.</w:t>
      </w:r>
    </w:p>
    <w:p>
      <w:pPr>
        <w:pStyle w:val="Heading1"/>
        <w:spacing w:after="140" w:before="280"/>
      </w:pPr>
      <w:r>
        <w:rPr>
          <w:b/>
          <w:bCs/>
          <w:color w:val="1F4E79"/>
          <w:sz w:val="28"/>
          <w:szCs w:val="28"/>
        </w:rPr>
        <w:t xml:space="preserve">1. Introduction</w:t>
      </w:r>
    </w:p>
    <w:p>
      <w:pPr>
        <w:spacing w:after="140" w:line="288"/>
        <w:jc w:val="both"/>
      </w:pPr>
      <w:r>
        <w:rPr>
          <w:sz w:val="22"/>
          <w:szCs w:val="22"/>
        </w:rPr>
        <w:t xml:space="preserve">UPI has made instant, 24/7 money transfer the default way people pay in India, but that same speed is what fraudsters rely on — by the time a suspicious transaction is noticed, the money is usually already gone. Most fraud-detection approaches lean entirely on either rigid hand-written rules (fast but easy to miss new patterns) or a large AI model making the call directly (slower, costlier, and hard for a human to trust blindly for something as sensitive as blocking someone's payment).</w:t>
      </w:r>
    </w:p>
    <w:p>
      <w:pPr>
        <w:spacing w:after="140" w:line="288"/>
        <w:jc w:val="both"/>
      </w:pPr>
      <w:r>
        <w:rPr>
          <w:sz w:val="22"/>
          <w:szCs w:val="22"/>
        </w:rPr>
        <w:t xml:space="preserve">PayGuard takes a middle path: a small set of fast, explainable rules make every decision in real time, and an AI model is used only afterwards — purely to translate a flagged payment into a short, plain-language explanation that a human reviewer can read in a few seconds and act on.</w:t>
      </w:r>
    </w:p>
    <w:p>
      <w:pPr>
        <w:pStyle w:val="Heading1"/>
        <w:spacing w:after="140" w:before="280"/>
      </w:pPr>
      <w:r>
        <w:rPr>
          <w:b/>
          <w:bCs/>
          <w:color w:val="1F4E79"/>
          <w:sz w:val="28"/>
          <w:szCs w:val="28"/>
        </w:rPr>
        <w:t xml:space="preserve">2. Objectives</w:t>
      </w:r>
    </w:p>
    <w:p>
      <w:pPr>
        <w:pStyle w:val="ListParagraph"/>
        <w:numPr>
          <w:ilvl w:val="0"/>
          <w:numId w:val="2"/>
        </w:numPr>
        <w:spacing w:after="90" w:line="276"/>
      </w:pPr>
      <w:r>
        <w:rPr>
          <w:sz w:val="22"/>
          <w:szCs w:val="22"/>
        </w:rPr>
        <w:t xml:space="preserve">Flag suspicious UPI payments instantly, using rules simple enough to fully explain and test.</w:t>
      </w:r>
    </w:p>
    <w:p>
      <w:pPr>
        <w:pStyle w:val="ListParagraph"/>
        <w:numPr>
          <w:ilvl w:val="0"/>
          <w:numId w:val="2"/>
        </w:numPr>
        <w:spacing w:after="90" w:line="276"/>
      </w:pPr>
      <w:r>
        <w:rPr>
          <w:sz w:val="22"/>
          <w:szCs w:val="22"/>
        </w:rPr>
        <w:t xml:space="preserve">Never let a slow or unavailable AI provider hold up a payment — the fraud decision must stand on its own.</w:t>
      </w:r>
    </w:p>
    <w:p>
      <w:pPr>
        <w:pStyle w:val="ListParagraph"/>
        <w:numPr>
          <w:ilvl w:val="0"/>
          <w:numId w:val="2"/>
        </w:numPr>
        <w:spacing w:after="90" w:line="276"/>
      </w:pPr>
      <w:r>
        <w:rPr>
          <w:sz w:val="22"/>
          <w:szCs w:val="22"/>
        </w:rPr>
        <w:t xml:space="preserve">Give a human reviewer a clear, readable reason for every flagged payment, not just a raw score.</w:t>
      </w:r>
    </w:p>
    <w:p>
      <w:pPr>
        <w:pStyle w:val="ListParagraph"/>
        <w:numPr>
          <w:ilvl w:val="0"/>
          <w:numId w:val="2"/>
        </w:numPr>
        <w:spacing w:after="90" w:line="276"/>
      </w:pPr>
      <w:r>
        <w:rPr>
          <w:sz w:val="22"/>
          <w:szCs w:val="22"/>
        </w:rPr>
        <w:t xml:space="preserve">Learn from reviewer decisions so a cleared device or payee isn't flagged again and again for no reason.</w:t>
      </w:r>
    </w:p>
    <w:p>
      <w:pPr>
        <w:pStyle w:val="ListParagraph"/>
        <w:numPr>
          <w:ilvl w:val="0"/>
          <w:numId w:val="2"/>
        </w:numPr>
        <w:spacing w:after="90" w:line="276"/>
      </w:pPr>
      <w:r>
        <w:rPr>
          <w:sz w:val="22"/>
          <w:szCs w:val="22"/>
        </w:rPr>
        <w:t xml:space="preserve">Build it the way a real fintech system would be built — as separate services that can be deployed, scaled, and changed independently.</w:t>
      </w:r>
    </w:p>
    <w:p>
      <w:pPr>
        <w:pStyle w:val="Heading1"/>
        <w:spacing w:after="140" w:before="280"/>
      </w:pPr>
      <w:r>
        <w:rPr>
          <w:b/>
          <w:bCs/>
          <w:color w:val="1F4E79"/>
          <w:sz w:val="28"/>
          <w:szCs w:val="28"/>
        </w:rPr>
        <w:t xml:space="preserve">3. System Architecture</w:t>
      </w:r>
    </w:p>
    <w:p>
      <w:pPr>
        <w:spacing w:after="140" w:line="288"/>
        <w:jc w:val="both"/>
      </w:pPr>
      <w:r>
        <w:rPr>
          <w:sz w:val="22"/>
          <w:szCs w:val="22"/>
        </w:rPr>
        <w:t xml:space="preserve">The system is made up of five independent pieces, connected through a Kafka message bus rather than direct calls, so no single service depends on another being available at that exact moment. A payment-service owns the only database and is the single source of truth; an analytics-service holds no database at all and only reacts to events; a gateway sits in front of both; and two React apps — a mock UPI phone and a reviewer dashboard — are the human-facing pieces.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100"/>
        <w:gridCol w:w="1300"/>
      </w:tblGrid>
      <w:tr>
        <w:tc>
          <w:tcPr>
            <w:tcW w:type="dxa" w:w="2100"/>
            <w:shd w:fill="1F4E79" w:color="auto" w:val="clear"/>
            <w:tcMar>
              <w:top w:type="dxa" w:w="60"/>
              <w:left w:type="dxa" w:w="100"/>
              <w:bottom w:type="dxa" w:w="60"/>
              <w:right w:type="dxa" w:w="100"/>
            </w:tcMar>
          </w:tcPr>
          <w:p>
            <w:r>
              <w:rPr>
                <w:b/>
                <w:bCs/>
                <w:color w:val="FFFFFF"/>
                <w:sz w:val="20"/>
                <w:szCs w:val="20"/>
              </w:rPr>
              <w:t xml:space="preserve">Service</w:t>
            </w:r>
          </w:p>
        </w:tc>
        <w:tc>
          <w:tcPr>
            <w:tcW w:type="dxa" w:w="2300"/>
            <w:shd w:fill="1F4E79" w:color="auto" w:val="clear"/>
            <w:tcMar>
              <w:top w:type="dxa" w:w="60"/>
              <w:left w:type="dxa" w:w="100"/>
              <w:bottom w:type="dxa" w:w="60"/>
              <w:right w:type="dxa" w:w="100"/>
            </w:tcMar>
          </w:tcPr>
          <w:p>
            <w:r>
              <w:rPr>
                <w:b/>
                <w:bCs/>
                <w:color w:val="FFFFFF"/>
                <w:sz w:val="20"/>
                <w:szCs w:val="20"/>
              </w:rPr>
              <w:t xml:space="preserve">Role</w:t>
            </w:r>
          </w:p>
        </w:tc>
        <w:tc>
          <w:tcPr>
            <w:tcW w:type="dxa" w:w="4100"/>
            <w:shd w:fill="1F4E79" w:color="auto" w:val="clear"/>
            <w:tcMar>
              <w:top w:type="dxa" w:w="60"/>
              <w:left w:type="dxa" w:w="100"/>
              <w:bottom w:type="dxa" w:w="60"/>
              <w:right w:type="dxa" w:w="100"/>
            </w:tcMar>
          </w:tcPr>
          <w:p>
            <w:r>
              <w:rPr>
                <w:b/>
                <w:bCs/>
                <w:color w:val="FFFFFF"/>
                <w:sz w:val="20"/>
                <w:szCs w:val="20"/>
              </w:rPr>
              <w:t xml:space="preserve">Technology</w:t>
            </w:r>
          </w:p>
        </w:tc>
        <w:tc>
          <w:tcPr>
            <w:tcW w:type="dxa" w:w="1300"/>
            <w:shd w:fill="1F4E79" w:color="auto" w:val="clear"/>
            <w:tcMar>
              <w:top w:type="dxa" w:w="60"/>
              <w:left w:type="dxa" w:w="100"/>
              <w:bottom w:type="dxa" w:w="60"/>
              <w:right w:type="dxa" w:w="100"/>
            </w:tcMar>
          </w:tcPr>
          <w:p>
            <w:r>
              <w:rPr>
                <w:b/>
                <w:bCs/>
                <w:color w:val="FFFFFF"/>
                <w:sz w:val="20"/>
                <w:szCs w:val="20"/>
              </w:rPr>
              <w:t xml:space="preserve">Port</w:t>
            </w:r>
          </w:p>
        </w:tc>
      </w:tr>
      <w:tr>
        <w:tc>
          <w:tcPr>
            <w:tcW w:type="dxa" w:w="2100"/>
            <w:tcMar>
              <w:top w:type="dxa" w:w="60"/>
              <w:left w:type="dxa" w:w="100"/>
              <w:bottom w:type="dxa" w:w="60"/>
              <w:right w:type="dxa" w:w="100"/>
            </w:tcMar>
          </w:tcPr>
          <w:p>
            <w:r>
              <w:rPr>
                <w:b w:val="false"/>
                <w:bCs w:val="false"/>
                <w:color w:val="000000"/>
                <w:sz w:val="20"/>
                <w:szCs w:val="20"/>
              </w:rPr>
              <w:t xml:space="preserve">payment-service</w:t>
            </w:r>
          </w:p>
        </w:tc>
        <w:tc>
          <w:tcPr>
            <w:tcW w:type="dxa" w:w="2300"/>
            <w:tcMar>
              <w:top w:type="dxa" w:w="60"/>
              <w:left w:type="dxa" w:w="100"/>
              <w:bottom w:type="dxa" w:w="60"/>
              <w:right w:type="dxa" w:w="100"/>
            </w:tcMar>
          </w:tcPr>
          <w:p>
            <w:r>
              <w:rPr>
                <w:b w:val="false"/>
                <w:bCs w:val="false"/>
                <w:color w:val="000000"/>
                <w:sz w:val="20"/>
                <w:szCs w:val="20"/>
              </w:rPr>
              <w:t xml:space="preserve">Owns all data; REST API; opens fraud alerts</w:t>
            </w:r>
          </w:p>
        </w:tc>
        <w:tc>
          <w:tcPr>
            <w:tcW w:type="dxa" w:w="4100"/>
            <w:tcMar>
              <w:top w:type="dxa" w:w="60"/>
              <w:left w:type="dxa" w:w="100"/>
              <w:bottom w:type="dxa" w:w="60"/>
              <w:right w:type="dxa" w:w="100"/>
            </w:tcMar>
          </w:tcPr>
          <w:p>
            <w:r>
              <w:rPr>
                <w:b w:val="false"/>
                <w:bCs w:val="false"/>
                <w:color w:val="000000"/>
                <w:sz w:val="20"/>
                <w:szCs w:val="20"/>
              </w:rPr>
              <w:t xml:space="preserve">Spring Boot, PostgreSQL, Kafka</w:t>
            </w:r>
          </w:p>
        </w:tc>
        <w:tc>
          <w:tcPr>
            <w:tcW w:type="dxa" w:w="1300"/>
            <w:tcMar>
              <w:top w:type="dxa" w:w="60"/>
              <w:left w:type="dxa" w:w="100"/>
              <w:bottom w:type="dxa" w:w="60"/>
              <w:right w:type="dxa" w:w="100"/>
            </w:tcMar>
          </w:tcPr>
          <w:p>
            <w:r>
              <w:rPr>
                <w:b w:val="false"/>
                <w:bCs w:val="false"/>
                <w:color w:val="000000"/>
                <w:sz w:val="20"/>
                <w:szCs w:val="20"/>
              </w:rPr>
              <w:t xml:space="preserve">8081</w:t>
            </w:r>
          </w:p>
        </w:tc>
      </w:tr>
      <w:tr>
        <w:tc>
          <w:tcPr>
            <w:tcW w:type="dxa" w:w="2100"/>
            <w:tcMar>
              <w:top w:type="dxa" w:w="60"/>
              <w:left w:type="dxa" w:w="100"/>
              <w:bottom w:type="dxa" w:w="60"/>
              <w:right w:type="dxa" w:w="100"/>
            </w:tcMar>
          </w:tcPr>
          <w:p>
            <w:r>
              <w:rPr>
                <w:b w:val="false"/>
                <w:bCs w:val="false"/>
                <w:color w:val="000000"/>
                <w:sz w:val="20"/>
                <w:szCs w:val="20"/>
              </w:rPr>
              <w:t xml:space="preserve">analytics-service</w:t>
            </w:r>
          </w:p>
        </w:tc>
        <w:tc>
          <w:tcPr>
            <w:tcW w:type="dxa" w:w="2300"/>
            <w:tcMar>
              <w:top w:type="dxa" w:w="60"/>
              <w:left w:type="dxa" w:w="100"/>
              <w:bottom w:type="dxa" w:w="60"/>
              <w:right w:type="dxa" w:w="100"/>
            </w:tcMar>
          </w:tcPr>
          <w:p>
            <w:r>
              <w:rPr>
                <w:b w:val="false"/>
                <w:bCs w:val="false"/>
                <w:color w:val="000000"/>
                <w:sz w:val="20"/>
                <w:szCs w:val="20"/>
              </w:rPr>
              <w:t xml:space="preserve">Runs the fraud rules; calls the AI model</w:t>
            </w:r>
          </w:p>
        </w:tc>
        <w:tc>
          <w:tcPr>
            <w:tcW w:type="dxa" w:w="4100"/>
            <w:tcMar>
              <w:top w:type="dxa" w:w="60"/>
              <w:left w:type="dxa" w:w="100"/>
              <w:bottom w:type="dxa" w:w="60"/>
              <w:right w:type="dxa" w:w="100"/>
            </w:tcMar>
          </w:tcPr>
          <w:p>
            <w:r>
              <w:rPr>
                <w:b w:val="false"/>
                <w:bCs w:val="false"/>
                <w:color w:val="000000"/>
                <w:sz w:val="20"/>
                <w:szCs w:val="20"/>
              </w:rPr>
              <w:t xml:space="preserve">Spring Boot, Spring AI, Kafka</w:t>
            </w:r>
          </w:p>
        </w:tc>
        <w:tc>
          <w:tcPr>
            <w:tcW w:type="dxa" w:w="1300"/>
            <w:tcMar>
              <w:top w:type="dxa" w:w="60"/>
              <w:left w:type="dxa" w:w="100"/>
              <w:bottom w:type="dxa" w:w="60"/>
              <w:right w:type="dxa" w:w="100"/>
            </w:tcMar>
          </w:tcPr>
          <w:p>
            <w:r>
              <w:rPr>
                <w:b w:val="false"/>
                <w:bCs w:val="false"/>
                <w:color w:val="000000"/>
                <w:sz w:val="20"/>
                <w:szCs w:val="20"/>
              </w:rPr>
              <w:t xml:space="preserve">8082</w:t>
            </w:r>
          </w:p>
        </w:tc>
      </w:tr>
      <w:tr>
        <w:tc>
          <w:tcPr>
            <w:tcW w:type="dxa" w:w="2100"/>
            <w:tcMar>
              <w:top w:type="dxa" w:w="60"/>
              <w:left w:type="dxa" w:w="100"/>
              <w:bottom w:type="dxa" w:w="60"/>
              <w:right w:type="dxa" w:w="100"/>
            </w:tcMar>
          </w:tcPr>
          <w:p>
            <w:r>
              <w:rPr>
                <w:b w:val="false"/>
                <w:bCs w:val="false"/>
                <w:color w:val="000000"/>
                <w:sz w:val="20"/>
                <w:szCs w:val="20"/>
              </w:rPr>
              <w:t xml:space="preserve">api-gateway</w:t>
            </w:r>
          </w:p>
        </w:tc>
        <w:tc>
          <w:tcPr>
            <w:tcW w:type="dxa" w:w="2300"/>
            <w:tcMar>
              <w:top w:type="dxa" w:w="60"/>
              <w:left w:type="dxa" w:w="100"/>
              <w:bottom w:type="dxa" w:w="60"/>
              <w:right w:type="dxa" w:w="100"/>
            </w:tcMar>
          </w:tcPr>
          <w:p>
            <w:r>
              <w:rPr>
                <w:b w:val="false"/>
                <w:bCs w:val="false"/>
                <w:color w:val="000000"/>
                <w:sz w:val="20"/>
                <w:szCs w:val="20"/>
              </w:rPr>
              <w:t xml:space="preserve">Single entry point for both frontends</w:t>
            </w:r>
          </w:p>
        </w:tc>
        <w:tc>
          <w:tcPr>
            <w:tcW w:type="dxa" w:w="4100"/>
            <w:tcMar>
              <w:top w:type="dxa" w:w="60"/>
              <w:left w:type="dxa" w:w="100"/>
              <w:bottom w:type="dxa" w:w="60"/>
              <w:right w:type="dxa" w:w="100"/>
            </w:tcMar>
          </w:tcPr>
          <w:p>
            <w:r>
              <w:rPr>
                <w:b w:val="false"/>
                <w:bCs w:val="false"/>
                <w:color w:val="000000"/>
                <w:sz w:val="20"/>
                <w:szCs w:val="20"/>
              </w:rPr>
              <w:t xml:space="preserve">Spring Cloud Gateway</w:t>
            </w:r>
          </w:p>
        </w:tc>
        <w:tc>
          <w:tcPr>
            <w:tcW w:type="dxa" w:w="1300"/>
            <w:tcMar>
              <w:top w:type="dxa" w:w="60"/>
              <w:left w:type="dxa" w:w="100"/>
              <w:bottom w:type="dxa" w:w="60"/>
              <w:right w:type="dxa" w:w="100"/>
            </w:tcMar>
          </w:tcPr>
          <w:p>
            <w:r>
              <w:rPr>
                <w:b w:val="false"/>
                <w:bCs w:val="false"/>
                <w:color w:val="000000"/>
                <w:sz w:val="20"/>
                <w:szCs w:val="20"/>
              </w:rPr>
              <w:t xml:space="preserve">8080</w:t>
            </w:r>
          </w:p>
        </w:tc>
      </w:tr>
      <w:tr>
        <w:tc>
          <w:tcPr>
            <w:tcW w:type="dxa" w:w="2100"/>
            <w:tcMar>
              <w:top w:type="dxa" w:w="60"/>
              <w:left w:type="dxa" w:w="100"/>
              <w:bottom w:type="dxa" w:w="60"/>
              <w:right w:type="dxa" w:w="100"/>
            </w:tcMar>
          </w:tcPr>
          <w:p>
            <w:r>
              <w:rPr>
                <w:b w:val="false"/>
                <w:bCs w:val="false"/>
                <w:color w:val="000000"/>
                <w:sz w:val="20"/>
                <w:szCs w:val="20"/>
              </w:rPr>
              <w:t xml:space="preserve">upi-app</w:t>
            </w:r>
          </w:p>
        </w:tc>
        <w:tc>
          <w:tcPr>
            <w:tcW w:type="dxa" w:w="2300"/>
            <w:tcMar>
              <w:top w:type="dxa" w:w="60"/>
              <w:left w:type="dxa" w:w="100"/>
              <w:bottom w:type="dxa" w:w="60"/>
              <w:right w:type="dxa" w:w="100"/>
            </w:tcMar>
          </w:tcPr>
          <w:p>
            <w:r>
              <w:rPr>
                <w:b w:val="false"/>
                <w:bCs w:val="false"/>
                <w:color w:val="000000"/>
                <w:sz w:val="20"/>
                <w:szCs w:val="20"/>
              </w:rPr>
              <w:t xml:space="preserve">Mock phone UI that sends payments</w:t>
            </w:r>
          </w:p>
        </w:tc>
        <w:tc>
          <w:tcPr>
            <w:tcW w:type="dxa" w:w="4100"/>
            <w:tcMar>
              <w:top w:type="dxa" w:w="60"/>
              <w:left w:type="dxa" w:w="100"/>
              <w:bottom w:type="dxa" w:w="60"/>
              <w:right w:type="dxa" w:w="100"/>
            </w:tcMar>
          </w:tcPr>
          <w:p>
            <w:r>
              <w:rPr>
                <w:b w:val="false"/>
                <w:bCs w:val="false"/>
                <w:color w:val="000000"/>
                <w:sz w:val="20"/>
                <w:szCs w:val="20"/>
              </w:rPr>
              <w:t xml:space="preserve">React + Vite</w:t>
            </w:r>
          </w:p>
        </w:tc>
        <w:tc>
          <w:tcPr>
            <w:tcW w:type="dxa" w:w="1300"/>
            <w:tcMar>
              <w:top w:type="dxa" w:w="60"/>
              <w:left w:type="dxa" w:w="100"/>
              <w:bottom w:type="dxa" w:w="60"/>
              <w:right w:type="dxa" w:w="100"/>
            </w:tcMar>
          </w:tcPr>
          <w:p>
            <w:r>
              <w:rPr>
                <w:b w:val="false"/>
                <w:bCs w:val="false"/>
                <w:color w:val="000000"/>
                <w:sz w:val="20"/>
                <w:szCs w:val="20"/>
              </w:rPr>
              <w:t xml:space="preserve">3000</w:t>
            </w:r>
          </w:p>
        </w:tc>
      </w:tr>
      <w:tr>
        <w:tc>
          <w:tcPr>
            <w:tcW w:type="dxa" w:w="2100"/>
            <w:tcMar>
              <w:top w:type="dxa" w:w="60"/>
              <w:left w:type="dxa" w:w="100"/>
              <w:bottom w:type="dxa" w:w="60"/>
              <w:right w:type="dxa" w:w="100"/>
            </w:tcMar>
          </w:tcPr>
          <w:p>
            <w:r>
              <w:rPr>
                <w:b w:val="false"/>
                <w:bCs w:val="false"/>
                <w:color w:val="000000"/>
                <w:sz w:val="20"/>
                <w:szCs w:val="20"/>
              </w:rPr>
              <w:t xml:space="preserve">dashboard</w:t>
            </w:r>
          </w:p>
        </w:tc>
        <w:tc>
          <w:tcPr>
            <w:tcW w:type="dxa" w:w="2300"/>
            <w:tcMar>
              <w:top w:type="dxa" w:w="60"/>
              <w:left w:type="dxa" w:w="100"/>
              <w:bottom w:type="dxa" w:w="60"/>
              <w:right w:type="dxa" w:w="100"/>
            </w:tcMar>
          </w:tcPr>
          <w:p>
            <w:r>
              <w:rPr>
                <w:b w:val="false"/>
                <w:bCs w:val="false"/>
                <w:color w:val="000000"/>
                <w:sz w:val="20"/>
                <w:szCs w:val="20"/>
              </w:rPr>
              <w:t xml:space="preserve">Live review queue for flagged payments</w:t>
            </w:r>
          </w:p>
        </w:tc>
        <w:tc>
          <w:tcPr>
            <w:tcW w:type="dxa" w:w="4100"/>
            <w:tcMar>
              <w:top w:type="dxa" w:w="60"/>
              <w:left w:type="dxa" w:w="100"/>
              <w:bottom w:type="dxa" w:w="60"/>
              <w:right w:type="dxa" w:w="100"/>
            </w:tcMar>
          </w:tcPr>
          <w:p>
            <w:r>
              <w:rPr>
                <w:b w:val="false"/>
                <w:bCs w:val="false"/>
                <w:color w:val="000000"/>
                <w:sz w:val="20"/>
                <w:szCs w:val="20"/>
              </w:rPr>
              <w:t xml:space="preserve">React + Vite</w:t>
            </w:r>
          </w:p>
        </w:tc>
        <w:tc>
          <w:tcPr>
            <w:tcW w:type="dxa" w:w="1300"/>
            <w:tcMar>
              <w:top w:type="dxa" w:w="60"/>
              <w:left w:type="dxa" w:w="100"/>
              <w:bottom w:type="dxa" w:w="60"/>
              <w:right w:type="dxa" w:w="100"/>
            </w:tcMar>
          </w:tcPr>
          <w:p>
            <w:r>
              <w:rPr>
                <w:b w:val="false"/>
                <w:bCs w:val="false"/>
                <w:color w:val="000000"/>
                <w:sz w:val="20"/>
                <w:szCs w:val="20"/>
              </w:rPr>
              <w:t xml:space="preserve">3001</w:t>
            </w:r>
          </w:p>
        </w:tc>
      </w:tr>
    </w:tbl>
    <w:p>
      <w:pPr>
        <w:spacing w:after="100" w:before="140"/>
      </w:pPr>
    </w:p>
    <w:p>
      <w:pPr>
        <w:spacing w:after="140" w:line="288"/>
        <w:jc w:val="both"/>
      </w:pPr>
      <w:r>
        <w:rPr>
          <w:sz w:val="22"/>
          <w:szCs w:val="22"/>
        </w:rPr>
        <w:t xml:space="preserve">Underneath, PostgreSQL stores every payment and alert, and Kafka (running in lightweight KRaft mode, no ZooKeeper needed) carries four event types between the two Spring services, each keyed by the payer's UPI ID so one person's events are always processed in the order they happened. The AI model itself is swappable between Groq and Gemini through four environment variables — no code change needed to switch providers.</w:t>
      </w:r>
    </w:p>
    <w:p>
      <w:pPr>
        <w:pStyle w:val="Heading1"/>
        <w:spacing w:after="140" w:before="280"/>
      </w:pPr>
      <w:r>
        <w:rPr>
          <w:b/>
          <w:bCs/>
          <w:color w:val="1F4E79"/>
          <w:sz w:val="28"/>
          <w:szCs w:val="28"/>
        </w:rPr>
        <w:t xml:space="preserve">4. How a Payment Flows Through the System</w:t>
      </w:r>
    </w:p>
    <w:p>
      <w:pPr>
        <w:pStyle w:val="ListParagraph"/>
        <w:numPr>
          <w:ilvl w:val="0"/>
          <w:numId w:val="3"/>
        </w:numPr>
        <w:spacing w:after="90" w:line="276"/>
      </w:pPr>
      <w:r>
        <w:rPr>
          <w:sz w:val="22"/>
          <w:szCs w:val="22"/>
        </w:rPr>
        <w:t xml:space="preserve">A payment is submitted from the phone app and saved as “pending check.”</w:t>
      </w:r>
    </w:p>
    <w:p>
      <w:pPr>
        <w:pStyle w:val="ListParagraph"/>
        <w:numPr>
          <w:ilvl w:val="0"/>
          <w:numId w:val="3"/>
        </w:numPr>
        <w:spacing w:after="90" w:line="276"/>
      </w:pPr>
      <w:r>
        <w:rPr>
          <w:sz w:val="22"/>
          <w:szCs w:val="22"/>
        </w:rPr>
        <w:t xml:space="preserve">analytics-service runs three rules against that payer's history — a large/unusual amount, too many payments too fast, or a brand-new device paying a brand-new person.</w:t>
      </w:r>
    </w:p>
    <w:p>
      <w:pPr>
        <w:pStyle w:val="ListParagraph"/>
        <w:numPr>
          <w:ilvl w:val="0"/>
          <w:numId w:val="3"/>
        </w:numPr>
        <w:spacing w:after="90" w:line="276"/>
      </w:pPr>
      <w:r>
        <w:rPr>
          <w:sz w:val="22"/>
          <w:szCs w:val="22"/>
        </w:rPr>
        <w:t xml:space="preserve">If no rule fires, the payment completes immediately, in well under a millisecond of rule-checking time.</w:t>
      </w:r>
    </w:p>
    <w:p>
      <w:pPr>
        <w:pStyle w:val="ListParagraph"/>
        <w:numPr>
          <w:ilvl w:val="0"/>
          <w:numId w:val="3"/>
        </w:numPr>
        <w:spacing w:after="90" w:line="276"/>
      </w:pPr>
      <w:r>
        <w:rPr>
          <w:sz w:val="22"/>
          <w:szCs w:val="22"/>
        </w:rPr>
        <w:t xml:space="preserve">If a rule fires, the payment is held right away and a fraud alert is opened for review.</w:t>
      </w:r>
    </w:p>
    <w:p>
      <w:pPr>
        <w:pStyle w:val="ListParagraph"/>
        <w:numPr>
          <w:ilvl w:val="0"/>
          <w:numId w:val="3"/>
        </w:numPr>
        <w:spacing w:after="90" w:line="276"/>
      </w:pPr>
      <w:r>
        <w:rPr>
          <w:sz w:val="22"/>
          <w:szCs w:val="22"/>
        </w:rPr>
        <w:t xml:space="preserve">Only for held payments, the system separately asks an AI model to write a plain-language explanation — this never delays the hold decision itself.</w:t>
      </w:r>
    </w:p>
    <w:p>
      <w:pPr>
        <w:pStyle w:val="ListParagraph"/>
        <w:numPr>
          <w:ilvl w:val="0"/>
          <w:numId w:val="3"/>
        </w:numPr>
        <w:spacing w:after="90" w:line="276"/>
      </w:pPr>
      <w:r>
        <w:rPr>
          <w:sz w:val="22"/>
          <w:szCs w:val="22"/>
        </w:rPr>
        <w:t xml:space="preserve">A reviewer reads the explanation on the dashboard and marks the payment as fraud or clears it.</w:t>
      </w:r>
    </w:p>
    <w:p>
      <w:pPr>
        <w:pStyle w:val="ListParagraph"/>
        <w:numPr>
          <w:ilvl w:val="0"/>
          <w:numId w:val="3"/>
        </w:numPr>
        <w:spacing w:after="90" w:line="276"/>
      </w:pPr>
      <w:r>
        <w:rPr>
          <w:sz w:val="22"/>
          <w:szCs w:val="22"/>
        </w:rPr>
        <w:t xml:space="preserve">If cleared, that device and payee are remembered, so the same harmless pattern isn't flagged again.</w:t>
      </w:r>
    </w:p>
    <w:p>
      <w:pPr>
        <w:pStyle w:val="Heading1"/>
        <w:spacing w:after="140" w:before="280"/>
      </w:pPr>
      <w:r>
        <w:rPr>
          <w:b/>
          <w:bCs/>
          <w:color w:val="1F4E79"/>
          <w:sz w:val="28"/>
          <w:szCs w:val="28"/>
        </w:rPr>
        <w:t xml:space="preserve">5. Key Design Decisions</w:t>
      </w:r>
    </w:p>
    <w:p>
      <w:pPr>
        <w:pStyle w:val="ListParagraph"/>
        <w:numPr>
          <w:ilvl w:val="0"/>
          <w:numId w:val="2"/>
        </w:numPr>
        <w:spacing w:after="90" w:line="276"/>
      </w:pPr>
      <w:r>
        <w:rPr>
          <w:b/>
          <w:bCs/>
          <w:sz w:val="22"/>
          <w:szCs w:val="22"/>
        </w:rPr>
        <w:t xml:space="preserve">Rules decide, AI only explains.</w:t>
      </w:r>
      <w:r>
        <w:rPr>
          <w:sz w:val="22"/>
          <w:szCs w:val="22"/>
        </w:rPr>
        <w:t xml:space="preserve"> The fraud verdict is made the instant a payment arrives, by code that is fast, free to run, and fully testable. The AI is only ever asked to explain a decision that has already been made — so if it is slow, down, or out of quota, payments still get decided correctly.</w:t>
      </w:r>
    </w:p>
    <w:p>
      <w:pPr>
        <w:pStyle w:val="ListParagraph"/>
        <w:numPr>
          <w:ilvl w:val="0"/>
          <w:numId w:val="2"/>
        </w:numPr>
        <w:spacing w:after="90" w:line="276"/>
      </w:pPr>
      <w:r>
        <w:rPr>
          <w:b/>
          <w:bCs/>
          <w:sz w:val="22"/>
          <w:szCs w:val="22"/>
        </w:rPr>
        <w:t xml:space="preserve">One service owns the data.</w:t>
      </w:r>
      <w:r>
        <w:rPr>
          <w:sz w:val="22"/>
          <w:szCs w:val="22"/>
        </w:rPr>
        <w:t xml:space="preserve"> payment-service is the only service that touches the database, and every screen in both frontends reads from it. analytics-service never queries the database or calls another service's API directly — it only reacts to Kafka events — so it can be restarted, scaled, or rewritten without touching anything else.</w:t>
      </w:r>
    </w:p>
    <w:p>
      <w:pPr>
        <w:pStyle w:val="ListParagraph"/>
        <w:numPr>
          <w:ilvl w:val="0"/>
          <w:numId w:val="2"/>
        </w:numPr>
        <w:spacing w:after="90" w:line="276"/>
      </w:pPr>
      <w:r>
        <w:rPr>
          <w:b/>
          <w:bCs/>
          <w:sz w:val="22"/>
          <w:szCs w:val="22"/>
        </w:rPr>
        <w:t xml:space="preserve">Duplicate events can never cause duplicate effects.</w:t>
      </w:r>
      <w:r>
        <w:rPr>
          <w:sz w:val="22"/>
          <w:szCs w:val="22"/>
        </w:rPr>
        <w:t xml:space="preserve"> Kafka can redeliver the same event more than once. Both services keep track of which event IDs they've already handled, so a redelivered event is safely ignored instead of being counted twice.</w:t>
      </w:r>
    </w:p>
    <w:p>
      <w:pPr>
        <w:pStyle w:val="ListParagraph"/>
        <w:numPr>
          <w:ilvl w:val="0"/>
          <w:numId w:val="2"/>
        </w:numPr>
        <w:spacing w:after="90" w:line="276"/>
      </w:pPr>
      <w:r>
        <w:rPr>
          <w:b/>
          <w:bCs/>
          <w:sz w:val="22"/>
          <w:szCs w:val="22"/>
        </w:rPr>
        <w:t xml:space="preserve">Events are grouped by payer, not by payment.</w:t>
      </w:r>
      <w:r>
        <w:rPr>
          <w:sz w:val="22"/>
          <w:szCs w:val="22"/>
        </w:rPr>
        <w:t xml:space="preserve"> Every rule depends on seeing one payer's own history in the order it happened. Grouping events by the payer's UPI ID guarantees that ordering while still letting different payers' events be processed in parallel.</w:t>
      </w:r>
    </w:p>
    <w:p>
      <w:pPr>
        <w:pStyle w:val="Heading1"/>
        <w:spacing w:after="140" w:before="280"/>
      </w:pPr>
      <w:r>
        <w:rPr>
          <w:b/>
          <w:bCs/>
          <w:color w:val="1F4E79"/>
          <w:sz w:val="28"/>
          <w:szCs w:val="28"/>
        </w:rPr>
        <w:t xml:space="preserve">6. Challenges Faced — and How They Were Solved</w:t>
      </w:r>
    </w:p>
    <w:p>
      <w:pPr>
        <w:pStyle w:val="Heading2"/>
        <w:spacing w:after="100" w:before="200"/>
      </w:pPr>
      <w:r>
        <w:rPr>
          <w:b/>
          <w:bCs/>
          <w:color w:val="1F4E79"/>
          <w:sz w:val="24"/>
          <w:szCs w:val="24"/>
        </w:rPr>
        <w:t xml:space="preserve">6.1 The system that flagged everything</w:t>
      </w:r>
    </w:p>
    <w:p>
      <w:pPr>
        <w:spacing w:after="140" w:line="288"/>
        <w:jc w:val="both"/>
      </w:pPr>
      <w:r>
        <w:rPr>
          <w:sz w:val="22"/>
          <w:szCs w:val="22"/>
        </w:rPr>
        <w:t xml:space="preserve">The very first version held 100% of all payments, forever. The cause turned out to be a chicken-and-egg problem: a payee or device was only marked “known” once a payment to it had been approved — but a payment could only be approved if the device and payee were already known. A first-time payer could never escape that loop. The fix was to mark a device as known the moment it is used at all, regardless of outcome, while still requiring an actual approval before a payee is trusted. That one change brought the flag rate down from 100% to roughly the intended 7%.</w:t>
      </w:r>
    </w:p>
    <w:p>
      <w:pPr>
        <w:pStyle w:val="Heading2"/>
        <w:spacing w:after="100" w:before="200"/>
      </w:pPr>
      <w:r>
        <w:rPr>
          <w:b/>
          <w:bCs/>
          <w:color w:val="1F4E79"/>
          <w:sz w:val="24"/>
          <w:szCs w:val="24"/>
        </w:rPr>
        <w:t xml:space="preserve">6.2 Healthy containers marked “unhealthy”</w:t>
      </w:r>
    </w:p>
    <w:p>
      <w:pPr>
        <w:spacing w:after="140" w:line="288"/>
        <w:jc w:val="both"/>
      </w:pPr>
      <w:r>
        <w:rPr>
          <w:sz w:val="22"/>
          <w:szCs w:val="22"/>
        </w:rPr>
        <w:t xml:space="preserve">During setup, the frontend containers were serving pages perfectly fine but Docker kept marking them unhealthy. It turned out the healthcheck was hitting “localhost,” which resolved to an IPv6 address inside the container, while the web server was only listening on IPv4. Pointing the healthcheck at 127.0.0.1 directly fixed it immediately.</w:t>
      </w:r>
    </w:p>
    <w:p>
      <w:pPr>
        <w:pStyle w:val="Heading2"/>
        <w:spacing w:after="100" w:before="200"/>
      </w:pPr>
      <w:r>
        <w:rPr>
          <w:b/>
          <w:bCs/>
          <w:color w:val="1F4E79"/>
          <w:sz w:val="24"/>
          <w:szCs w:val="24"/>
        </w:rPr>
        <w:t xml:space="preserve">6.3 Running out of free AI quota mid-demo</w:t>
      </w:r>
    </w:p>
    <w:p>
      <w:pPr>
        <w:spacing w:after="140" w:line="288"/>
        <w:jc w:val="both"/>
      </w:pPr>
      <w:r>
        <w:rPr>
          <w:sz w:val="22"/>
          <w:szCs w:val="22"/>
        </w:rPr>
        <w:t xml:space="preserve">Gemini's free tier allows only 20 requests a day for the model used here, and that quota ran out during testing. Rather than crashing or hanging, the system degraded exactly as designed — the reviewer simply saw “AI analysis failed” while every fraud decision underneath it stayed correct. It was a good real-world confirmation that keeping the AI off the critical path was the right call.</w:t>
      </w:r>
    </w:p>
    <w:p>
      <w:pPr>
        <w:pStyle w:val="Heading1"/>
        <w:spacing w:after="140" w:before="280"/>
      </w:pPr>
      <w:r>
        <w:rPr>
          <w:b/>
          <w:bCs/>
          <w:color w:val="1F4E79"/>
          <w:sz w:val="28"/>
          <w:szCs w:val="28"/>
        </w:rPr>
        <w:t xml:space="preserve">7. Testing</w:t>
      </w:r>
    </w:p>
    <w:p>
      <w:pPr>
        <w:spacing w:after="140" w:line="288"/>
        <w:jc w:val="both"/>
      </w:pPr>
      <w:r>
        <w:rPr>
          <w:sz w:val="22"/>
          <w:szCs w:val="22"/>
        </w:rPr>
        <w:t xml:space="preserve">Each rule in analytics-service has its own focused unit test, and a Testcontainers-based integration test runs an entire payment through real Postgres and Kafka — from creation, to being held, to a reviewer's decision, to final completion. The gateway is tested to confirm all five routes are wired correctly, and both frontends are verified to build and run cleanly. Together, these cover the fraud logic itself, the messaging between services, and the full path a payment takes end to end.</w:t>
      </w:r>
    </w:p>
    <w:p>
      <w:pPr>
        <w:pStyle w:val="Heading1"/>
        <w:spacing w:after="140" w:before="280"/>
      </w:pPr>
      <w:r>
        <w:rPr>
          <w:b/>
          <w:bCs/>
          <w:color w:val="1F4E79"/>
          <w:sz w:val="28"/>
          <w:szCs w:val="28"/>
        </w:rPr>
        <w:t xml:space="preserve">8. Conclusion and Future Scope</w:t>
      </w:r>
    </w:p>
    <w:p>
      <w:pPr>
        <w:spacing w:after="140" w:line="288"/>
        <w:jc w:val="both"/>
      </w:pPr>
      <w:r>
        <w:rPr>
          <w:sz w:val="22"/>
          <w:szCs w:val="22"/>
        </w:rPr>
        <w:t xml:space="preserve">PayGuard shows that fraud detection doesn't need a trade-off between speed and explainability — deterministic rules can make fast, reliable decisions, while AI adds value afterwards by making those decisions understandable to a human. Building it as independent services, each with a clear single responsibility, also made the system easier to reason about and to debug when things went wrong.</w:t>
      </w:r>
    </w:p>
    <w:p>
      <w:pPr>
        <w:spacing w:after="140" w:line="288"/>
        <w:jc w:val="both"/>
      </w:pPr>
      <w:r>
        <w:rPr>
          <w:sz w:val="22"/>
          <w:szCs w:val="22"/>
        </w:rPr>
        <w:t xml:space="preserve">Going forward, the main gap worth closing is that analytics-service currently keeps payer history only in memory, so a restart forgets it — backing that with Redis would fix it. Beyond that, adding more rules, real authentication, and a cloud deployment would move this from a working demo closer to something production-ready.</w:t>
      </w:r>
    </w:p>
    <w:sectPr>
      <w:pgSz w:w="12240" w:h="15840"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2026-10-28T05:19:37.491Z</dcterms:created>
  <dcterms:modified xsi:type="dcterms:W3CDTF">2026-10-28T05:19:37.499Z</dcterms:modified>
</cp:coreProperties>
</file>

<file path=docProps/custom.xml><?xml version="1.0" encoding="utf-8"?>
<Properties xmlns="http://schemas.openxmlformats.org/officeDocument/2006/custom-properties" xmlns:vt="http://schemas.openxmlformats.org/officeDocument/2006/docPropsVTypes"/>
</file>