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252"/>
          <w:tab w:val="right" w:leader="none" w:pos="8504"/>
        </w:tabs>
        <w:spacing w:after="24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Software Requirements Specification (SRS) Document</w:t>
      </w:r>
      <w:r w:rsidDel="00000000" w:rsidR="00000000" w:rsidRPr="00000000">
        <w:rPr>
          <w:rtl w:val="0"/>
        </w:rPr>
      </w:r>
    </w:p>
    <w:tbl>
      <w:tblPr>
        <w:tblStyle w:val="Table1"/>
        <w:tblW w:w="6663.000000000001" w:type="dxa"/>
        <w:jc w:val="center"/>
        <w:tblLayout w:type="fixed"/>
        <w:tblLook w:val="0000"/>
      </w:tblPr>
      <w:tblGrid>
        <w:gridCol w:w="146"/>
        <w:gridCol w:w="6517"/>
        <w:tblGridChange w:id="0">
          <w:tblGrid>
            <w:gridCol w:w="146"/>
            <w:gridCol w:w="6517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2">
            <w:pPr>
              <w:spacing w:after="0" w:lineRule="auto"/>
              <w:jc w:val="center"/>
              <w:rPr>
                <w:b w:val="0"/>
                <w:bCs w:val="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3">
            <w:pPr>
              <w:spacing w:after="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Personal Health Chatbot</w:t>
            </w:r>
          </w:p>
          <w:p w:rsidR="00000000" w:rsidDel="00000000" w:rsidP="00000000" w:rsidRDefault="00000000" w:rsidRPr="00000000" w14:paraId="00000004">
            <w:pPr>
              <w:spacing w:after="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vertAlign w:val="baseline"/>
                <w:rtl w:val="0"/>
              </w:rPr>
              <w:t xml:space="preserve"> Team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7</w:t>
            </w:r>
          </w:p>
          <w:p w:rsidR="00000000" w:rsidDel="00000000" w:rsidP="00000000" w:rsidRDefault="00000000" w:rsidRPr="00000000" w14:paraId="00000005">
            <w:pPr>
              <w:spacing w:after="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Venya Velmurugan (2024114002)</w:t>
            </w:r>
          </w:p>
          <w:p w:rsidR="00000000" w:rsidDel="00000000" w:rsidP="00000000" w:rsidRDefault="00000000" w:rsidRPr="00000000" w14:paraId="00000006">
            <w:pPr>
              <w:spacing w:after="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Advait Dintakurti</w:t>
            </w:r>
          </w:p>
          <w:p w:rsidR="00000000" w:rsidDel="00000000" w:rsidP="00000000" w:rsidRDefault="00000000" w:rsidRPr="00000000" w14:paraId="00000007">
            <w:pPr>
              <w:spacing w:after="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Keshav Goel</w:t>
            </w:r>
          </w:p>
          <w:p w:rsidR="00000000" w:rsidDel="00000000" w:rsidP="00000000" w:rsidRDefault="00000000" w:rsidRPr="00000000" w14:paraId="00000008">
            <w:pPr>
              <w:spacing w:after="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Amish Goyal</w:t>
            </w:r>
          </w:p>
          <w:p w:rsidR="00000000" w:rsidDel="00000000" w:rsidP="00000000" w:rsidRDefault="00000000" w:rsidRPr="00000000" w14:paraId="00000009">
            <w:pPr>
              <w:spacing w:after="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Vikesh Kansal (2024101126)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spacing w:after="0" w:lineRule="auto"/>
              <w:jc w:val="left"/>
              <w:rPr>
                <w:b w:val="0"/>
                <w:bCs w:val="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spacing w:after="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pStyle w:val="Heading1"/>
        <w:rPr>
          <w:rFonts w:ascii="Times New Roman" w:cs="Times New Roman" w:eastAsia="Times New Roman" w:hAnsi="Times New Roman"/>
          <w:color w:val="070fa9"/>
          <w:sz w:val="22"/>
          <w:szCs w:val="22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Brief problem statement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left"/>
        <w:rPr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Electronic Health Records (EHRs) contain critical patient information but are often verbose, fragmented, and difficult to interpret efficiently in clinical contexts. Generic large language models provide non-personalized medical responses and fail to incorporate patient-specific medical history, leading to unsafe or irrelevant advice. This project aims to develop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clinically aware, privacy-conscious Personal Health Chatbot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that synthesizes structured EMR data to create a patient-specific "Medical ID". The system integrates hybrid retrieval, medical knowledge graphs (UMLS/SNOMED CT), multilingual interaction, and text-to-speech (TTS) capabilities to provide personalized, evidence-grounded medical insights while ensuring strict PII protection.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System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keepNext w:val="0"/>
        <w:spacing w:after="80" w:before="28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kghoah4r77ug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Hardware Requirements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24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Server Environment:</w:t>
      </w:r>
    </w:p>
    <w:p w:rsidR="00000000" w:rsidDel="00000000" w:rsidP="00000000" w:rsidRDefault="00000000" w:rsidRPr="00000000" w14:paraId="00000011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Development: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Minimum 8GB RAM (16GB recommended for managing FAISS vector indexes and local embedding generation).</w:t>
      </w:r>
    </w:p>
    <w:p w:rsidR="00000000" w:rsidDel="00000000" w:rsidP="00000000" w:rsidRDefault="00000000" w:rsidRPr="00000000" w14:paraId="00000012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Deployment: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Multi-core CPU with AVX2 support for optimized retrieval performance.</w:t>
      </w:r>
    </w:p>
    <w:p w:rsidR="00000000" w:rsidDel="00000000" w:rsidP="00000000" w:rsidRDefault="00000000" w:rsidRPr="00000000" w14:paraId="00000013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GPU Support: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Optional NVIDIA GPU (8GB+ VRAM) for the planned transition from Gemini/Sarvam APIs to a fully self-hosted local LLM.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before="0" w:beforeAutospacing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Client Device: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Modern web-browser-enabled device (Laptop/Mobile) with audio output for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TTS playback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15">
      <w:pPr>
        <w:pStyle w:val="Heading3"/>
        <w:keepNext w:val="0"/>
        <w:spacing w:after="80" w:before="28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71eoj4pbgv2p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Software Requirements</w:t>
      </w:r>
    </w:p>
    <w:p w:rsidR="00000000" w:rsidDel="00000000" w:rsidP="00000000" w:rsidRDefault="00000000" w:rsidRPr="00000000" w14:paraId="00000016">
      <w:pPr>
        <w:pStyle w:val="Heading4"/>
        <w:keepNext w:val="0"/>
        <w:keepLines w:val="0"/>
        <w:jc w:val="left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dwhke3ghpq35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Backend &amp; Reasoning Pipeline</w:t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spacing w:after="0" w:afterAutospacing="0" w:before="24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Core Language: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Python 3.9+</w:t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Framework: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FastAPI (for high-concurrency, asynchronous API handling).</w:t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spacing w:before="0" w:beforeAutospacing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Validation: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PyTest (for end-to-end clinical logic and retrieval testing).</w:t>
      </w:r>
    </w:p>
    <w:p w:rsidR="00000000" w:rsidDel="00000000" w:rsidP="00000000" w:rsidRDefault="00000000" w:rsidRPr="00000000" w14:paraId="0000001A">
      <w:pPr>
        <w:spacing w:before="240" w:lineRule="auto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before="240" w:lineRule="auto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4"/>
        <w:keepNext w:val="0"/>
        <w:keepLines w:val="0"/>
        <w:jc w:val="left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sdvd77gb5mvb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LLM &amp; Multilingual Interaction (Sarvam AI Integration)</w:t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spacing w:after="0" w:afterAutospacing="0" w:before="24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Primary LLM: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Gemini API (Phase 1 prototype) via a modular adapter, plan to transition to MedGemma ultimately.</w:t>
      </w:r>
    </w:p>
    <w:p w:rsidR="00000000" w:rsidDel="00000000" w:rsidP="00000000" w:rsidRDefault="00000000" w:rsidRPr="00000000" w14:paraId="0000001E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Multilingual Engine: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Sarvam AI (Mayura)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high-accuracy translation between English and 10+ Indic languages.</w:t>
      </w:r>
    </w:p>
    <w:p w:rsidR="00000000" w:rsidDel="00000000" w:rsidP="00000000" w:rsidRDefault="00000000" w:rsidRPr="00000000" w14:paraId="0000001F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Speech Synthesis: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Sarvam AI (Bulbul)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natural-sounding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Text-to-Speech (TTS)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 regional accents.</w:t>
      </w:r>
    </w:p>
    <w:p w:rsidR="00000000" w:rsidDel="00000000" w:rsidP="00000000" w:rsidRDefault="00000000" w:rsidRPr="00000000" w14:paraId="00000020">
      <w:pPr>
        <w:numPr>
          <w:ilvl w:val="0"/>
          <w:numId w:val="7"/>
        </w:numPr>
        <w:spacing w:before="0" w:beforeAutospacing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Indic Support: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Native handling of code-mixed queries (e.g., Hindi-English) for more natural patient interactions.</w:t>
      </w:r>
    </w:p>
    <w:p w:rsidR="00000000" w:rsidDel="00000000" w:rsidP="00000000" w:rsidRDefault="00000000" w:rsidRPr="00000000" w14:paraId="00000021">
      <w:pPr>
        <w:pStyle w:val="Heading4"/>
        <w:keepNext w:val="0"/>
        <w:keepLines w:val="0"/>
        <w:jc w:val="left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r4ua0ggi2g36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Retrieval Augmented Generation (RAG) &amp; Knowledge Graphs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0" w:afterAutospacing="0" w:before="24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Embeddings: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sapBERT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for semantic clinical stream splitting.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Vector Store: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FAISS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efficient similarity search within the "Medical ID".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Hybrid Search: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Custom implementation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Reciprocal Rank Fusion (RRF)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to combine semantic (vector) and structural (JSON-key) results.</w:t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spacing w:before="0" w:beforeAutospacing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Knowledge Graphs: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Integration with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UMLS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SNOMED CT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via the KG Consultation layer for clinical rule validation.</w:t>
      </w:r>
    </w:p>
    <w:p w:rsidR="00000000" w:rsidDel="00000000" w:rsidP="00000000" w:rsidRDefault="00000000" w:rsidRPr="00000000" w14:paraId="00000026">
      <w:pPr>
        <w:pStyle w:val="Heading4"/>
        <w:keepNext w:val="0"/>
        <w:keepLines w:val="0"/>
        <w:jc w:val="left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nfjgkfsylrmj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Frontend &amp; UI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afterAutospacing="0" w:before="24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Framework: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Next.js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or a responsive, stateful dashboard.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before="0" w:beforeAutospacing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Audio Integration: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Web Audio API for playback of Sarvam-generated medical advice.</w:t>
      </w:r>
    </w:p>
    <w:p w:rsidR="00000000" w:rsidDel="00000000" w:rsidP="00000000" w:rsidRDefault="00000000" w:rsidRPr="00000000" w14:paraId="00000029">
      <w:pPr>
        <w:pStyle w:val="Heading4"/>
        <w:keepNext w:val="0"/>
        <w:keepLines w:val="0"/>
        <w:jc w:val="left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q0p84a8671j0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Security &amp; Privacy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24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PII Anonymization: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 dedicated data-scrubbing layer to remove patient identifiers before sending prompts to external APIs (Gemini/Sarvam).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before="0" w:beforeAutospacing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Access Control: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Role-Based Access Control (RBAC) to manage permissions for Patients, Doctors, and Admins.</w:t>
      </w:r>
    </w:p>
    <w:p w:rsidR="00000000" w:rsidDel="00000000" w:rsidP="00000000" w:rsidRDefault="00000000" w:rsidRPr="00000000" w14:paraId="0000002C">
      <w:pPr>
        <w:pStyle w:val="Heading1"/>
        <w:rPr/>
      </w:pPr>
      <w:bookmarkStart w:colFirst="0" w:colLast="0" w:name="_x2wpkjez8oa6" w:id="7"/>
      <w:bookmarkEnd w:id="7"/>
      <w:r w:rsidDel="00000000" w:rsidR="00000000" w:rsidRPr="00000000">
        <w:rPr>
          <w:rtl w:val="0"/>
        </w:rPr>
        <w:t xml:space="preserve">Users profile</w:t>
      </w:r>
    </w:p>
    <w:p w:rsidR="00000000" w:rsidDel="00000000" w:rsidP="00000000" w:rsidRDefault="00000000" w:rsidRPr="00000000" w14:paraId="0000002D">
      <w:pPr>
        <w:spacing w:after="12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The Patient (End User)</w:t>
      </w:r>
    </w:p>
    <w:p w:rsidR="00000000" w:rsidDel="00000000" w:rsidP="00000000" w:rsidRDefault="00000000" w:rsidRPr="00000000" w14:paraId="0000002E">
      <w:pPr>
        <w:numPr>
          <w:ilvl w:val="0"/>
          <w:numId w:val="9"/>
        </w:numPr>
        <w:spacing w:after="0" w:afterAutospacing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Role: Seeks personalized health insights, uploads new reports, and interacts with the chatbot for symptom checking or history clarification.</w:t>
      </w:r>
    </w:p>
    <w:p w:rsidR="00000000" w:rsidDel="00000000" w:rsidP="00000000" w:rsidRDefault="00000000" w:rsidRPr="00000000" w14:paraId="0000002F">
      <w:pPr>
        <w:numPr>
          <w:ilvl w:val="0"/>
          <w:numId w:val="9"/>
        </w:numPr>
        <w:spacing w:after="0" w:afterAutospacing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Technical Profile: Low to Moderate. May not be familiar with medical jargon or complex software.</w:t>
      </w:r>
    </w:p>
    <w:p w:rsidR="00000000" w:rsidDel="00000000" w:rsidP="00000000" w:rsidRDefault="00000000" w:rsidRPr="00000000" w14:paraId="00000030">
      <w:pPr>
        <w:numPr>
          <w:ilvl w:val="0"/>
          <w:numId w:val="9"/>
        </w:numPr>
        <w:spacing w:after="0" w:afterAutospacing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Needs: </w:t>
      </w:r>
    </w:p>
    <w:p w:rsidR="00000000" w:rsidDel="00000000" w:rsidP="00000000" w:rsidRDefault="00000000" w:rsidRPr="00000000" w14:paraId="00000031">
      <w:pPr>
        <w:numPr>
          <w:ilvl w:val="1"/>
          <w:numId w:val="9"/>
        </w:numPr>
        <w:spacing w:after="0" w:afterAutospacing="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Accessibility: Relies on the Sarvam AI multilingual and TTS features to overcome language or literacy barriers.</w:t>
      </w:r>
    </w:p>
    <w:p w:rsidR="00000000" w:rsidDel="00000000" w:rsidP="00000000" w:rsidRDefault="00000000" w:rsidRPr="00000000" w14:paraId="00000032">
      <w:pPr>
        <w:numPr>
          <w:ilvl w:val="1"/>
          <w:numId w:val="9"/>
        </w:numPr>
        <w:spacing w:after="0" w:afterAutospacing="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Trust: Requires clear "Evidence Citations" to know the advice comes from their actual records, not a "hallucination."</w:t>
      </w:r>
    </w:p>
    <w:p w:rsidR="00000000" w:rsidDel="00000000" w:rsidP="00000000" w:rsidRDefault="00000000" w:rsidRPr="00000000" w14:paraId="00000033">
      <w:pPr>
        <w:numPr>
          <w:ilvl w:val="1"/>
          <w:numId w:val="9"/>
        </w:numPr>
        <w:spacing w:after="12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Privacy: Needs assurance that their PII (name, address, ID numbers) is protected via the anonymization layer.</w:t>
      </w:r>
    </w:p>
    <w:p w:rsidR="00000000" w:rsidDel="00000000" w:rsidP="00000000" w:rsidRDefault="00000000" w:rsidRPr="00000000" w14:paraId="00000034">
      <w:pPr>
        <w:spacing w:after="120" w:lineRule="auto"/>
        <w:ind w:left="0" w:firstLine="0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ind w:left="0" w:firstLine="0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ind w:left="0" w:firstLine="0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The Healthcare Provider (Doctor/Clinical User)</w:t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spacing w:after="0" w:afterAutospacing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Role: Uses the chatbot as a "Clinical Decision Support" (CDS) tool to quickly synthesize a patient's long-term history.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spacing w:after="0" w:afterAutospacing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Technical Profile: Moderate to High. Familiar with EMR systems but has very little time for manual data review.</w:t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spacing w:after="0" w:afterAutospacing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Needs:</w:t>
      </w:r>
    </w:p>
    <w:p w:rsidR="00000000" w:rsidDel="00000000" w:rsidP="00000000" w:rsidRDefault="00000000" w:rsidRPr="00000000" w14:paraId="0000003A">
      <w:pPr>
        <w:numPr>
          <w:ilvl w:val="1"/>
          <w:numId w:val="6"/>
        </w:numPr>
        <w:spacing w:after="0" w:afterAutospacing="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Precision: Requires the Knowledge Graph (UMLS/SNOMED) validation to ensure the bot doesn't suggest a drug that contradicts the patient's existing history.</w:t>
      </w:r>
    </w:p>
    <w:p w:rsidR="00000000" w:rsidDel="00000000" w:rsidP="00000000" w:rsidRDefault="00000000" w:rsidRPr="00000000" w14:paraId="0000003B">
      <w:pPr>
        <w:numPr>
          <w:ilvl w:val="1"/>
          <w:numId w:val="6"/>
        </w:numPr>
        <w:spacing w:after="0" w:afterAutospacing="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Efficiency: Uses the "Summarization" feature to see 5 years of lab results in 5 seconds.</w:t>
      </w:r>
    </w:p>
    <w:p w:rsidR="00000000" w:rsidDel="00000000" w:rsidP="00000000" w:rsidRDefault="00000000" w:rsidRPr="00000000" w14:paraId="0000003C">
      <w:pPr>
        <w:numPr>
          <w:ilvl w:val="1"/>
          <w:numId w:val="6"/>
        </w:numPr>
        <w:spacing w:after="12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Hybrid Search: Needs the system to find specific, non-semantic data points (like an exact 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HbA1c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value from 2024).</w:t>
      </w:r>
    </w:p>
    <w:p w:rsidR="00000000" w:rsidDel="00000000" w:rsidP="00000000" w:rsidRDefault="00000000" w:rsidRPr="00000000" w14:paraId="0000003D">
      <w:pPr>
        <w:spacing w:after="120" w:lineRule="auto"/>
        <w:ind w:left="0" w:firstLine="0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The Administrator (System/Client User)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0" w:afterAutospacing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Role: Manages the EMR JSON ingestion, monitors API usage (Gemini/Sarvam), and ensures system uptime.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afterAutospacing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Technical Profile: High. Likely a developer or data manager at NanoCare Health Services.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Needs:</w:t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spacing w:after="0" w:afterAutospacing="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Scalability: Monitors the FAISS vector database performance as more patient records are added.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afterAutospacing="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Security: Oversees the "Relative Time Encoding" process to ensure medical data remains useful but anonymized.</w:t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spacing w:after="12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Modularity: Responsible for the eventual migration from Cloud APIs to a self-hosted local LLM.</w:t>
      </w:r>
    </w:p>
    <w:p w:rsidR="00000000" w:rsidDel="00000000" w:rsidP="00000000" w:rsidRDefault="00000000" w:rsidRPr="00000000" w14:paraId="00000044">
      <w:pPr>
        <w:spacing w:after="120" w:lineRule="auto"/>
        <w:ind w:left="144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70fa9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Feature requirements (described using use cases)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left"/>
        <w:rPr>
          <w:rFonts w:ascii="Times New Roman" w:cs="Times New Roman" w:eastAsia="Times New Roman" w:hAnsi="Times New Roman"/>
          <w:color w:val="070fa9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80.0" w:type="dxa"/>
        <w:jc w:val="left"/>
        <w:tblInd w:w="-615.0" w:type="dxa"/>
        <w:tblLayout w:type="fixed"/>
        <w:tblLook w:val="0600"/>
      </w:tblPr>
      <w:tblGrid>
        <w:gridCol w:w="1545"/>
        <w:gridCol w:w="2370"/>
        <w:gridCol w:w="5295"/>
        <w:gridCol w:w="1170"/>
        <w:tblGridChange w:id="0">
          <w:tblGrid>
            <w:gridCol w:w="1545"/>
            <w:gridCol w:w="2370"/>
            <w:gridCol w:w="5295"/>
            <w:gridCol w:w="117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Release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Secure Role-Based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Users authenticate via a secure login, where the system assigns permissions (Patient, Doctor, or Admin) to control data visibility.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R1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EMR JSON Ingestion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Admin or Patient uploads structured JSON medical records. The system validates the schema to ensure data integrity before processing.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R1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Internal Process-01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Hybrid Retrieval 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system executes a simultaneous search of vector embeddings (semantic) and JSON keys (structural) to find relevant patient history for a query.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R1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Personalized Health Advice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Patient queries the chatbot about symptoms or history, and the system generates a response grounded in their specific "Medical ID."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R1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Evidence Citation Linking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system provides direct links/citations to the specific EMR records used to generate a response, allowing for human verification.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R1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Doctor’s Clinical Summary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 Healthcare Provider requests a high-level summary of longitudinal data, such as a trend analysis of lab results over several years.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R1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Multilingual Translation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system uses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Sarvam Mayura</w:t>
            </w:r>
            <w:r w:rsidDel="00000000" w:rsidR="00000000" w:rsidRPr="00000000">
              <w:rPr>
                <w:rtl w:val="0"/>
              </w:rPr>
              <w:t xml:space="preserve"> to translate user queries from regional languages (or code-mixed Hinglish) into English for the RAG pipeline.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R2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Audio Medical Synthesis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user toggles voice mode,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Sarvam Bulbul</w:t>
            </w:r>
            <w:r w:rsidDel="00000000" w:rsidR="00000000" w:rsidRPr="00000000">
              <w:rPr>
                <w:rtl w:val="0"/>
              </w:rPr>
              <w:t xml:space="preserve"> converts the chatbot's text response into a natural-sounding regional audio report.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R2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Internal Process-02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PII Anonymization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system identifies and scrubs names, phone numbers, and IDs from clinical data before sending prompts to external LLM APIs.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R2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Internal Process-03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Entity Mapping (UMLS)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system maps extracted medical terms from the chat/EMR to standardized codes (CUIs) in the UMLS/SNOMED CT knowledge base.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R2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Internal Process-04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KG Safety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system consults the Medical Knowledge Graph to check for contraindications or logical medical errors in the LLM's suggested advice.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R2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Emergency Triage 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If the system detects high-risk keywords (e.g., "stroke symptoms"), it immediately provides a prioritized emergency disclaimer and local help contact.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R2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Feedback &amp;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Doctor users can flag incorrect retrievals or responses, allowing the system to refine its ranking strategies and retrieval weights over time.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R2</w:t>
            </w:r>
          </w:p>
        </w:tc>
      </w:tr>
    </w:tbl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color w:val="070fa9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70fa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 case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70fa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070fa9"/>
        </w:rPr>
        <w:drawing>
          <wp:inline distB="114300" distT="114300" distL="114300" distR="114300">
            <wp:extent cx="5612130" cy="3086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i w:val="1"/>
          <w:iCs w:val="1"/>
          <w:color w:val="070fa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i w:val="1"/>
          <w:iCs w:val="1"/>
          <w:color w:val="070fa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i w:val="1"/>
          <w:iCs w:val="1"/>
          <w:color w:val="070fa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i w:val="1"/>
          <w:iCs w:val="1"/>
          <w:color w:val="070fa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i w:val="1"/>
          <w:iCs w:val="1"/>
          <w:color w:val="070fa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 case descriptions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76.0" w:type="dxa"/>
        <w:jc w:val="left"/>
        <w:tblInd w:w="269.99999999999994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40"/>
        <w:gridCol w:w="7236"/>
        <w:tblGridChange w:id="0">
          <w:tblGrid>
            <w:gridCol w:w="1440"/>
            <w:gridCol w:w="7236"/>
          </w:tblGrid>
        </w:tblGridChange>
      </w:tblGrid>
      <w:tr>
        <w:trPr>
          <w:cantSplit w:val="0"/>
          <w:trHeight w:val="35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Use Case Number: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UC-03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Use Case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Personalized Health Advice Generation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Overview: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The system provides a medically grounded response to a user's health query by retrieving relevant patient history from the EMR and synthesizing it with LLM reasoning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Actors: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Patient, Healthcare Provider (Doctor)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Pre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The user’s EMR JSON data must have been successfully ingested, time-encoded, and indexed into the FAISS vector database (UC-01, UC-02, Internal Process 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Flow: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Main (success) Flow: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 The user enters a health-related query into the chatbot interface. 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 The system triggers a</w:t>
            </w:r>
            <w:r w:rsidDel="00000000" w:rsidR="00000000" w:rsidRPr="00000000">
              <w:rPr>
                <w:rtl w:val="0"/>
              </w:rPr>
              <w:t xml:space="preserve"> Hybrid Retrieval</w:t>
            </w:r>
            <w:r w:rsidDel="00000000" w:rsidR="00000000" w:rsidRPr="00000000">
              <w:rPr>
                <w:rtl w:val="0"/>
              </w:rPr>
              <w:t xml:space="preserve"> search, querying both the semantic (vector) and structural (keyword) indexes of the patient's Medical ID. 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 The system identifies the Top-N most relevant medical events (e.g., past diagnoses, recent lab results, current medications).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4. The system scrubs any PII (Personally Identifiable Information) from the retrieved text segments.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5. The retrieved evidence is bundled into a structured prompt and sent to the LLM (Gemini/MedGemma). 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6. The LLM generates a response that directly references the retrieved evidence. </w:t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7. The system displays the response to the user along with clickable citations to the source EMR records.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color w:val="070fa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Post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user receives a personalized, evidence-backed answer, and the interaction is logged in the session history for follow-up queries.</w:t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70fa9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Number: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UC-01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Name: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Secure Role-Based Login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Overview: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Users authenticate securely using credentials. The system verifies their identity and assigns the correct access role (Patient, Doctor, or Admin) to control subsequent data visibility and feature access.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Patient, Healthcare Provider (Doctor), Administrator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The user must have a valid account registered in the system's user database.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Flow: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Main (success) Flow:</w:t>
            </w:r>
          </w:p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1. The user enters their username/email and password on the login screen. </w:t>
            </w:r>
          </w:p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2. The system hashes and compares the entered password with the stored credential. </w:t>
            </w:r>
          </w:p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3. Upon successful match, the system retrieves the user's assigned role (Patient, Doctor, or Admin). </w:t>
            </w:r>
          </w:p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4. The system grants access to the main dashboard/interface corresponding to the user's role. </w:t>
            </w:r>
          </w:p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Alternate Flow: </w:t>
            </w:r>
          </w:p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4a. If credentials are invalid, the system displays an "Invalid Credentials" error message.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The user is authenticated and logged into the system with the appropriate role permissions established for the session.</w:t>
            </w:r>
          </w:p>
        </w:tc>
      </w:tr>
    </w:tbl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Number: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UC-02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Name: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EMR JSON Ingestion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Overview: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The authorized user uploads a structured EMR JSON file. The system validates the file's schema and content, then processes it for indexing and feature generation for the patient's "Medical ID."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Patient, Administrator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The user must be logged in as an Administrator or the specific Patient user, and the EMR data must be in the required JSON format.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Flow: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Main (success) Flow:</w:t>
            </w:r>
          </w:p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1. The user navigates to the 'Upload EMR' section and selects a JSON file. </w:t>
            </w:r>
          </w:p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2. The system initiates schema validation (checking for required fields like dates, diagnoses, and lab results). </w:t>
            </w:r>
          </w:p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3. Upon successful validation, the system applies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Internal Process-02 (PII Anonymization)</w:t>
            </w:r>
            <w:r w:rsidDel="00000000" w:rsidR="00000000" w:rsidRPr="00000000">
              <w:rPr>
                <w:rtl w:val="0"/>
              </w:rPr>
              <w:t xml:space="preserve"> and time-encoding. </w:t>
            </w:r>
          </w:p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4. The system generates embeddings and indexes the data into the FAISS vector store. </w:t>
            </w:r>
          </w:p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5. The system confirms the ingestion is complete and the 'Medical ID' is updated. </w:t>
            </w:r>
          </w:p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Alternate Flow: </w:t>
            </w:r>
          </w:p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2a. If schema validation fails, the system displays an error specifying the missing or incorrect fields.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The patient's longitudinal EMR data is successfully parsed, anonymized, and indexed into the retrieval system, making it available for subsequent queries.</w:t>
            </w:r>
          </w:p>
        </w:tc>
      </w:tr>
    </w:tbl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Number: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UC-04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Name: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Evidence Citation Linking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Overview: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Following a personalized health advice query, the system displays clickable links or tags alongside the LLM's response, which lead directly to the source EMR records used as evidence.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Patient, Healthcare Provider (Doctor)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The system must have successfully executed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UC-03 (Personalized Health Advice)</w:t>
            </w:r>
            <w:r w:rsidDel="00000000" w:rsidR="00000000" w:rsidRPr="00000000">
              <w:rPr>
                <w:rtl w:val="0"/>
              </w:rPr>
              <w:t xml:space="preserve"> and identified the specific source records (chunks) used by the LLM.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Flow: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Main (success) Flow:</w:t>
            </w:r>
          </w:p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1. The LLM response is generated (Step 6 of UC-03). </w:t>
            </w:r>
          </w:p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2. The system tags each sentence or claim in the response with a unique identifier corresponding to the source EMR chunk. </w:t>
            </w:r>
          </w:p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3. The interface renders the response with these identifiers as clickable citation links (e.g., "[1]", "[2]"). </w:t>
            </w:r>
          </w:p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4. The user clicks on a citation link. </w:t>
            </w:r>
          </w:p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5. The system displays a pop-up or sidebar view of the original EMR data segment (e.g., "Diagnosis: Type 2 Diabetes, Date: 2021-05-10") used to support the claim.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The user can verify the medical advice against their actual EMR data, increasing trust and mitigating concerns about LLM hallucinations.</w:t>
            </w:r>
          </w:p>
        </w:tc>
      </w:tr>
    </w:tbl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Number: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UC-05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Name: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Doctor’s Clinical Summary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Overview: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A Healthcare Provider queries the system for a summarized, longitudinal overview of a patient's health status, focusing on trends, key changes, and historical milestones over a defined period.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Healthcare Provider (Doctor)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The Doctor is logged in (UC-01) and has selected a specific patient's record. The EMR data must be indexed (UC-02).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Flow: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Main (success) Flow:</w:t>
            </w:r>
          </w:p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1. The Doctor enters a high-level query (e.g., "Summarize the patient's diabetes management over the last 3 years"). </w:t>
            </w:r>
          </w:p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2. The system uses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Internal Process-01 (Hybrid Retrieval Search)</w:t>
            </w:r>
            <w:r w:rsidDel="00000000" w:rsidR="00000000" w:rsidRPr="00000000">
              <w:rPr>
                <w:rtl w:val="0"/>
              </w:rPr>
              <w:t xml:space="preserve"> to gather all relevant documents (e.g., HbA1c results, medication changes, doctor's notes). </w:t>
            </w:r>
          </w:p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3. The retrieved information is structured and sent to the LLM with instructions to generate a concise, clinically relevant summary. </w:t>
            </w:r>
          </w:p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4. The LLM generates a bulleted or paragraph summary of the trends and key events. </w:t>
            </w:r>
          </w:p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5. The system displays the summary to the Doctor, potentially including visual representations of trends (e.g., a simple chart).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The Doctor receives a rapid, synthesized overview of the patient's long-term history, aiding in quick clinical decision-making.</w:t>
            </w:r>
          </w:p>
        </w:tc>
      </w:tr>
    </w:tbl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Number: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UC-06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Name: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Multilingual Translation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Overview: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The system uses the Sarvam AI Mayura engine to accurately translate user inputs written in regional Indian languages or code-mixed text (e.g., Hinglish) into English before passing the query to the core RAG pipeline.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The user must be on the chat interface.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Sarvam AI (Mayura)</w:t>
            </w:r>
            <w:r w:rsidDel="00000000" w:rsidR="00000000" w:rsidRPr="00000000">
              <w:rPr>
                <w:rtl w:val="0"/>
              </w:rPr>
              <w:t xml:space="preserve"> API must be operational and accessible.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Flow: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Main (success) Flow:</w:t>
            </w:r>
          </w:p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1. The Patient enters a query in a non-English language or code-mixed format.</w:t>
            </w:r>
          </w:p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2. The system identifies the input as non-English and sends the text to the Sarvam Mayura API.</w:t>
            </w:r>
          </w:p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3. The Sarvam API returns the high-accuracy English translation.</w:t>
            </w:r>
          </w:p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4. The system uses the English translation as the input for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UC-03 (Personalized Health Advice)</w:t>
            </w:r>
            <w:r w:rsidDel="00000000" w:rsidR="00000000" w:rsidRPr="00000000">
              <w:rPr>
                <w:rtl w:val="0"/>
              </w:rPr>
              <w:t xml:space="preserve"> RAG process. </w:t>
            </w:r>
          </w:p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5. The RAG pipeline processes the query and generates an English response. </w:t>
            </w:r>
          </w:p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6. (Optional/Implicit: The system may translate the final response back to the user's language for display, or this is handled by UC-07).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  <w:t xml:space="preserve">A user query in a regional language is successfully translated and used to execute a RAG search, ensuring accessibility for non-English speakers.</w:t>
            </w:r>
          </w:p>
        </w:tc>
      </w:tr>
    </w:tbl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Number: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UC-07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Name: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Audio Medical Synthesis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Overview: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The user activates an audio mode, prompting the system to convert the generated text response (medical advice/summary) into natural-sounding speech using the Sarvam AI Bulbul Text-to-Speech engine.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The system must have a final text response ready for display (Post Condition of UC-03 or UC-05).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Sarvam AI (Bulbul)</w:t>
            </w:r>
            <w:r w:rsidDel="00000000" w:rsidR="00000000" w:rsidRPr="00000000">
              <w:rPr>
                <w:rtl w:val="0"/>
              </w:rPr>
              <w:t xml:space="preserve"> API must be operational.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Flow: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Main (success) Flow:</w:t>
            </w:r>
          </w:p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1. The user clicks the "Listen" or "Audio Mode" button next to the chat response.</w:t>
            </w:r>
          </w:p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2. The system captures the final text response.</w:t>
            </w:r>
          </w:p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3. The system sends the text to the Sarvam Bulbul API, specifying the desired regional accent/language. </w:t>
            </w:r>
          </w:p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4. The Sarvam API returns the synthesized audio stream (e.g., MP3 or WAV).</w:t>
            </w:r>
          </w:p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5. The system uses the Web Audio API to play the audio stream to the user.</w:t>
            </w:r>
          </w:p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Alternate Flow:</w:t>
            </w:r>
          </w:p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1a. If the text response is in a regional language (translated via UC-06), the audio synthesis is performed in that language.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The user receives the medical advice in an accessible audio format, catering to users with low literacy or visual impairments.</w:t>
            </w:r>
          </w:p>
        </w:tc>
      </w:tr>
    </w:tbl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Number: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  <w:t xml:space="preserve">UC-08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Name: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Emergency Triage Trigger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Overview: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If the user's query contains high-risk keywords or symptom descriptions indicative of an acute emergency, the system immediately halts the RAG process to display a critical emergency warning and local contact information.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  <w:t xml:space="preserve">The user enters a query into the chat interface. A pre-defined list of emergency keywords (e.g., "chest pain," "sudden numbness," "unconsciousness") is available for comparison.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Flow: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Main (success) Flow:</w:t>
            </w:r>
          </w:p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  <w:t xml:space="preserve">1. The user enters a query (e.g., "I have sudden, crushing chest pain").</w:t>
            </w:r>
          </w:p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  <w:t xml:space="preserve">2. The system's input processor scans the query against the emergency keyword list.</w:t>
            </w:r>
          </w:p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3. A match is found, triggering the triage workflow.</w:t>
            </w:r>
          </w:p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  <w:t xml:space="preserve">4. The system immediately interrupts the standard chat flow.</w:t>
            </w:r>
          </w:p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  <w:t xml:space="preserve">5. A prominent, red-colored disclaimer message is displayed: "This is a medical emergency. Do not wait for a response. Call [Local Emergency Number] immediately."</w:t>
            </w:r>
          </w:p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  <w:t xml:space="preserve">6. The system displays a list of local emergency resources or nearest hospitals. </w:t>
            </w:r>
          </w:p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Alternate Flow: </w:t>
            </w:r>
          </w:p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tl w:val="0"/>
              </w:rPr>
              <w:t xml:space="preserve">4a. If the system detects high-risk terms but requires confirmation (e.g., "Is the shortness of breath sudden and severe?"), it may ask a simple triage question before displaying the full alert.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  <w:t xml:space="preserve">The user is immediately alerted to a potential life-threatening situation and provided with actionable emergency contact information, prioritizing safety over personalized advice.</w:t>
            </w:r>
          </w:p>
        </w:tc>
      </w:tr>
    </w:tbl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Number: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 xml:space="preserve">UC-09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Name: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 xml:space="preserve">Feedback &amp; Correction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Overview: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  <w:t xml:space="preserve">Healthcare Providers can flag specific chatbot responses or citation links as incorrect or irrelevant. This feedback is captured to refine the underlying RAG system's retrieval weights and ranking algorithms.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  <w:t xml:space="preserve">Healthcare Provider (Doctor)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The Doctor must have received a response from the system (UC-03, UC-05) and be logged in. The feedback logging mechanism must be active.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Flow: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Main (success) Flow:</w:t>
            </w:r>
          </w:p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1. The Doctor views a response and identifies an issue (e.g., an irrelevant citation or an incorrect medical interpretation). </w:t>
            </w:r>
          </w:p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 xml:space="preserve">2. The Doctor clicks a "Flag for Review" or "Provide Feedback" button associated with the response or citation. </w:t>
            </w:r>
          </w:p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3. The Doctor inputs a text description of the error (e.g., "Retrieval should have focused on the 2024 results, not 2018"). </w:t>
            </w:r>
          </w:p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4. The system logs the entire interaction (query, response, retrieved chunks, and the Doctor's feedback) into a dedicated training/review database. </w:t>
            </w:r>
          </w:p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5. The system displays a confirmation message: "Feedback submitted for system improvement."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  <w:t xml:space="preserve">The system captures high-quality human-in-the-loop feedback, which will be used offline by the development team to adjust the Hybrid Search RRF weights and embedding relevance models.</w:t>
            </w:r>
          </w:p>
        </w:tc>
      </w:tr>
    </w:tbl>
    <w:p w:rsidR="00000000" w:rsidDel="00000000" w:rsidP="00000000" w:rsidRDefault="00000000" w:rsidRPr="00000000" w14:paraId="0000015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footerReference r:id="rId9" w:type="even"/>
      <w:pgSz w:h="15840" w:w="12240" w:orient="portrait"/>
      <w:pgMar w:bottom="1417" w:top="1417" w:left="1701" w:right="170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24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240" w:before="0" w:line="240" w:lineRule="auto"/>
      <w:ind w:left="0" w:right="36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2"/>
      <w:tblW w:w="9054.0" w:type="dxa"/>
      <w:jc w:val="left"/>
      <w:tblInd w:w="-108.0" w:type="dxa"/>
      <w:tblLayout w:type="fixed"/>
      <w:tblLook w:val="0000"/>
    </w:tblPr>
    <w:tblGrid>
      <w:gridCol w:w="4527"/>
      <w:gridCol w:w="4527"/>
      <w:tblGridChange w:id="0">
        <w:tblGrid>
          <w:gridCol w:w="4527"/>
          <w:gridCol w:w="4527"/>
        </w:tblGrid>
      </w:tblGridChange>
    </w:tblGrid>
    <w:tr>
      <w:trPr>
        <w:cantSplit w:val="0"/>
        <w:tblHeader w:val="0"/>
      </w:trPr>
      <w:tc>
        <w:tcPr>
          <w:vAlign w:val="top"/>
        </w:tcPr>
        <w:p w:rsidR="00000000" w:rsidDel="00000000" w:rsidP="00000000" w:rsidRDefault="00000000" w:rsidRPr="00000000" w14:paraId="0000016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Requirements</w:t>
          </w:r>
        </w:p>
      </w:tc>
      <w:tc>
        <w:tcPr>
          <w:vAlign w:val="top"/>
        </w:tcPr>
        <w:p w:rsidR="00000000" w:rsidDel="00000000" w:rsidP="00000000" w:rsidRDefault="00000000" w:rsidRPr="00000000" w14:paraId="0000016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Page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6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24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br w:type="textWrapping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24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120" w:lineRule="auto"/>
      <w:jc w:val="both"/>
    </w:pPr>
    <w:rPr>
      <w:rFonts w:ascii="Arial" w:cs="Arial" w:eastAsia="Arial" w:hAnsi="Arial"/>
      <w:b w:val="1"/>
      <w:bCs w:val="1"/>
      <w:sz w:val="24"/>
      <w:szCs w:val="24"/>
      <w:vertAlign w:val="baseline"/>
    </w:rPr>
  </w:style>
  <w:style w:type="paragraph" w:styleId="Heading2">
    <w:name w:val="heading 2"/>
    <w:basedOn w:val="Normal"/>
    <w:next w:val="Normal"/>
    <w:pPr>
      <w:keepNext w:val="1"/>
      <w:spacing w:after="240" w:lineRule="auto"/>
      <w:jc w:val="both"/>
    </w:pPr>
    <w:rPr>
      <w:rFonts w:ascii="Arial" w:cs="Arial" w:eastAsia="Arial" w:hAnsi="Arial"/>
      <w:b w:val="1"/>
      <w:bCs w:val="1"/>
      <w:vertAlign w:val="baseline"/>
    </w:rPr>
  </w:style>
  <w:style w:type="paragraph" w:styleId="Heading3">
    <w:name w:val="heading 3"/>
    <w:basedOn w:val="Normal"/>
    <w:next w:val="Normal"/>
    <w:pPr>
      <w:keepNext w:val="1"/>
      <w:spacing w:after="240" w:lineRule="auto"/>
      <w:jc w:val="both"/>
    </w:pPr>
    <w:rPr>
      <w:rFonts w:ascii="Arial" w:cs="Arial" w:eastAsia="Arial" w:hAnsi="Arial"/>
      <w:b w:val="1"/>
      <w:bCs w:val="1"/>
      <w:color w:val="000000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