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252"/>
          <w:tab w:val="right" w:leader="none" w:pos="8504"/>
        </w:tabs>
        <w:spacing w:after="240" w:before="0" w:line="240" w:lineRule="auto"/>
        <w:ind w:left="0" w:right="0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Software Requirements Specification (SRS) Document</w:t>
      </w:r>
      <w:r w:rsidDel="00000000" w:rsidR="00000000" w:rsidRPr="00000000">
        <w:rPr>
          <w:rtl w:val="0"/>
        </w:rPr>
      </w:r>
    </w:p>
    <w:tbl>
      <w:tblPr>
        <w:tblStyle w:val="Table1"/>
        <w:tblW w:w="6663.000000000001" w:type="dxa"/>
        <w:jc w:val="center"/>
        <w:tblLayout w:type="fixed"/>
        <w:tblLook w:val="0000"/>
      </w:tblPr>
      <w:tblGrid>
        <w:gridCol w:w="146"/>
        <w:gridCol w:w="6517"/>
        <w:tblGridChange w:id="0">
          <w:tblGrid>
            <w:gridCol w:w="146"/>
            <w:gridCol w:w="6517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2">
            <w:pPr>
              <w:spacing w:after="0" w:lineRule="auto"/>
              <w:jc w:val="center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3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Personal Health Chatbot</w:t>
            </w:r>
          </w:p>
          <w:p w:rsidR="00000000" w:rsidDel="00000000" w:rsidP="00000000" w:rsidRDefault="00000000" w:rsidRPr="00000000" w14:paraId="00000004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vertAlign w:val="baseline"/>
                <w:rtl w:val="0"/>
              </w:rPr>
              <w:t xml:space="preserve"> Team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7</w:t>
            </w:r>
          </w:p>
          <w:p w:rsidR="00000000" w:rsidDel="00000000" w:rsidP="00000000" w:rsidRDefault="00000000" w:rsidRPr="00000000" w14:paraId="00000005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Venya Velmurugan (2024114002)</w:t>
            </w:r>
          </w:p>
          <w:p w:rsidR="00000000" w:rsidDel="00000000" w:rsidP="00000000" w:rsidRDefault="00000000" w:rsidRPr="00000000" w14:paraId="00000006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Advait Dintakurti (2024111010)</w:t>
            </w:r>
          </w:p>
          <w:p w:rsidR="00000000" w:rsidDel="00000000" w:rsidP="00000000" w:rsidRDefault="00000000" w:rsidRPr="00000000" w14:paraId="00000007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Keshav Goel (2024101051)</w:t>
            </w:r>
          </w:p>
          <w:p w:rsidR="00000000" w:rsidDel="00000000" w:rsidP="00000000" w:rsidRDefault="00000000" w:rsidRPr="00000000" w14:paraId="00000008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Amish Goyal (2024101090)</w:t>
            </w:r>
          </w:p>
          <w:p w:rsidR="00000000" w:rsidDel="00000000" w:rsidP="00000000" w:rsidRDefault="00000000" w:rsidRPr="00000000" w14:paraId="00000009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Vikesh Kansal (2024101126)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spacing w:after="0" w:lineRule="auto"/>
              <w:jc w:val="left"/>
              <w:rPr>
                <w:b w:val="0"/>
                <w:bCs w:val="0"/>
                <w:sz w:val="24"/>
                <w:szCs w:val="24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spacing w:after="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pStyle w:val="Heading1"/>
        <w:rPr>
          <w:rFonts w:ascii="Times New Roman" w:cs="Times New Roman" w:eastAsia="Times New Roman" w:hAnsi="Times New Roman"/>
          <w:color w:val="070fa9"/>
          <w:sz w:val="22"/>
          <w:szCs w:val="22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Brief problem statement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left"/>
        <w:rPr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Electronic Health Records (EHRs) contain critical patient information but are often verbose, fragmented, and difficult to interpret efficiently in clinical contexts. Generic large language models provide non-personalized medical responses and fail to incorporate patient-specific medical history, leading to unsafe or irrelevant advice. This project aims to develop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clinically aware, privacy-conscious Personal Health Chatbot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that synthesizes structured EMR data to create a patient-specific "Medical ID". The system integrates hybrid retrieval, medical knowledge graphs (UMLS/SNOMED CT), multilingual interaction, and text-to-speech (TTS) capabilities to provide personalized, evidence-grounded medical insights while ensuring strict PII protection.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System requirements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spacing w:after="80" w:before="28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mzwovczdxt2b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Hardware Requirements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Server Environment: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0" w:before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Development: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Minimum 8GB RAM (16GB recommended for managing FAISS vector indexes and local embedding generation).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0" w:before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Deployment: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Multi-core CPU with AVX2 support for optimized retrieval performance.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before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GPU Support: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Optional NVIDIA GPU (8GB+ VRAM) for the planned transition from Gemini/Sarvam APIs to a fully self-hosted local LLM.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Client Device: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Modern web-browser-enabled device (Laptop/Mobile) with audio output for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TTS playback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3"/>
        <w:keepNext w:val="0"/>
        <w:spacing w:after="80" w:before="28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bookmarkStart w:colFirst="0" w:colLast="0" w:name="_g1nalzozjuop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Software Requirements</w:t>
      </w:r>
    </w:p>
    <w:p w:rsidR="00000000" w:rsidDel="00000000" w:rsidP="00000000" w:rsidRDefault="00000000" w:rsidRPr="00000000" w14:paraId="00000016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trcvv9bgrnab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Backend &amp; Reasoning Pipeline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spacing w:after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Core Language: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Python 3.9+</w:t>
      </w:r>
    </w:p>
    <w:p w:rsidR="00000000" w:rsidDel="00000000" w:rsidP="00000000" w:rsidRDefault="00000000" w:rsidRPr="00000000" w14:paraId="00000018">
      <w:pPr>
        <w:numPr>
          <w:ilvl w:val="0"/>
          <w:numId w:val="8"/>
        </w:numPr>
        <w:spacing w:after="0"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Framework: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FastAPI (for high-concurrency, asynchronous API handling).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spacing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Validation: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PyTest (for end-to-end clinical logic and retrieval testing).</w:t>
      </w:r>
    </w:p>
    <w:p w:rsidR="00000000" w:rsidDel="00000000" w:rsidP="00000000" w:rsidRDefault="00000000" w:rsidRPr="00000000" w14:paraId="0000001A">
      <w:pPr>
        <w:spacing w:before="240" w:lineRule="auto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40" w:lineRule="auto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1uyi1i3x1ocj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LLM &amp; Multilingual Interaction (Sarvam AI Integration)</w:t>
      </w:r>
    </w:p>
    <w:p w:rsidR="00000000" w:rsidDel="00000000" w:rsidP="00000000" w:rsidRDefault="00000000" w:rsidRPr="00000000" w14:paraId="0000001D">
      <w:pPr>
        <w:numPr>
          <w:ilvl w:val="0"/>
          <w:numId w:val="7"/>
        </w:numPr>
        <w:spacing w:after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Primary LLM: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Gemini API (Phase 1 prototype) via a modular adapter, plan to transition to MedGemma ultimately.</w:t>
      </w:r>
    </w:p>
    <w:p w:rsidR="00000000" w:rsidDel="00000000" w:rsidP="00000000" w:rsidRDefault="00000000" w:rsidRPr="00000000" w14:paraId="0000001E">
      <w:pPr>
        <w:numPr>
          <w:ilvl w:val="0"/>
          <w:numId w:val="7"/>
        </w:numPr>
        <w:spacing w:after="0"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Multilingual Engine: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Sarvam AI (Mayura)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high-accuracy translation between English and 10+ Indic languages.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Speech Synthesis: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Sarvam AI (Bulbul)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natural-sounding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Text-to-Speech (TTS)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 regional accents.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Indic Support: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Native handling of code-mixed queries (e.g., Hindi-English) for more natural patient interactions.</w:t>
      </w:r>
    </w:p>
    <w:p w:rsidR="00000000" w:rsidDel="00000000" w:rsidP="00000000" w:rsidRDefault="00000000" w:rsidRPr="00000000" w14:paraId="00000021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iw2byxywaxl1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Retrieval Augmented Generation (RAG) &amp; Knowledge Graphs</w:t>
      </w:r>
    </w:p>
    <w:p w:rsidR="00000000" w:rsidDel="00000000" w:rsidP="00000000" w:rsidRDefault="00000000" w:rsidRPr="00000000" w14:paraId="00000022">
      <w:pPr>
        <w:numPr>
          <w:ilvl w:val="0"/>
          <w:numId w:val="5"/>
        </w:numPr>
        <w:spacing w:after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Embeddings: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sapBERT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for semantic clinical stream splitting.</w:t>
      </w:r>
    </w:p>
    <w:p w:rsidR="00000000" w:rsidDel="00000000" w:rsidP="00000000" w:rsidRDefault="00000000" w:rsidRPr="00000000" w14:paraId="00000023">
      <w:pPr>
        <w:numPr>
          <w:ilvl w:val="0"/>
          <w:numId w:val="5"/>
        </w:numPr>
        <w:spacing w:after="0"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Vector Store: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FAISS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for efficient similarity search within the "Medical ID".</w:t>
      </w:r>
    </w:p>
    <w:p w:rsidR="00000000" w:rsidDel="00000000" w:rsidP="00000000" w:rsidRDefault="00000000" w:rsidRPr="00000000" w14:paraId="00000024">
      <w:pPr>
        <w:numPr>
          <w:ilvl w:val="0"/>
          <w:numId w:val="5"/>
        </w:numPr>
        <w:spacing w:after="0"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Hybrid Search: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Custom implementation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Reciprocal Rank Fusion (RRF)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to combine semantic (vector) and structural (JSON-key) results.</w:t>
      </w:r>
    </w:p>
    <w:p w:rsidR="00000000" w:rsidDel="00000000" w:rsidP="00000000" w:rsidRDefault="00000000" w:rsidRPr="00000000" w14:paraId="00000025">
      <w:pPr>
        <w:numPr>
          <w:ilvl w:val="0"/>
          <w:numId w:val="5"/>
        </w:numPr>
        <w:spacing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Knowledge Graphs: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Integration with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UMLS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SNOMED CT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via the KG Consultation layer for clinical rule validation.</w:t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obubwf3oum0s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Frontend &amp; UI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Framework: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Next.js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or a responsive, stateful dashboard.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Audio Integration: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Web Audio API for playback of Sarvam-generated medical advice.</w:t>
      </w:r>
    </w:p>
    <w:p w:rsidR="00000000" w:rsidDel="00000000" w:rsidP="00000000" w:rsidRDefault="00000000" w:rsidRPr="00000000" w14:paraId="00000029">
      <w:pPr>
        <w:pStyle w:val="Heading4"/>
        <w:keepNext w:val="0"/>
        <w:keepLines w:val="0"/>
        <w:jc w:val="left"/>
        <w:rPr>
          <w:rFonts w:ascii="Times New Roman" w:cs="Times New Roman" w:eastAsia="Times New Roman" w:hAnsi="Times New Roman"/>
          <w:sz w:val="22"/>
          <w:szCs w:val="22"/>
        </w:rPr>
      </w:pPr>
      <w:bookmarkStart w:colFirst="0" w:colLast="0" w:name="_n11qybcsmxlw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Security &amp; Privacy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before="24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PII Anonymization: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 dedicated data-scrubbing layer to remove patient identifiers before sending prompts to external APIs (Gemini/Sarvam).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before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Access Control: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Role-Based Access Control (RBAC) to manage permissions for Patients, Doctors, and Admins.</w:t>
      </w:r>
    </w:p>
    <w:p w:rsidR="00000000" w:rsidDel="00000000" w:rsidP="00000000" w:rsidRDefault="00000000" w:rsidRPr="00000000" w14:paraId="0000002C">
      <w:pPr>
        <w:pStyle w:val="Heading1"/>
        <w:rPr/>
      </w:pPr>
      <w:bookmarkStart w:colFirst="0" w:colLast="0" w:name="_uwyionrpxwh8" w:id="7"/>
      <w:bookmarkEnd w:id="7"/>
      <w:r w:rsidDel="00000000" w:rsidR="00000000" w:rsidRPr="00000000">
        <w:rPr>
          <w:rtl w:val="0"/>
        </w:rPr>
        <w:t xml:space="preserve">Users profile</w:t>
      </w:r>
    </w:p>
    <w:p w:rsidR="00000000" w:rsidDel="00000000" w:rsidP="00000000" w:rsidRDefault="00000000" w:rsidRPr="00000000" w14:paraId="0000002D">
      <w:pPr>
        <w:spacing w:after="12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Patient (End User)</w:t>
      </w:r>
    </w:p>
    <w:p w:rsidR="00000000" w:rsidDel="00000000" w:rsidP="00000000" w:rsidRDefault="00000000" w:rsidRPr="00000000" w14:paraId="0000002E">
      <w:pPr>
        <w:numPr>
          <w:ilvl w:val="0"/>
          <w:numId w:val="9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Role: Seeks personalized health insights, uploads new reports, and interacts with the chatbot for symptom checking or history clarification.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9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Technical Profile: Low to Moderate. May not be familiar with medical jargon or complex software.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9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Needs: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1"/>
          <w:numId w:val="9"/>
        </w:numPr>
        <w:spacing w:after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Accessibility: Relies on the Sarvam AI multilingual and TTS features to overcome language or literacy barriers.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1"/>
          <w:numId w:val="9"/>
        </w:numPr>
        <w:spacing w:after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Trust: Requires clear "Evidence Citations" to know the advice comes from their actual records, not a "hallucination."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1"/>
          <w:numId w:val="9"/>
        </w:numPr>
        <w:spacing w:after="12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Privacy: Needs assurance that their PII (name, address, ID numbers) is protected via the anonymization layer.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Healthcare Provider (Doctor/Clinical User)</w:t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Role: Uses the chatbot as a "Clinical Decision Support" (CDS) tool to quickly synthesize a patient's long-term history.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Technical Profile: Moderate to High. Familiar with EMR systems but has very little time for manual data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Needs: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spacing w:after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Precision: Requires the Knowledge Graph (UMLS/SNOMED) validation to ensure the bot doesn't suggest a drug that contradicts the patient's existing history.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after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Efficiency: Uses the "Summarization" feature to see 5 years of lab results in 5 seconds.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1"/>
          <w:numId w:val="6"/>
        </w:numPr>
        <w:spacing w:after="12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Hybrid Search: Needs the system to find specific, non-semantic data points (like an exact </w:t>
      </w:r>
      <w:r w:rsidDel="00000000" w:rsidR="00000000" w:rsidRPr="00000000">
        <w:rPr>
          <w:rFonts w:ascii="Roboto Mono" w:cs="Roboto Mono" w:eastAsia="Roboto Mono" w:hAnsi="Roboto Mono"/>
          <w:sz w:val="22"/>
          <w:szCs w:val="22"/>
          <w:rtl w:val="0"/>
        </w:rPr>
        <w:t xml:space="preserve">HbA1c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value from 2024).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ind w:left="0" w:firstLine="0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The Administrator (System/Client User)</w:t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Role: Manages the EMR JSON ingestion, monitors API usage (Gemini/Sarvam), and ensures system uptime.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Technical Profile: High. Likely a developer or data manager at NanoCare Health Services.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lineRule="auto"/>
        <w:ind w:left="72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Needs: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Scalability: Monitors the FAISS vector database performance as more patient records are added.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Security: Oversees the "Relative Time Encoding" process to ensure medical data remains useful but anonymized.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120" w:lineRule="auto"/>
        <w:ind w:left="1440" w:hanging="36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Modularity: Responsible for the eventual migration from Cloud APIs to a self-hosted local LLM.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ind w:left="1440" w:firstLine="0"/>
        <w:jc w:val="left"/>
        <w:rPr>
          <w:rFonts w:ascii="Times New Roman" w:cs="Times New Roman" w:eastAsia="Times New Roman" w:hAnsi="Times New Roman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70fa9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Feature requirements (described using use cases)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left"/>
        <w:rPr>
          <w:rFonts w:ascii="Times New Roman" w:cs="Times New Roman" w:eastAsia="Times New Roman" w:hAnsi="Times New Roman"/>
          <w:color w:val="070fa9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80.0" w:type="dxa"/>
        <w:jc w:val="left"/>
        <w:tblInd w:w="-615.0" w:type="dxa"/>
        <w:tblLayout w:type="fixed"/>
        <w:tblLook w:val="0600"/>
      </w:tblPr>
      <w:tblGrid>
        <w:gridCol w:w="1545"/>
        <w:gridCol w:w="2370"/>
        <w:gridCol w:w="5295"/>
        <w:gridCol w:w="1170"/>
        <w:tblGridChange w:id="0">
          <w:tblGrid>
            <w:gridCol w:w="1545"/>
            <w:gridCol w:w="2370"/>
            <w:gridCol w:w="5295"/>
            <w:gridCol w:w="1170"/>
          </w:tblGrid>
        </w:tblGridChange>
      </w:tblGrid>
      <w:tr>
        <w:trPr>
          <w:cantSplit w:val="0"/>
          <w:trHeight w:val="53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Release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Secure Role-Based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Users authenticate via a secure login, where the system assigns permissions (Patient, Doctor, or Admin) to control data visibility.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EMR JSON Ingestion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Admin or Patient uploads structured JSON medical records. The system validates the schema to ensure data integrity before processing.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Hybrid Retrieval 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executes a simultaneous search of vector embeddings (semantic) and JSON keys (structural) to find relevant patient history for a query.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Personalized Health Advice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Patient queries the chatbot about symptoms or history, and the system generates a response grounded in their specific "Medical ID."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 Citation Linking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provides direct links/citations to the specific EMR records used to generate a response, allowing for human verification.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Doctor’s Clinical Summary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 Healthcare Provider requests a high-level summary of longitudinal data, such as a trend analysis of lab results over several years.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R1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Multilingual Translation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uses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Sarvam Mayura</w:t>
            </w:r>
            <w:r w:rsidDel="00000000" w:rsidR="00000000" w:rsidRPr="00000000">
              <w:rPr>
                <w:rtl w:val="0"/>
              </w:rPr>
              <w:t xml:space="preserve"> to translate user queries from regional languages (or code-mixed Hinglish) into English for the RAG pipeline.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Audio Medical Synthesis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user toggles voice mode, and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Sarvam Bulbul</w:t>
            </w:r>
            <w:r w:rsidDel="00000000" w:rsidR="00000000" w:rsidRPr="00000000">
              <w:rPr>
                <w:rtl w:val="0"/>
              </w:rPr>
              <w:t xml:space="preserve"> converts the chatbot's text response into a natural-sounding regional audio report.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PII Anonymization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identifies and scrubs names, phone numbers, and IDs from clinical data before sending prompts to external LLM APIs.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Entity Mapping (UMLS)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maps extracted medical terms from the chat/EMR to standardized codes (CUIs) in the UMLS/SNOMED CT knowledge base.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KG Safety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system consults the Medical Knowledge Graph to check for contraindications or logical medical errors in the LLM's suggested advice.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Emergency Triage 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If the system detects high-risk keywords (e.g., "stroke symptoms"), it immediately provides a prioritized emergency disclaimer and local help contact.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  <w:tr>
        <w:trPr>
          <w:cantSplit w:val="0"/>
          <w:trHeight w:val="13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UC-09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Feedback &amp; Correction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Doctor users can flag incorrect retrievals or responses, allowing the system to refine its ranking strategies and retrieval weights over time.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="276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R2</w:t>
            </w:r>
          </w:p>
        </w:tc>
      </w:tr>
    </w:tbl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color w:val="070fa9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70fa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case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70fa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070fa9"/>
        </w:rPr>
        <w:drawing>
          <wp:inline distB="114300" distT="114300" distL="114300" distR="114300">
            <wp:extent cx="5612130" cy="3086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i w:val="1"/>
          <w:iCs w:val="1"/>
          <w:color w:val="070fa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case descriptions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76.0" w:type="dxa"/>
        <w:jc w:val="left"/>
        <w:tblInd w:w="269.99999999999994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40"/>
        <w:gridCol w:w="7236"/>
        <w:tblGridChange w:id="0">
          <w:tblGrid>
            <w:gridCol w:w="1440"/>
            <w:gridCol w:w="7236"/>
          </w:tblGrid>
        </w:tblGridChange>
      </w:tblGrid>
      <w:tr>
        <w:trPr>
          <w:cantSplit w:val="0"/>
          <w:trHeight w:val="35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UC-03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Personalized Health Advice Generation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The system provides a medically grounded response to a user's health query by retrieving relevant patient history from the EMR and synthesizing it with LLM reasoning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Patient, Healthcare Provider (Doctor)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The user’s EMR JSON data must have been successfully ingested, time-encoded, and indexed into the FAISS vector database (UC-01, UC-02, Internal Process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 The user enters a health-related query into the chatbot interface. </w:t>
            </w:r>
          </w:p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2. The system triggers a Hybrid Retrieval search, querying both the semantic (vector) and structural (keyword) indexes of the patient's Medical ID. </w:t>
            </w:r>
          </w:p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3. The system identifies the Top-N most relevant medical events (e.g., past diagnoses, recent lab results, current medications).</w:t>
            </w:r>
          </w:p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4. The system scrubs any PII (Personally Identifiable Information) from the retrieved text segments.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 5. The retrieved evidence is bundled into a structured prompt and sent to the LLM (Gemini/MedGemma). 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6. The LLM generates a response that directly references the retrieved evidence. </w:t>
            </w:r>
          </w:p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7. The system displays the response to the user along with clickable citations to the source EMR records.</w:t>
            </w:r>
          </w:p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color w:val="070fa9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The user receives a personalized, evidence-backed answer, and the interaction is logged in the session history for follow-up queries.</w:t>
            </w:r>
          </w:p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70fa9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UC-01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Secure Role-Based Login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Users authenticate securely using credentials. The system verifies their identity and assigns the correct access role (Patient, Doctor, or Admin) to control subsequent data visibility and feature access.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Patient, Healthcare Provider (Doctor), Administrator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The user must have a valid account registered in the system's user database.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1. The user enters their username/email and password on the login screen. </w:t>
            </w:r>
          </w:p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hashes and compares the entered password with the stored credential. 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3. Upon successful match, the system retrieves the user's assigned role (Patient, Doctor, or Admin). </w:t>
            </w:r>
          </w:p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grants access to the main dashboard/interface corresponding to the user's role. </w:t>
            </w:r>
          </w:p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Alternate Flow: </w:t>
            </w:r>
          </w:p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4a. If credentials are invalid, the system displays an "Invalid Credentials" error message.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The user is authenticated and logged into the system with the appropriate role permissions established for the session.</w:t>
            </w:r>
          </w:p>
        </w:tc>
      </w:tr>
    </w:tbl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UC-02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EMR JSON Ingestion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The authorized user uploads a structured EMR JSON file. The system validates the file's schema and content, then processes it for indexing and feature generation for the patient's "Medical ID."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Patient, Administrator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The user must be logged in as an Administrator or the specific Patient user, and the EMR data must be in the required JSON format.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1. The user navigates to the 'Upload EMR' section and selects a JSON file. </w:t>
            </w:r>
          </w:p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initiates schema validation (checking for required fields like dates, diagnoses, and lab results). </w:t>
            </w:r>
          </w:p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3. Upon successful validation, the system applies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Process-02 (PII Anonymization)</w:t>
            </w:r>
            <w:r w:rsidDel="00000000" w:rsidR="00000000" w:rsidRPr="00000000">
              <w:rPr>
                <w:rtl w:val="0"/>
              </w:rPr>
              <w:t xml:space="preserve"> and time-encoding. </w:t>
            </w:r>
          </w:p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generates embeddings and indexes the data into the FAISS vector store. </w:t>
            </w:r>
          </w:p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confirms the ingestion is complete and the 'Medical ID' is updated. </w:t>
            </w:r>
          </w:p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Alternate Flow: </w:t>
            </w:r>
          </w:p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2a. If schema validation fails, the system displays an error specifying the missing or incorrect fields.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The patient's longitudinal EMR data is successfully parsed, anonymized, and indexed into the retrieval system, making it available for subsequent queries.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UC-04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Evidence Citation Linking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Following a personalized health advice query, the system displays clickable links or tags alongside the LLM's response, which lead directly to the source EMR records used as evidence.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Patient, Healthcare Provider (Doctor)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The system must have successfully executed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UC-03 (Personalized Health Advice)</w:t>
            </w:r>
            <w:r w:rsidDel="00000000" w:rsidR="00000000" w:rsidRPr="00000000">
              <w:rPr>
                <w:rtl w:val="0"/>
              </w:rPr>
              <w:t xml:space="preserve"> and identified the specific source records (chunks) used by the LLM.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1. The LLM response is generated (Step 6 of UC-03). </w:t>
            </w:r>
          </w:p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tags each sentence or claim in the response with a unique identifier corresponding to the source EMR chunk. </w:t>
            </w:r>
          </w:p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3. The interface renders the response with these identifiers as clickable citation links (e.g., "[1]", "[2]"). </w:t>
            </w:r>
          </w:p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4. The user clicks on a citation link. </w:t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displays a pop-up or sidebar view of the original EMR data segment (e.g., "Diagnosis: Type 2 Diabetes, Date: 2021-05-10") used to support the claim.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The user can verify the medical advice against their actual EMR data, increasing trust and mitigating concerns about LLM hallucinations.</w:t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UC-05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Doctor’s Clinical Summary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A Healthcare Provider queries the system for a summarized, longitudinal overview of a patient's health status, focusing on trends, key changes, and historical milestones over a defined period.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Healthcare Provider (Doctor)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The Doctor is logged in (UC-01) and has selected a specific patient's record. The EMR data must be indexed (UC-02).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1. The Doctor enters a high-level query (e.g., "Summarize the patient's diabetes management over the last 3 years"). </w:t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uses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Internal Process-01 (Hybrid Retrieval Search)</w:t>
            </w:r>
            <w:r w:rsidDel="00000000" w:rsidR="00000000" w:rsidRPr="00000000">
              <w:rPr>
                <w:rtl w:val="0"/>
              </w:rPr>
              <w:t xml:space="preserve"> to gather all relevant documents (e.g., HbA1c results, medication changes, doctor's notes). </w:t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3. The retrieved information is structured and sent to the LLM with instructions to generate a concise, clinically relevant summary. </w:t>
            </w:r>
          </w:p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4. The LLM generates a bulleted or paragraph summary of the trends and key events. </w:t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displays the summary to the Doctor, potentially including visual representations of trends (e.g., a simple chart).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The Doctor receives a rapid, synthesized overview of the patient's long-term history, aiding in quick clinical decision-making.</w:t>
            </w:r>
          </w:p>
        </w:tc>
      </w:tr>
    </w:tbl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UC-06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Multilingual Translation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The system uses the Sarvam AI Mayura engine to accurately translate user inputs written in regional Indian languages or code-mixed text (e.g., Hinglish) into English before passing the query to the core RAG pipeline.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The user must be on the chat interface.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Sarvam AI (Mayura)</w:t>
            </w:r>
            <w:r w:rsidDel="00000000" w:rsidR="00000000" w:rsidRPr="00000000">
              <w:rPr>
                <w:rtl w:val="0"/>
              </w:rPr>
              <w:t xml:space="preserve"> API must be operational and accessible.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1. The Patient enters a query in a non-English language or code-mixed format.</w:t>
            </w:r>
          </w:p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identifies the input as non-English and sends the text to the Sarvam Mayura API.</w:t>
            </w:r>
          </w:p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3. The Sarvam API returns the high-accuracy English translation.</w:t>
            </w:r>
          </w:p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uses the English translation as the input for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UC-03 (Personalized Health Advice)</w:t>
            </w:r>
            <w:r w:rsidDel="00000000" w:rsidR="00000000" w:rsidRPr="00000000">
              <w:rPr>
                <w:rtl w:val="0"/>
              </w:rPr>
              <w:t xml:space="preserve"> RAG process. </w:t>
            </w:r>
          </w:p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5. The RAG pipeline processes the query and generates an English response. </w:t>
            </w:r>
          </w:p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6. (Optional/Implicit: The system may translate the final response back to the user's language for display, or this is handled by UC-07).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A user query in a regional language is successfully translated and used to execute a RAG search, ensuring accessibility for non-English speakers.</w:t>
            </w:r>
          </w:p>
        </w:tc>
      </w:tr>
    </w:tbl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UC-07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Audio Medical Synthesis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The user activates an audio mode, prompting the system to convert the generated text response (medical advice/summary) into natural-sounding speech using the Sarvam AI Bulbul Text-to-Speech engine.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The system must have a final text response ready for display (Post Condition of UC-03 or UC-05). The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Sarvam AI (Bulbul)</w:t>
            </w:r>
            <w:r w:rsidDel="00000000" w:rsidR="00000000" w:rsidRPr="00000000">
              <w:rPr>
                <w:rtl w:val="0"/>
              </w:rPr>
              <w:t xml:space="preserve"> API must be operational.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1. The user clicks the "Listen" or "Audio Mode" button next to the chat response.</w:t>
            </w:r>
          </w:p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2. The system captures the final text response.</w:t>
            </w:r>
          </w:p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3. The system sends the text to the Sarvam Bulbul API, specifying the desired regional accent/language. </w:t>
            </w:r>
          </w:p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4. The Sarvam API returns the synthesized audio stream (e.g., MP3 or WAV).</w:t>
            </w:r>
          </w:p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uses the Web Audio API to play the audio stream to the user.</w:t>
            </w:r>
          </w:p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Alternate Flow:</w:t>
            </w:r>
          </w:p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1a. If the text response is in a regional language (translated via UC-06), the audio synthesis is performed in that language.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The user receives the medical advice in an accessible audio format, catering to users with low literacy or visual impairments.</w:t>
            </w:r>
          </w:p>
        </w:tc>
      </w:tr>
    </w:tbl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UC-08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Emergency Triage Trigger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If the user's query contains high-risk keywords or symptom descriptions indicative of an acute emergency, the system immediately halts the RAG process to display a critical emergency warning and local contact information.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Patient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tl w:val="0"/>
              </w:rPr>
              <w:t xml:space="preserve">The user enters a query into the chat interface. A pre-defined list of emergency keywords (e.g., "chest pain," "sudden numbness," "unconsciousness") is available for comparison.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tl w:val="0"/>
              </w:rPr>
              <w:t xml:space="preserve">1. The user enters a query (e.g., "I have sudden, crushing chest pain").</w:t>
            </w:r>
          </w:p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2. The system's input processor scans the query against the emergency keyword list.</w:t>
            </w:r>
          </w:p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3. A match is found, triggering the triage workflow.</w:t>
            </w:r>
          </w:p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immediately interrupts the standard chat flow.</w:t>
            </w:r>
          </w:p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5. A prominent, red-colored disclaimer message is displayed: "This is a medical emergency. Do not wait for a response. Call [Local Emergency Number] immediately."</w:t>
            </w:r>
          </w:p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6. The system displays a list of local emergency resources or nearest hospitals. </w:t>
            </w:r>
          </w:p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Alternate Flow: </w:t>
            </w:r>
          </w:p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4a. If the system detects high-risk terms but requires confirmation (e.g., "Is the shortness of breath sudden and severe?"), it may ask a simple triage question before displaying the full alert.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The user is immediately alerted to a potential life-threatening situation and provided with actionable emergency contact information, prioritizing safety over personalized advice.</w:t>
            </w:r>
          </w:p>
        </w:tc>
      </w:tr>
    </w:tbl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000"/>
        <w:gridCol w:w="5000"/>
        <w:tblGridChange w:id="0">
          <w:tblGrid>
            <w:gridCol w:w="5000"/>
            <w:gridCol w:w="50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Number: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UC-09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Use Case Name: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Feedback &amp; Correction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Overview: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tl w:val="0"/>
              </w:rPr>
              <w:t xml:space="preserve">Healthcare Providers can flag specific chatbot responses or citation links as incorrect or irrelevant. This feedback is captured to refine the underlying RAG system's retrieval weights and ranking algorithms.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Actors: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tl w:val="0"/>
              </w:rPr>
              <w:t xml:space="preserve">Healthcare Provider (Doctor)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The Doctor must have received a response from the system (UC-03, UC-05) and be logged in. The feedback logging mechanism must be active.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Flow: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Main (success) Flow:</w:t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1. The Doctor views a response and identifies an issue (e.g., an irrelevant citation or an incorrect medical interpretation). </w:t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2. The Doctor clicks a "Flag for Review" or "Provide Feedback" button associated with the response or citation. </w:t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3. The Doctor inputs a text description of the error (e.g., "Retrieval should have focused on the 2024 results, not 2018"). </w:t>
            </w:r>
          </w:p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4. The system logs the entire interaction (query, response, retrieved chunks, and the Doctor's feedback) into a dedicated training/review database. </w:t>
            </w:r>
          </w:p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5. The system displays a confirmation message: "Feedback submitted for system improvement."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 Condition: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The system captures high-quality human-in-the-loop feedback, which will be used offline by the development team to adjust the Hybrid Search RRF weights and embedding relevance models.</w:t>
            </w:r>
          </w:p>
        </w:tc>
      </w:tr>
    </w:tbl>
    <w:p w:rsidR="00000000" w:rsidDel="00000000" w:rsidP="00000000" w:rsidRDefault="00000000" w:rsidRPr="00000000" w14:paraId="0000015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footerReference r:id="rId9" w:type="even"/>
      <w:pgSz w:h="15840" w:w="12240" w:orient="portrait"/>
      <w:pgMar w:bottom="1417" w:top="1417" w:left="1701" w:right="17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E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12"/>
      <w:tblW w:w="9054.0" w:type="dxa"/>
      <w:jc w:val="left"/>
      <w:tblInd w:w="-108.0" w:type="dxa"/>
      <w:tblLayout w:type="fixed"/>
      <w:tblLook w:val="0000"/>
    </w:tblPr>
    <w:tblGrid>
      <w:gridCol w:w="4527"/>
      <w:gridCol w:w="4527"/>
      <w:tblGridChange w:id="0">
        <w:tblGrid>
          <w:gridCol w:w="4527"/>
          <w:gridCol w:w="4527"/>
        </w:tblGrid>
      </w:tblGridChange>
    </w:tblGrid>
    <w:tr>
      <w:trPr>
        <w:cantSplit w:val="0"/>
        <w:tblHeader w:val="0"/>
      </w:trPr>
      <w:tc>
        <w:tcPr>
          <w:vAlign w:val="top"/>
        </w:tcPr>
        <w:p w:rsidR="00000000" w:rsidDel="00000000" w:rsidP="00000000" w:rsidRDefault="00000000" w:rsidRPr="00000000" w14:paraId="0000015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Requirements</w:t>
          </w:r>
        </w:p>
      </w:tc>
      <w:tc>
        <w:tcPr>
          <w:vAlign w:val="top"/>
        </w:tcPr>
        <w:p w:rsidR="00000000" w:rsidDel="00000000" w:rsidP="00000000" w:rsidRDefault="00000000" w:rsidRPr="00000000" w14:paraId="0000016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252"/>
              <w:tab w:val="right" w:leader="none" w:pos="8504"/>
            </w:tabs>
            <w:spacing w:after="0" w:before="0" w:line="240" w:lineRule="auto"/>
            <w:ind w:left="0" w:right="0" w:firstLine="0"/>
            <w:jc w:val="righ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Page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6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6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240" w:before="0" w:line="240" w:lineRule="auto"/>
      <w:ind w:left="0" w:right="36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br w:type="textWrapping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4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120" w:before="120" w:lineRule="auto"/>
      <w:jc w:val="both"/>
    </w:pPr>
    <w:rPr>
      <w:rFonts w:ascii="Arial" w:cs="Arial" w:eastAsia="Arial" w:hAnsi="Arial"/>
      <w:b w:val="1"/>
      <w:bCs w:val="1"/>
      <w:sz w:val="24"/>
      <w:szCs w:val="24"/>
      <w:vertAlign w:val="baseline"/>
    </w:rPr>
  </w:style>
  <w:style w:type="paragraph" w:styleId="Heading2">
    <w:name w:val="heading 2"/>
    <w:basedOn w:val="Normal"/>
    <w:next w:val="Normal"/>
    <w:pPr>
      <w:keepNext w:val="1"/>
      <w:spacing w:after="240" w:lineRule="auto"/>
      <w:jc w:val="both"/>
    </w:pPr>
    <w:rPr>
      <w:rFonts w:ascii="Arial" w:cs="Arial" w:eastAsia="Arial" w:hAnsi="Arial"/>
      <w:b w:val="1"/>
      <w:bCs w:val="1"/>
      <w:vertAlign w:val="baseline"/>
    </w:rPr>
  </w:style>
  <w:style w:type="paragraph" w:styleId="Heading3">
    <w:name w:val="heading 3"/>
    <w:basedOn w:val="Normal"/>
    <w:next w:val="Normal"/>
    <w:pPr>
      <w:keepNext w:val="1"/>
      <w:spacing w:after="240" w:lineRule="auto"/>
      <w:jc w:val="both"/>
    </w:pPr>
    <w:rPr>
      <w:rFonts w:ascii="Arial" w:cs="Arial" w:eastAsia="Arial" w:hAnsi="Arial"/>
      <w:b w:val="1"/>
      <w:bCs w:val="1"/>
      <w:color w:val="000000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