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are the top business risks?</w:t>
      </w:r>
      <w:r w:rsidDel="00000000" w:rsidR="00000000" w:rsidRPr="00000000">
        <w:rPr/>
        <w:drawing>
          <wp:inline distB="114300" distT="114300" distL="114300" distR="114300">
            <wp:extent cx="5731200" cy="5689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does the company say about revenue growth or business performance?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008591" cy="35728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46512" t="7590"/>
                    <a:stretch>
                      <a:fillRect/>
                    </a:stretch>
                  </pic:blipFill>
                  <pic:spPr>
                    <a:xfrm>
                      <a:off x="0" y="0"/>
                      <a:ext cx="4008591" cy="357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are the company’s main business segments or operating priorities?</w:t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327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Compare risk factors between apple and nvidia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themes appear repeatedly in management discussion?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