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3FB26" w14:textId="77777777" w:rsidR="00C1269E" w:rsidRDefault="00471738">
      <w:pPr>
        <w:spacing w:after="80"/>
        <w:jc w:val="center"/>
      </w:pPr>
      <w:r>
        <w:rPr>
          <w:b/>
        </w:rPr>
        <w:br/>
      </w:r>
      <w:r>
        <w:rPr>
          <w:b/>
        </w:rPr>
        <w:br/>
        <w:t>ECA18 – OPTOELECTRONICS AND OPTICAL COMMUNICATION</w:t>
      </w:r>
    </w:p>
    <w:p w14:paraId="28F6AEE2" w14:textId="77777777" w:rsidR="00C1269E" w:rsidRDefault="00471738">
      <w:pPr>
        <w:spacing w:after="80"/>
        <w:jc w:val="center"/>
      </w:pPr>
      <w:r>
        <w:rPr>
          <w:b/>
        </w:rPr>
        <w:t>CO4 – INVESTIGATIVE ASSIGNMENT</w:t>
      </w:r>
    </w:p>
    <w:p w14:paraId="1A9FD1EC" w14:textId="77777777" w:rsidR="00C1269E" w:rsidRDefault="00471738">
      <w:pPr>
        <w:spacing w:after="80"/>
        <w:jc w:val="center"/>
      </w:pPr>
      <w:r>
        <w:rPr>
          <w:b/>
        </w:rPr>
        <w:br/>
        <w:t>ULTRA-HIGH-SPEED PHOTONIC TRANSPORT LINK</w:t>
      </w:r>
    </w:p>
    <w:p w14:paraId="0044F898" w14:textId="77777777" w:rsidR="00C1269E" w:rsidRDefault="00471738">
      <w:pPr>
        <w:spacing w:after="80"/>
        <w:jc w:val="center"/>
      </w:pPr>
      <w:r>
        <w:rPr>
          <w:b/>
        </w:rPr>
        <w:t>Technology Evaluation, Impairment Mitigation, and Integrated System Design</w:t>
      </w:r>
    </w:p>
    <w:p w14:paraId="21D57B73" w14:textId="51199339" w:rsidR="00D2287B" w:rsidRPr="00CE4250" w:rsidRDefault="00471738" w:rsidP="00D2287B">
      <w:pPr>
        <w:rPr>
          <w:rFonts w:cs="Times New Roman"/>
          <w:sz w:val="24"/>
          <w:szCs w:val="24"/>
        </w:rPr>
      </w:pPr>
      <w:r>
        <w:br/>
      </w:r>
      <w:r w:rsidR="00D2287B" w:rsidRPr="00CE4250">
        <w:rPr>
          <w:rFonts w:cs="Times New Roman"/>
          <w:sz w:val="24"/>
          <w:szCs w:val="24"/>
        </w:rPr>
        <w:t xml:space="preserve">Student Name: Keshava Reddy                                                   </w:t>
      </w:r>
      <w:r w:rsidR="00D2287B">
        <w:rPr>
          <w:rFonts w:cs="Times New Roman"/>
          <w:sz w:val="24"/>
          <w:szCs w:val="24"/>
        </w:rPr>
        <w:t xml:space="preserve">          </w:t>
      </w:r>
      <w:r w:rsidR="00D2287B" w:rsidRPr="00CE4250">
        <w:rPr>
          <w:rFonts w:cs="Times New Roman"/>
          <w:sz w:val="24"/>
          <w:szCs w:val="24"/>
        </w:rPr>
        <w:t>Register Number: 192412514</w:t>
      </w:r>
    </w:p>
    <w:p w14:paraId="15EDA872" w14:textId="77777777" w:rsidR="00D2287B" w:rsidRPr="00CE4250" w:rsidRDefault="00D2287B" w:rsidP="00D2287B">
      <w:pPr>
        <w:rPr>
          <w:rFonts w:cs="Times New Roman"/>
          <w:sz w:val="24"/>
          <w:szCs w:val="24"/>
        </w:rPr>
      </w:pPr>
      <w:r w:rsidRPr="00CE4250">
        <w:rPr>
          <w:rFonts w:cs="Times New Roman"/>
          <w:sz w:val="24"/>
          <w:szCs w:val="24"/>
        </w:rPr>
        <w:t>Department / Year: BE.ECE 3</w:t>
      </w:r>
      <w:r w:rsidRPr="00CE4250">
        <w:rPr>
          <w:rFonts w:cs="Times New Roman"/>
          <w:sz w:val="24"/>
          <w:szCs w:val="24"/>
          <w:vertAlign w:val="superscript"/>
        </w:rPr>
        <w:t>RD</w:t>
      </w:r>
      <w:r w:rsidRPr="00CE4250">
        <w:rPr>
          <w:rFonts w:cs="Times New Roman"/>
          <w:sz w:val="24"/>
          <w:szCs w:val="24"/>
        </w:rPr>
        <w:t xml:space="preserve"> YEAR                                                       Date: 13:10:2026</w:t>
      </w:r>
    </w:p>
    <w:p w14:paraId="4578C605" w14:textId="38CD7DF8" w:rsidR="00C1269E" w:rsidRDefault="00D2287B" w:rsidP="00D2287B">
      <w:pPr>
        <w:spacing w:after="80"/>
      </w:pPr>
      <w:r>
        <w:t xml:space="preserve"> </w:t>
      </w:r>
    </w:p>
    <w:p w14:paraId="66158F73" w14:textId="49290CD0" w:rsidR="00C1269E" w:rsidRPr="00D2287B" w:rsidRDefault="00471738" w:rsidP="00D2287B">
      <w:pPr>
        <w:rPr>
          <w:b/>
          <w:bCs/>
        </w:rPr>
      </w:pPr>
      <w:r w:rsidRPr="00D2287B">
        <w:rPr>
          <w:b/>
          <w:bCs/>
          <w:sz w:val="32"/>
          <w:szCs w:val="32"/>
        </w:rPr>
        <w:t>Abstract</w:t>
      </w:r>
    </w:p>
    <w:p w14:paraId="642D0F95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This report investigates a 32-channel DWDM optical transport system carrying 200 Gb/s per channel, for a gross aggregate capacity of 6.4 Tb/s. It compares modulation formats, photonic modulator mechanisms, optical amplifiers, WDM impairments and coherent digital signal processing (DSP), then proposes an integrated architecture. The supplied assignment omits numerical per-channel input/output powers, fiber span length, an exact OSNR/FEC target and simulator outputs. These missing values are identified rather</w:t>
      </w:r>
      <w:r w:rsidRPr="00D2287B">
        <w:rPr>
          <w:sz w:val="22"/>
          <w:szCs w:val="24"/>
        </w:rPr>
        <w:t xml:space="preserve"> than represented as measured results.</w:t>
      </w:r>
    </w:p>
    <w:p w14:paraId="2FBBBB0B" w14:textId="77777777" w:rsidR="00C1269E" w:rsidRPr="00D2287B" w:rsidRDefault="00471738">
      <w:pPr>
        <w:pStyle w:val="Heading1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Stage 1 – Interpret the Communication Requirement</w:t>
      </w:r>
    </w:p>
    <w:p w14:paraId="50036EC2" w14:textId="77777777" w:rsidR="00C1269E" w:rsidRPr="00D2287B" w:rsidRDefault="00471738">
      <w:pPr>
        <w:pStyle w:val="Heading2"/>
        <w:rPr>
          <w:color w:val="auto"/>
          <w:sz w:val="24"/>
          <w:szCs w:val="28"/>
        </w:rPr>
      </w:pPr>
      <w:r w:rsidRPr="00D2287B">
        <w:rPr>
          <w:color w:val="auto"/>
          <w:sz w:val="24"/>
          <w:szCs w:val="28"/>
        </w:rPr>
        <w:t>Capacity and design baseline</w:t>
      </w:r>
    </w:p>
    <w:p w14:paraId="2EBCF98B" w14:textId="77777777" w:rsidR="00C1269E" w:rsidRPr="00D2287B" w:rsidRDefault="00471738" w:rsidP="00376076">
      <w:pPr>
        <w:spacing w:after="60"/>
        <w:jc w:val="both"/>
        <w:rPr>
          <w:sz w:val="22"/>
          <w:szCs w:val="24"/>
        </w:rPr>
      </w:pPr>
      <w:r w:rsidRPr="00D2287B">
        <w:rPr>
          <w:b/>
          <w:sz w:val="22"/>
          <w:szCs w:val="24"/>
        </w:rPr>
        <w:t>Aggregate capacity = 32 × 200 Gb/s = 6,400 Gb/s = 6.4 Tb/s</w:t>
      </w:r>
    </w:p>
    <w:p w14:paraId="22BE2702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The system must provide high spectral efficiency, adequate OSNR, acceptable pre-FEC BER/Q-factor, controlled per-channel launch power and scalability. The assignment names ITU-T G.698, IEEE 802.3ct/ck and OIF-CEI. Exact compliance must be checked against the selected application code and the latest applicable interface specifications.</w:t>
      </w:r>
    </w:p>
    <w:tbl>
      <w:tblPr>
        <w:tblStyle w:val="TableGrid"/>
        <w:tblW w:w="10460" w:type="dxa"/>
        <w:jc w:val="center"/>
        <w:tblLook w:val="04A0" w:firstRow="1" w:lastRow="0" w:firstColumn="1" w:lastColumn="0" w:noHBand="0" w:noVBand="1"/>
      </w:tblPr>
      <w:tblGrid>
        <w:gridCol w:w="5230"/>
        <w:gridCol w:w="5230"/>
      </w:tblGrid>
      <w:tr w:rsidR="00C1269E" w:rsidRPr="00D2287B" w14:paraId="58FC765D" w14:textId="77777777" w:rsidTr="00D2287B">
        <w:trPr>
          <w:trHeight w:val="502"/>
          <w:jc w:val="center"/>
        </w:trPr>
        <w:tc>
          <w:tcPr>
            <w:tcW w:w="5230" w:type="dxa"/>
            <w:shd w:val="clear" w:color="auto" w:fill="D9EAF7"/>
            <w:vAlign w:val="center"/>
          </w:tcPr>
          <w:p w14:paraId="73EB459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Metric</w:t>
            </w:r>
          </w:p>
        </w:tc>
        <w:tc>
          <w:tcPr>
            <w:tcW w:w="5230" w:type="dxa"/>
            <w:shd w:val="clear" w:color="auto" w:fill="D9EAF7"/>
            <w:vAlign w:val="center"/>
          </w:tcPr>
          <w:p w14:paraId="23D90E0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Purpose</w:t>
            </w:r>
          </w:p>
        </w:tc>
      </w:tr>
      <w:tr w:rsidR="00C1269E" w:rsidRPr="00D2287B" w14:paraId="0659C39F" w14:textId="77777777" w:rsidTr="00D2287B">
        <w:trPr>
          <w:trHeight w:val="476"/>
          <w:jc w:val="center"/>
        </w:trPr>
        <w:tc>
          <w:tcPr>
            <w:tcW w:w="5230" w:type="dxa"/>
            <w:vAlign w:val="center"/>
          </w:tcPr>
          <w:p w14:paraId="6855BAB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Spectral efficiency (b/s/Hz)</w:t>
            </w:r>
          </w:p>
        </w:tc>
        <w:tc>
          <w:tcPr>
            <w:tcW w:w="5230" w:type="dxa"/>
            <w:vAlign w:val="center"/>
          </w:tcPr>
          <w:p w14:paraId="3BE975D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Measures transmitted data per unit optical bandwidth.</w:t>
            </w:r>
          </w:p>
        </w:tc>
      </w:tr>
      <w:tr w:rsidR="00C1269E" w:rsidRPr="00D2287B" w14:paraId="085E4947" w14:textId="77777777" w:rsidTr="00D2287B">
        <w:trPr>
          <w:trHeight w:val="954"/>
          <w:jc w:val="center"/>
        </w:trPr>
        <w:tc>
          <w:tcPr>
            <w:tcW w:w="5230" w:type="dxa"/>
            <w:vAlign w:val="center"/>
          </w:tcPr>
          <w:p w14:paraId="3CB2656E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OSNR</w:t>
            </w:r>
          </w:p>
        </w:tc>
        <w:tc>
          <w:tcPr>
            <w:tcW w:w="5230" w:type="dxa"/>
            <w:vAlign w:val="center"/>
          </w:tcPr>
          <w:p w14:paraId="22EA0F6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Signal power relative to ASE noise, stated with a reference bandwidth.</w:t>
            </w:r>
          </w:p>
        </w:tc>
      </w:tr>
      <w:tr w:rsidR="00C1269E" w:rsidRPr="00D2287B" w14:paraId="3C81167F" w14:textId="77777777" w:rsidTr="00D2287B">
        <w:trPr>
          <w:trHeight w:val="502"/>
          <w:jc w:val="center"/>
        </w:trPr>
        <w:tc>
          <w:tcPr>
            <w:tcW w:w="5230" w:type="dxa"/>
            <w:vAlign w:val="center"/>
          </w:tcPr>
          <w:p w14:paraId="242DCE4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BER and Q-factor</w:t>
            </w:r>
          </w:p>
        </w:tc>
        <w:tc>
          <w:tcPr>
            <w:tcW w:w="5230" w:type="dxa"/>
            <w:vAlign w:val="center"/>
          </w:tcPr>
          <w:p w14:paraId="0C4E8CED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Measure decision quality and error performance.</w:t>
            </w:r>
          </w:p>
        </w:tc>
      </w:tr>
      <w:tr w:rsidR="00C1269E" w:rsidRPr="00D2287B" w14:paraId="62C6AD61" w14:textId="77777777" w:rsidTr="00D2287B">
        <w:trPr>
          <w:trHeight w:val="502"/>
          <w:jc w:val="center"/>
        </w:trPr>
        <w:tc>
          <w:tcPr>
            <w:tcW w:w="5230" w:type="dxa"/>
            <w:vAlign w:val="center"/>
          </w:tcPr>
          <w:p w14:paraId="3F48DB08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Launch power</w:t>
            </w:r>
          </w:p>
        </w:tc>
        <w:tc>
          <w:tcPr>
            <w:tcW w:w="5230" w:type="dxa"/>
            <w:vAlign w:val="center"/>
          </w:tcPr>
          <w:p w14:paraId="6907940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Balances receiver power against Kerr nonlinearities.</w:t>
            </w:r>
          </w:p>
        </w:tc>
      </w:tr>
      <w:tr w:rsidR="00C1269E" w:rsidRPr="00D2287B" w14:paraId="03DDA7B4" w14:textId="77777777" w:rsidTr="00D2287B">
        <w:trPr>
          <w:trHeight w:val="954"/>
          <w:jc w:val="center"/>
        </w:trPr>
        <w:tc>
          <w:tcPr>
            <w:tcW w:w="5230" w:type="dxa"/>
            <w:vAlign w:val="center"/>
          </w:tcPr>
          <w:p w14:paraId="7AF63E1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Modulator bandwidth / Vπ</w:t>
            </w:r>
          </w:p>
        </w:tc>
        <w:tc>
          <w:tcPr>
            <w:tcW w:w="5230" w:type="dxa"/>
            <w:vAlign w:val="center"/>
          </w:tcPr>
          <w:p w14:paraId="53B9397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Must support the symbol rate with acceptable drive voltage and loss.</w:t>
            </w:r>
          </w:p>
        </w:tc>
      </w:tr>
      <w:tr w:rsidR="00C1269E" w:rsidRPr="00D2287B" w14:paraId="171DA233" w14:textId="77777777" w:rsidTr="00D2287B">
        <w:trPr>
          <w:trHeight w:val="502"/>
          <w:jc w:val="center"/>
        </w:trPr>
        <w:tc>
          <w:tcPr>
            <w:tcW w:w="5230" w:type="dxa"/>
            <w:vAlign w:val="center"/>
          </w:tcPr>
          <w:p w14:paraId="69775D5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Thermal stability / footprint</w:t>
            </w:r>
          </w:p>
        </w:tc>
        <w:tc>
          <w:tcPr>
            <w:tcW w:w="5230" w:type="dxa"/>
            <w:vAlign w:val="center"/>
          </w:tcPr>
          <w:p w14:paraId="234487E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Affects PIC integration, power, reliability and cost.</w:t>
            </w:r>
          </w:p>
        </w:tc>
      </w:tr>
    </w:tbl>
    <w:p w14:paraId="66E441BC" w14:textId="77777777" w:rsidR="00C1269E" w:rsidRPr="00D2287B" w:rsidRDefault="00C1269E">
      <w:pPr>
        <w:rPr>
          <w:sz w:val="22"/>
          <w:szCs w:val="24"/>
        </w:rPr>
      </w:pPr>
    </w:p>
    <w:tbl>
      <w:tblPr>
        <w:tblStyle w:val="TableGrid"/>
        <w:tblW w:w="10401" w:type="dxa"/>
        <w:jc w:val="center"/>
        <w:tblLook w:val="04A0" w:firstRow="1" w:lastRow="0" w:firstColumn="1" w:lastColumn="0" w:noHBand="0" w:noVBand="1"/>
      </w:tblPr>
      <w:tblGrid>
        <w:gridCol w:w="3467"/>
        <w:gridCol w:w="3467"/>
        <w:gridCol w:w="3467"/>
      </w:tblGrid>
      <w:tr w:rsidR="00C1269E" w:rsidRPr="00D2287B" w14:paraId="39503401" w14:textId="77777777" w:rsidTr="00D2287B">
        <w:trPr>
          <w:trHeight w:val="345"/>
          <w:jc w:val="center"/>
        </w:trPr>
        <w:tc>
          <w:tcPr>
            <w:tcW w:w="3467" w:type="dxa"/>
            <w:shd w:val="clear" w:color="auto" w:fill="D9EAF7"/>
            <w:vAlign w:val="center"/>
          </w:tcPr>
          <w:p w14:paraId="5DBAC6E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Impairment</w:t>
            </w:r>
          </w:p>
        </w:tc>
        <w:tc>
          <w:tcPr>
            <w:tcW w:w="3467" w:type="dxa"/>
            <w:shd w:val="clear" w:color="auto" w:fill="D9EAF7"/>
            <w:vAlign w:val="center"/>
          </w:tcPr>
          <w:p w14:paraId="616C69B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Effect</w:t>
            </w:r>
          </w:p>
        </w:tc>
        <w:tc>
          <w:tcPr>
            <w:tcW w:w="3467" w:type="dxa"/>
            <w:shd w:val="clear" w:color="auto" w:fill="D9EAF7"/>
            <w:vAlign w:val="center"/>
          </w:tcPr>
          <w:p w14:paraId="171FC83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Mitigation</w:t>
            </w:r>
          </w:p>
        </w:tc>
      </w:tr>
      <w:tr w:rsidR="00C1269E" w:rsidRPr="00D2287B" w14:paraId="2B4C9099" w14:textId="77777777" w:rsidTr="00D2287B">
        <w:trPr>
          <w:trHeight w:val="653"/>
          <w:jc w:val="center"/>
        </w:trPr>
        <w:tc>
          <w:tcPr>
            <w:tcW w:w="3467" w:type="dxa"/>
            <w:vAlign w:val="center"/>
          </w:tcPr>
          <w:p w14:paraId="54E7DE48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Chromatic dispersion (CD)</w:t>
            </w:r>
          </w:p>
        </w:tc>
        <w:tc>
          <w:tcPr>
            <w:tcW w:w="3467" w:type="dxa"/>
            <w:vAlign w:val="center"/>
          </w:tcPr>
          <w:p w14:paraId="5E475AC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Wavelength-dependent delay broadens pulses</w:t>
            </w:r>
          </w:p>
        </w:tc>
        <w:tc>
          <w:tcPr>
            <w:tcW w:w="3467" w:type="dxa"/>
            <w:vAlign w:val="center"/>
          </w:tcPr>
          <w:p w14:paraId="7272705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Coherent DSP frequency-domain/FIR equalizer</w:t>
            </w:r>
          </w:p>
        </w:tc>
      </w:tr>
      <w:tr w:rsidR="00C1269E" w:rsidRPr="00D2287B" w14:paraId="27D7E4F3" w14:textId="77777777" w:rsidTr="00D2287B">
        <w:trPr>
          <w:trHeight w:val="653"/>
          <w:jc w:val="center"/>
        </w:trPr>
        <w:tc>
          <w:tcPr>
            <w:tcW w:w="3467" w:type="dxa"/>
            <w:vAlign w:val="center"/>
          </w:tcPr>
          <w:p w14:paraId="3354131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PMD</w:t>
            </w:r>
          </w:p>
        </w:tc>
        <w:tc>
          <w:tcPr>
            <w:tcW w:w="3467" w:type="dxa"/>
            <w:vAlign w:val="center"/>
          </w:tcPr>
          <w:p w14:paraId="3B6CA368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Polarization states experience different delays</w:t>
            </w:r>
          </w:p>
        </w:tc>
        <w:tc>
          <w:tcPr>
            <w:tcW w:w="3467" w:type="dxa"/>
            <w:vAlign w:val="center"/>
          </w:tcPr>
          <w:p w14:paraId="51C5AF0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Low-PMD fiber and adaptive 2×2 MIMO equalizer</w:t>
            </w:r>
          </w:p>
        </w:tc>
      </w:tr>
      <w:tr w:rsidR="00C1269E" w:rsidRPr="00D2287B" w14:paraId="03833FBB" w14:textId="77777777" w:rsidTr="00D2287B">
        <w:trPr>
          <w:trHeight w:val="653"/>
          <w:jc w:val="center"/>
        </w:trPr>
        <w:tc>
          <w:tcPr>
            <w:tcW w:w="3467" w:type="dxa"/>
            <w:vAlign w:val="center"/>
          </w:tcPr>
          <w:p w14:paraId="20771678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SPM / XPM</w:t>
            </w:r>
          </w:p>
        </w:tc>
        <w:tc>
          <w:tcPr>
            <w:tcW w:w="3467" w:type="dxa"/>
            <w:vAlign w:val="center"/>
          </w:tcPr>
          <w:p w14:paraId="13A5CB6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Kerr effect creates intensity-dependent phase shifts</w:t>
            </w:r>
          </w:p>
        </w:tc>
        <w:tc>
          <w:tcPr>
            <w:tcW w:w="3467" w:type="dxa"/>
            <w:vAlign w:val="center"/>
          </w:tcPr>
          <w:p w14:paraId="5A7988D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Launch-power optimization; optional digital backpropagation</w:t>
            </w:r>
          </w:p>
        </w:tc>
      </w:tr>
      <w:tr w:rsidR="00C1269E" w:rsidRPr="00D2287B" w14:paraId="2DCD8D8F" w14:textId="77777777" w:rsidTr="00D2287B">
        <w:trPr>
          <w:trHeight w:val="326"/>
          <w:jc w:val="center"/>
        </w:trPr>
        <w:tc>
          <w:tcPr>
            <w:tcW w:w="3467" w:type="dxa"/>
            <w:vAlign w:val="center"/>
          </w:tcPr>
          <w:p w14:paraId="5D308F1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FWM</w:t>
            </w:r>
          </w:p>
        </w:tc>
        <w:tc>
          <w:tcPr>
            <w:tcW w:w="3467" w:type="dxa"/>
            <w:vAlign w:val="center"/>
          </w:tcPr>
          <w:p w14:paraId="2AED90D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WDM channels mix into new frequencies</w:t>
            </w:r>
          </w:p>
        </w:tc>
        <w:tc>
          <w:tcPr>
            <w:tcW w:w="3467" w:type="dxa"/>
            <w:vAlign w:val="center"/>
          </w:tcPr>
          <w:p w14:paraId="76DA3FC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Grid, dispersion and power planning</w:t>
            </w:r>
          </w:p>
        </w:tc>
      </w:tr>
      <w:tr w:rsidR="00C1269E" w:rsidRPr="00D2287B" w14:paraId="5A63CD30" w14:textId="77777777" w:rsidTr="00D2287B">
        <w:trPr>
          <w:trHeight w:val="653"/>
          <w:jc w:val="center"/>
        </w:trPr>
        <w:tc>
          <w:tcPr>
            <w:tcW w:w="3467" w:type="dxa"/>
            <w:vAlign w:val="center"/>
          </w:tcPr>
          <w:p w14:paraId="41BC7FE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ASE noise</w:t>
            </w:r>
          </w:p>
        </w:tc>
        <w:tc>
          <w:tcPr>
            <w:tcW w:w="3467" w:type="dxa"/>
            <w:vAlign w:val="center"/>
          </w:tcPr>
          <w:p w14:paraId="7783189A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Amplifier noise accumulates through spans</w:t>
            </w:r>
          </w:p>
        </w:tc>
        <w:tc>
          <w:tcPr>
            <w:tcW w:w="3467" w:type="dxa"/>
            <w:vAlign w:val="center"/>
          </w:tcPr>
          <w:p w14:paraId="7B53D6C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Low-noise amplifiers and OSNR monitoring</w:t>
            </w:r>
          </w:p>
        </w:tc>
      </w:tr>
      <w:tr w:rsidR="00C1269E" w:rsidRPr="00D2287B" w14:paraId="2E562079" w14:textId="77777777" w:rsidTr="00D2287B">
        <w:trPr>
          <w:trHeight w:val="653"/>
          <w:jc w:val="center"/>
        </w:trPr>
        <w:tc>
          <w:tcPr>
            <w:tcW w:w="3467" w:type="dxa"/>
            <w:vAlign w:val="center"/>
          </w:tcPr>
          <w:p w14:paraId="41C3812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Crosstalk / PDL</w:t>
            </w:r>
          </w:p>
        </w:tc>
        <w:tc>
          <w:tcPr>
            <w:tcW w:w="3467" w:type="dxa"/>
            <w:vAlign w:val="center"/>
          </w:tcPr>
          <w:p w14:paraId="043DAEE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Filtering/coupling and polarization-dependent loss degrade channels</w:t>
            </w:r>
          </w:p>
        </w:tc>
        <w:tc>
          <w:tcPr>
            <w:tcW w:w="3467" w:type="dxa"/>
            <w:vAlign w:val="center"/>
          </w:tcPr>
          <w:p w14:paraId="4D6B743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Qualified AWG/MMI components, isolation and alignment</w:t>
            </w:r>
          </w:p>
        </w:tc>
      </w:tr>
    </w:tbl>
    <w:p w14:paraId="3928882A" w14:textId="77777777" w:rsidR="00C1269E" w:rsidRPr="00D2287B" w:rsidRDefault="00C1269E">
      <w:pPr>
        <w:rPr>
          <w:sz w:val="22"/>
          <w:szCs w:val="24"/>
        </w:rPr>
      </w:pPr>
    </w:p>
    <w:p w14:paraId="62FC94AA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Investigation Requirement Statement: Design a scalable 32-channel DWDM link at 200 Gb/s per channel, with coherent modulation, high-speed electro-optic transmitters, controlled optical amplification and gain flatness, and coherent DSP for CD, PMD and nonlinear impairment mitigation. Validate the design using analytical calculations and simulation of OSNR, BER/Q-factor and launch power.</w:t>
      </w:r>
    </w:p>
    <w:p w14:paraId="0EE01CB2" w14:textId="77777777" w:rsidR="00C1269E" w:rsidRPr="00D2287B" w:rsidRDefault="00471738">
      <w:pPr>
        <w:pStyle w:val="Heading1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Stage 2 – Modulation and Modulator Selection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3419"/>
        <w:gridCol w:w="3419"/>
      </w:tblGrid>
      <w:tr w:rsidR="00C1269E" w:rsidRPr="00D2287B" w14:paraId="491F56B3" w14:textId="77777777" w:rsidTr="00D2287B">
        <w:trPr>
          <w:trHeight w:val="368"/>
          <w:jc w:val="center"/>
        </w:trPr>
        <w:tc>
          <w:tcPr>
            <w:tcW w:w="3419" w:type="dxa"/>
            <w:shd w:val="clear" w:color="auto" w:fill="D9EAF7"/>
            <w:vAlign w:val="center"/>
          </w:tcPr>
          <w:p w14:paraId="46B9917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Format</w:t>
            </w:r>
          </w:p>
        </w:tc>
        <w:tc>
          <w:tcPr>
            <w:tcW w:w="3419" w:type="dxa"/>
            <w:shd w:val="clear" w:color="auto" w:fill="D9EAF7"/>
            <w:vAlign w:val="center"/>
          </w:tcPr>
          <w:p w14:paraId="580E299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Bits per symbol</w:t>
            </w:r>
          </w:p>
        </w:tc>
        <w:tc>
          <w:tcPr>
            <w:tcW w:w="3419" w:type="dxa"/>
            <w:shd w:val="clear" w:color="auto" w:fill="D9EAF7"/>
            <w:vAlign w:val="center"/>
          </w:tcPr>
          <w:p w14:paraId="325D876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Advantages / limitations</w:t>
            </w:r>
          </w:p>
        </w:tc>
      </w:tr>
      <w:tr w:rsidR="00C1269E" w:rsidRPr="00D2287B" w14:paraId="10C0BDE7" w14:textId="77777777" w:rsidTr="00D2287B">
        <w:trPr>
          <w:trHeight w:val="698"/>
          <w:jc w:val="center"/>
        </w:trPr>
        <w:tc>
          <w:tcPr>
            <w:tcW w:w="3419" w:type="dxa"/>
            <w:vAlign w:val="center"/>
          </w:tcPr>
          <w:p w14:paraId="524DEF4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NRZ/RZ-OOK</w:t>
            </w:r>
          </w:p>
        </w:tc>
        <w:tc>
          <w:tcPr>
            <w:tcW w:w="3419" w:type="dxa"/>
            <w:vAlign w:val="center"/>
          </w:tcPr>
          <w:p w14:paraId="12E1B0B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1</w:t>
            </w:r>
          </w:p>
        </w:tc>
        <w:tc>
          <w:tcPr>
            <w:tcW w:w="3419" w:type="dxa"/>
            <w:vAlign w:val="center"/>
          </w:tcPr>
          <w:p w14:paraId="774442B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Simple and economical, but low spectral efficiency at very high rates.</w:t>
            </w:r>
          </w:p>
        </w:tc>
      </w:tr>
      <w:tr w:rsidR="00C1269E" w:rsidRPr="00D2287B" w14:paraId="72B81E5B" w14:textId="77777777" w:rsidTr="00D2287B">
        <w:trPr>
          <w:trHeight w:val="1028"/>
          <w:jc w:val="center"/>
        </w:trPr>
        <w:tc>
          <w:tcPr>
            <w:tcW w:w="3419" w:type="dxa"/>
            <w:vAlign w:val="center"/>
          </w:tcPr>
          <w:p w14:paraId="4D4202C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PAM4</w:t>
            </w:r>
          </w:p>
        </w:tc>
        <w:tc>
          <w:tcPr>
            <w:tcW w:w="3419" w:type="dxa"/>
            <w:vAlign w:val="center"/>
          </w:tcPr>
          <w:p w14:paraId="7871B7E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2</w:t>
            </w:r>
          </w:p>
        </w:tc>
        <w:tc>
          <w:tcPr>
            <w:tcW w:w="3419" w:type="dxa"/>
            <w:vAlign w:val="center"/>
          </w:tcPr>
          <w:p w14:paraId="3DA80AEE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Lower baud rate than OOK; requires accurate amplitude decisions and has tighter noise margin.</w:t>
            </w:r>
          </w:p>
        </w:tc>
      </w:tr>
      <w:tr w:rsidR="00C1269E" w:rsidRPr="00D2287B" w14:paraId="499B6173" w14:textId="77777777" w:rsidTr="00D2287B">
        <w:trPr>
          <w:trHeight w:val="698"/>
          <w:jc w:val="center"/>
        </w:trPr>
        <w:tc>
          <w:tcPr>
            <w:tcW w:w="3419" w:type="dxa"/>
            <w:vAlign w:val="center"/>
          </w:tcPr>
          <w:p w14:paraId="1C71775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DPSK / DQPSK</w:t>
            </w:r>
          </w:p>
        </w:tc>
        <w:tc>
          <w:tcPr>
            <w:tcW w:w="3419" w:type="dxa"/>
            <w:vAlign w:val="center"/>
          </w:tcPr>
          <w:p w14:paraId="47FC9FE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1 / 2</w:t>
            </w:r>
          </w:p>
        </w:tc>
        <w:tc>
          <w:tcPr>
            <w:tcW w:w="3419" w:type="dxa"/>
            <w:vAlign w:val="center"/>
          </w:tcPr>
          <w:p w14:paraId="418FED9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Differential phase detection; intermediate complexity and efficiency.</w:t>
            </w:r>
          </w:p>
        </w:tc>
      </w:tr>
      <w:tr w:rsidR="00C1269E" w:rsidRPr="00D2287B" w14:paraId="0179AC49" w14:textId="77777777" w:rsidTr="00D2287B">
        <w:trPr>
          <w:trHeight w:val="698"/>
          <w:jc w:val="center"/>
        </w:trPr>
        <w:tc>
          <w:tcPr>
            <w:tcW w:w="3419" w:type="dxa"/>
            <w:vAlign w:val="center"/>
          </w:tcPr>
          <w:p w14:paraId="68F6423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16-QAM</w:t>
            </w:r>
          </w:p>
        </w:tc>
        <w:tc>
          <w:tcPr>
            <w:tcW w:w="3419" w:type="dxa"/>
            <w:vAlign w:val="center"/>
          </w:tcPr>
          <w:p w14:paraId="4A56C56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4</w:t>
            </w:r>
          </w:p>
        </w:tc>
        <w:tc>
          <w:tcPr>
            <w:tcW w:w="3419" w:type="dxa"/>
            <w:vAlign w:val="center"/>
          </w:tcPr>
          <w:p w14:paraId="7DDF7ADF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High spectral efficiency but needs higher OSNR and linearity.</w:t>
            </w:r>
          </w:p>
        </w:tc>
      </w:tr>
      <w:tr w:rsidR="00C1269E" w:rsidRPr="00D2287B" w14:paraId="65405498" w14:textId="77777777" w:rsidTr="00D2287B">
        <w:trPr>
          <w:trHeight w:val="698"/>
          <w:jc w:val="center"/>
        </w:trPr>
        <w:tc>
          <w:tcPr>
            <w:tcW w:w="3419" w:type="dxa"/>
            <w:vAlign w:val="center"/>
          </w:tcPr>
          <w:p w14:paraId="33D315F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Dual-polarization 16-QAM</w:t>
            </w:r>
          </w:p>
        </w:tc>
        <w:tc>
          <w:tcPr>
            <w:tcW w:w="3419" w:type="dxa"/>
            <w:vAlign w:val="center"/>
          </w:tcPr>
          <w:p w14:paraId="43FE1CA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8 per dual-polarization symbol</w:t>
            </w:r>
          </w:p>
        </w:tc>
        <w:tc>
          <w:tcPr>
            <w:tcW w:w="3419" w:type="dxa"/>
            <w:vAlign w:val="center"/>
          </w:tcPr>
          <w:p w14:paraId="069D8D3F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High efficiency, suitable for coherent systems; requires complex coherent DSP.</w:t>
            </w:r>
          </w:p>
        </w:tc>
      </w:tr>
    </w:tbl>
    <w:p w14:paraId="6FFA3996" w14:textId="77777777" w:rsidR="00C1269E" w:rsidRPr="00D2287B" w:rsidRDefault="00C1269E" w:rsidP="00376076">
      <w:pPr>
        <w:jc w:val="both"/>
        <w:rPr>
          <w:sz w:val="22"/>
          <w:szCs w:val="24"/>
        </w:rPr>
      </w:pPr>
    </w:p>
    <w:p w14:paraId="6D801EAF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Assume 200 Gb/s is gross rate before FEC. DP-16QAM carries 4 bits per symbol on each of two polarizations:</w:t>
      </w:r>
    </w:p>
    <w:p w14:paraId="67260EB1" w14:textId="77777777" w:rsidR="00C1269E" w:rsidRPr="00D2287B" w:rsidRDefault="00471738" w:rsidP="00376076">
      <w:pPr>
        <w:spacing w:after="60"/>
        <w:jc w:val="both"/>
        <w:rPr>
          <w:sz w:val="22"/>
          <w:szCs w:val="24"/>
        </w:rPr>
      </w:pPr>
      <w:r w:rsidRPr="00D2287B">
        <w:rPr>
          <w:b/>
          <w:sz w:val="22"/>
          <w:szCs w:val="24"/>
        </w:rPr>
        <w:t>DP-16QAM baud rate = 200 Gb/s ÷ (4 × 2) = 25 GBd</w:t>
      </w:r>
    </w:p>
    <w:p w14:paraId="3A0E8487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PAM4 carries 2 bits per symbol. For a single-stream 200 Gb/s PAM4 comparison:</w:t>
      </w:r>
    </w:p>
    <w:p w14:paraId="59FEFBEB" w14:textId="77777777" w:rsidR="00C1269E" w:rsidRPr="00D2287B" w:rsidRDefault="00471738" w:rsidP="00376076">
      <w:pPr>
        <w:spacing w:after="60"/>
        <w:jc w:val="both"/>
        <w:rPr>
          <w:sz w:val="22"/>
          <w:szCs w:val="24"/>
        </w:rPr>
      </w:pPr>
      <w:r w:rsidRPr="00D2287B">
        <w:rPr>
          <w:b/>
          <w:sz w:val="22"/>
          <w:szCs w:val="24"/>
        </w:rPr>
        <w:t>PAM4 baud rate = 200 Gb/s ÷ 2 = 100 GBd</w:t>
      </w:r>
    </w:p>
    <w:p w14:paraId="26134E26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lastRenderedPageBreak/>
        <w:t>These are not identical architectures: DP-16QAM is dual-polarization coherent, while this PAM4 estimate is a single intensity-modulated stream. If 20% FEC overhead is assumed, line rate becomes 240 Gb/s, giving 30 GBd DP-16QAM or 120 GBd PAM4.</w:t>
      </w:r>
    </w:p>
    <w:p w14:paraId="4DA9D13C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The assignment does not specify exact grid spacing. As a design assumption, evaluate 75 GHz for 25 GBd DP-16QAM, subject to roll-off, guard band and the applicable G.698 application code.</w:t>
      </w:r>
    </w:p>
    <w:p w14:paraId="06CCC4F0" w14:textId="77777777" w:rsidR="00C1269E" w:rsidRPr="00D2287B" w:rsidRDefault="00471738" w:rsidP="00376076">
      <w:pPr>
        <w:spacing w:after="60"/>
        <w:jc w:val="both"/>
        <w:rPr>
          <w:sz w:val="22"/>
          <w:szCs w:val="24"/>
        </w:rPr>
      </w:pPr>
      <w:r w:rsidRPr="00D2287B">
        <w:rPr>
          <w:b/>
          <w:sz w:val="22"/>
          <w:szCs w:val="24"/>
        </w:rPr>
        <w:t>Nominal gross spectral efficiency = 200 Gb/s ÷ 75 GHz ≈ 2.67 bit/s/Hz</w:t>
      </w:r>
    </w:p>
    <w:p w14:paraId="78ABF25E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A 100 GBd PAM4 stream is not a straightforward fit in a 75 GHz channel. It would need wider spacing or a different lane/subcarrier architecture.</w:t>
      </w:r>
    </w:p>
    <w:p w14:paraId="777DEF6A" w14:textId="77777777" w:rsidR="00C1269E" w:rsidRPr="00D2287B" w:rsidRDefault="00471738">
      <w:pPr>
        <w:pStyle w:val="Heading2"/>
        <w:rPr>
          <w:color w:val="auto"/>
          <w:sz w:val="24"/>
          <w:szCs w:val="28"/>
        </w:rPr>
      </w:pPr>
      <w:r w:rsidRPr="00D2287B">
        <w:rPr>
          <w:color w:val="auto"/>
          <w:sz w:val="24"/>
          <w:szCs w:val="28"/>
        </w:rPr>
        <w:t>Modulation mechanisms and architectures</w:t>
      </w:r>
    </w:p>
    <w:tbl>
      <w:tblPr>
        <w:tblStyle w:val="TableGrid"/>
        <w:tblW w:w="10354" w:type="dxa"/>
        <w:jc w:val="center"/>
        <w:tblLook w:val="04A0" w:firstRow="1" w:lastRow="0" w:firstColumn="1" w:lastColumn="0" w:noHBand="0" w:noVBand="1"/>
      </w:tblPr>
      <w:tblGrid>
        <w:gridCol w:w="5177"/>
        <w:gridCol w:w="5177"/>
      </w:tblGrid>
      <w:tr w:rsidR="00C1269E" w:rsidRPr="00D2287B" w14:paraId="2302094C" w14:textId="77777777" w:rsidTr="00D2287B">
        <w:trPr>
          <w:trHeight w:val="339"/>
          <w:jc w:val="center"/>
        </w:trPr>
        <w:tc>
          <w:tcPr>
            <w:tcW w:w="5177" w:type="dxa"/>
            <w:shd w:val="clear" w:color="auto" w:fill="D9EAF7"/>
            <w:vAlign w:val="center"/>
          </w:tcPr>
          <w:p w14:paraId="3556ABA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Technology</w:t>
            </w:r>
          </w:p>
        </w:tc>
        <w:tc>
          <w:tcPr>
            <w:tcW w:w="5177" w:type="dxa"/>
            <w:shd w:val="clear" w:color="auto" w:fill="D9EAF7"/>
            <w:vAlign w:val="center"/>
          </w:tcPr>
          <w:p w14:paraId="5904AA3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Assessment</w:t>
            </w:r>
          </w:p>
        </w:tc>
      </w:tr>
      <w:tr w:rsidR="00C1269E" w:rsidRPr="00D2287B" w14:paraId="44E1A867" w14:textId="77777777" w:rsidTr="00D2287B">
        <w:trPr>
          <w:trHeight w:val="642"/>
          <w:jc w:val="center"/>
        </w:trPr>
        <w:tc>
          <w:tcPr>
            <w:tcW w:w="5177" w:type="dxa"/>
            <w:vAlign w:val="center"/>
          </w:tcPr>
          <w:p w14:paraId="202B66E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Electro-optic effect</w:t>
            </w:r>
          </w:p>
        </w:tc>
        <w:tc>
          <w:tcPr>
            <w:tcW w:w="5177" w:type="dxa"/>
            <w:vAlign w:val="center"/>
          </w:tcPr>
          <w:p w14:paraId="3C16770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Very fast; preferred for high-speed data modulation. Vπ and bandwidth depend on material and device design.</w:t>
            </w:r>
          </w:p>
        </w:tc>
      </w:tr>
      <w:tr w:rsidR="00C1269E" w:rsidRPr="00D2287B" w14:paraId="6399FFE6" w14:textId="77777777" w:rsidTr="00D2287B">
        <w:trPr>
          <w:trHeight w:val="642"/>
          <w:jc w:val="center"/>
        </w:trPr>
        <w:tc>
          <w:tcPr>
            <w:tcW w:w="5177" w:type="dxa"/>
            <w:vAlign w:val="center"/>
          </w:tcPr>
          <w:p w14:paraId="2006553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Acousto-optic</w:t>
            </w:r>
          </w:p>
        </w:tc>
        <w:tc>
          <w:tcPr>
            <w:tcW w:w="5177" w:type="dxa"/>
            <w:vAlign w:val="center"/>
          </w:tcPr>
          <w:p w14:paraId="2E007BC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Acoustic transit limits speed; more suitable for switching/filtering than the main 200 Gb/s modulator.</w:t>
            </w:r>
          </w:p>
        </w:tc>
      </w:tr>
      <w:tr w:rsidR="00C1269E" w:rsidRPr="00D2287B" w14:paraId="20E98126" w14:textId="77777777" w:rsidTr="00D2287B">
        <w:trPr>
          <w:trHeight w:val="642"/>
          <w:jc w:val="center"/>
        </w:trPr>
        <w:tc>
          <w:tcPr>
            <w:tcW w:w="5177" w:type="dxa"/>
            <w:vAlign w:val="center"/>
          </w:tcPr>
          <w:p w14:paraId="25FAFCA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Thermo-optic</w:t>
            </w:r>
          </w:p>
        </w:tc>
        <w:tc>
          <w:tcPr>
            <w:tcW w:w="5177" w:type="dxa"/>
            <w:vAlign w:val="center"/>
          </w:tcPr>
          <w:p w14:paraId="28BACA2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Slow thermal response; useful for tuning/stabilization rather than symbol-by-symbol modulation.</w:t>
            </w:r>
          </w:p>
        </w:tc>
      </w:tr>
      <w:tr w:rsidR="00C1269E" w:rsidRPr="00D2287B" w14:paraId="2FC12238" w14:textId="77777777" w:rsidTr="00D2287B">
        <w:trPr>
          <w:trHeight w:val="642"/>
          <w:jc w:val="center"/>
        </w:trPr>
        <w:tc>
          <w:tcPr>
            <w:tcW w:w="5177" w:type="dxa"/>
            <w:vAlign w:val="center"/>
          </w:tcPr>
          <w:p w14:paraId="390C5FE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Magneto-optic</w:t>
            </w:r>
          </w:p>
        </w:tc>
        <w:tc>
          <w:tcPr>
            <w:tcW w:w="5177" w:type="dxa"/>
            <w:vAlign w:val="center"/>
          </w:tcPr>
          <w:p w14:paraId="2AC702BF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Specialized polarization/phase applications; not the primary data modulator.</w:t>
            </w:r>
          </w:p>
        </w:tc>
      </w:tr>
      <w:tr w:rsidR="00C1269E" w:rsidRPr="00D2287B" w14:paraId="391B6DB5" w14:textId="77777777" w:rsidTr="00D2287B">
        <w:trPr>
          <w:trHeight w:val="642"/>
          <w:jc w:val="center"/>
        </w:trPr>
        <w:tc>
          <w:tcPr>
            <w:tcW w:w="5177" w:type="dxa"/>
            <w:vAlign w:val="center"/>
          </w:tcPr>
          <w:p w14:paraId="1F4A871A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Kerr effect</w:t>
            </w:r>
          </w:p>
        </w:tc>
        <w:tc>
          <w:tcPr>
            <w:tcW w:w="5177" w:type="dxa"/>
            <w:vAlign w:val="center"/>
          </w:tcPr>
          <w:p w14:paraId="092DB23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Fast intensity-dependent refractive index; important in nonlinear propagation and selected all-optical functions.</w:t>
            </w:r>
          </w:p>
        </w:tc>
      </w:tr>
      <w:tr w:rsidR="00C1269E" w:rsidRPr="00D2287B" w14:paraId="010BC5ED" w14:textId="77777777" w:rsidTr="00D2287B">
        <w:trPr>
          <w:trHeight w:val="642"/>
          <w:jc w:val="center"/>
        </w:trPr>
        <w:tc>
          <w:tcPr>
            <w:tcW w:w="5177" w:type="dxa"/>
            <w:vAlign w:val="center"/>
          </w:tcPr>
          <w:p w14:paraId="6C4C7E4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MZI modulator</w:t>
            </w:r>
          </w:p>
        </w:tc>
        <w:tc>
          <w:tcPr>
            <w:tcW w:w="5177" w:type="dxa"/>
            <w:vAlign w:val="center"/>
          </w:tcPr>
          <w:p w14:paraId="4D95A5F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Broadband design possible; larger footprint but suitable for high-speed I/Q modulation.</w:t>
            </w:r>
          </w:p>
        </w:tc>
      </w:tr>
      <w:tr w:rsidR="00C1269E" w:rsidRPr="00D2287B" w14:paraId="7642D3BE" w14:textId="77777777" w:rsidTr="00D2287B">
        <w:trPr>
          <w:trHeight w:val="642"/>
          <w:jc w:val="center"/>
        </w:trPr>
        <w:tc>
          <w:tcPr>
            <w:tcW w:w="5177" w:type="dxa"/>
            <w:vAlign w:val="center"/>
          </w:tcPr>
          <w:p w14:paraId="3BB4D17E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Micro-ring resonator</w:t>
            </w:r>
          </w:p>
        </w:tc>
        <w:tc>
          <w:tcPr>
            <w:tcW w:w="5177" w:type="dxa"/>
            <w:vAlign w:val="center"/>
          </w:tcPr>
          <w:p w14:paraId="22D591B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Compact and wavelength-selective, but resonance is thermally sensitive and bandwidth depends on Q.</w:t>
            </w:r>
          </w:p>
        </w:tc>
      </w:tr>
    </w:tbl>
    <w:p w14:paraId="7CC212CF" w14:textId="77777777" w:rsidR="00C1269E" w:rsidRPr="00D2287B" w:rsidRDefault="00C1269E">
      <w:pPr>
        <w:rPr>
          <w:sz w:val="22"/>
          <w:szCs w:val="24"/>
        </w:rPr>
      </w:pPr>
    </w:p>
    <w:p w14:paraId="3C5899E4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Vπ is the voltage needed to create a π phase shift. The PDF supplies no device-specific Vπ or bandwidth, so numeric values must come from the selected manufacturer datasheet or simulation. Silicon photonics offers dense integration; lithium niobate is attractive for low-loss, high-linearity electro-optic modulation.</w:t>
      </w:r>
    </w:p>
    <w:p w14:paraId="2E14A20F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Design Decision 1: I recommend dual-polarization coherent 16-QAM using an electro-optic I/Q Mach–Zehnder modulator. It carries 8 bits per dual-polarization symbol and needs approximately 25 GBd for 200 Gb/s gross, improving spectral efficiency compared with the 100 GBd single-stream PAM4 estimate. Its higher OSNR requirement and DSP complexity must be verified.</w:t>
      </w:r>
    </w:p>
    <w:p w14:paraId="6899F84E" w14:textId="77777777" w:rsidR="00C1269E" w:rsidRPr="00D2287B" w:rsidRDefault="00471738">
      <w:pPr>
        <w:pStyle w:val="Heading1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Stage 3 – Optical Amplification Configuration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399"/>
        <w:gridCol w:w="3399"/>
        <w:gridCol w:w="3399"/>
      </w:tblGrid>
      <w:tr w:rsidR="00C1269E" w:rsidRPr="00D2287B" w14:paraId="313F11E9" w14:textId="77777777" w:rsidTr="00D2287B">
        <w:trPr>
          <w:trHeight w:val="341"/>
          <w:jc w:val="center"/>
        </w:trPr>
        <w:tc>
          <w:tcPr>
            <w:tcW w:w="3399" w:type="dxa"/>
            <w:shd w:val="clear" w:color="auto" w:fill="D9EAF7"/>
            <w:vAlign w:val="center"/>
          </w:tcPr>
          <w:p w14:paraId="75D7C6E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Amplifier</w:t>
            </w:r>
          </w:p>
        </w:tc>
        <w:tc>
          <w:tcPr>
            <w:tcW w:w="3399" w:type="dxa"/>
            <w:shd w:val="clear" w:color="auto" w:fill="D9EAF7"/>
            <w:vAlign w:val="center"/>
          </w:tcPr>
          <w:p w14:paraId="71F5EAA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Strengths</w:t>
            </w:r>
          </w:p>
        </w:tc>
        <w:tc>
          <w:tcPr>
            <w:tcW w:w="3399" w:type="dxa"/>
            <w:shd w:val="clear" w:color="auto" w:fill="D9EAF7"/>
            <w:vAlign w:val="center"/>
          </w:tcPr>
          <w:p w14:paraId="0237C9A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Limitations</w:t>
            </w:r>
          </w:p>
        </w:tc>
      </w:tr>
      <w:tr w:rsidR="00C1269E" w:rsidRPr="00D2287B" w14:paraId="4C3F2E4C" w14:textId="77777777" w:rsidTr="00D2287B">
        <w:trPr>
          <w:trHeight w:val="646"/>
          <w:jc w:val="center"/>
        </w:trPr>
        <w:tc>
          <w:tcPr>
            <w:tcW w:w="3399" w:type="dxa"/>
            <w:vAlign w:val="center"/>
          </w:tcPr>
          <w:p w14:paraId="5B9EEB1E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EDFA</w:t>
            </w:r>
          </w:p>
        </w:tc>
        <w:tc>
          <w:tcPr>
            <w:tcW w:w="3399" w:type="dxa"/>
            <w:vAlign w:val="center"/>
          </w:tcPr>
          <w:p w14:paraId="7AAEB5B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Mature C-band multi-channel gain and good output power</w:t>
            </w:r>
          </w:p>
        </w:tc>
        <w:tc>
          <w:tcPr>
            <w:tcW w:w="3399" w:type="dxa"/>
            <w:vAlign w:val="center"/>
          </w:tcPr>
          <w:p w14:paraId="1B7E02D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ASE accumulates; gain tilt and saturation need control.</w:t>
            </w:r>
          </w:p>
        </w:tc>
      </w:tr>
      <w:tr w:rsidR="00C1269E" w:rsidRPr="00D2287B" w14:paraId="38CE1CE7" w14:textId="77777777" w:rsidTr="00D2287B">
        <w:trPr>
          <w:trHeight w:val="646"/>
          <w:jc w:val="center"/>
        </w:trPr>
        <w:tc>
          <w:tcPr>
            <w:tcW w:w="3399" w:type="dxa"/>
            <w:vAlign w:val="center"/>
          </w:tcPr>
          <w:p w14:paraId="2EDFE4B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SOA</w:t>
            </w:r>
          </w:p>
        </w:tc>
        <w:tc>
          <w:tcPr>
            <w:tcW w:w="3399" w:type="dxa"/>
            <w:vAlign w:val="center"/>
          </w:tcPr>
          <w:p w14:paraId="5E550DED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Compact and integrable</w:t>
            </w:r>
          </w:p>
        </w:tc>
        <w:tc>
          <w:tcPr>
            <w:tcW w:w="3399" w:type="dxa"/>
            <w:vAlign w:val="center"/>
          </w:tcPr>
          <w:p w14:paraId="00041CB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Noise, crosstalk and nonlinear effects can limit long-haul use.</w:t>
            </w:r>
          </w:p>
        </w:tc>
      </w:tr>
      <w:tr w:rsidR="00C1269E" w:rsidRPr="00D2287B" w14:paraId="60C216C2" w14:textId="77777777" w:rsidTr="00D2287B">
        <w:trPr>
          <w:trHeight w:val="323"/>
          <w:jc w:val="center"/>
        </w:trPr>
        <w:tc>
          <w:tcPr>
            <w:tcW w:w="3399" w:type="dxa"/>
            <w:vAlign w:val="center"/>
          </w:tcPr>
          <w:p w14:paraId="563798E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Lumped Raman</w:t>
            </w:r>
          </w:p>
        </w:tc>
        <w:tc>
          <w:tcPr>
            <w:tcW w:w="3399" w:type="dxa"/>
            <w:vAlign w:val="center"/>
          </w:tcPr>
          <w:p w14:paraId="2DF15BC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Can improve effective noise performance</w:t>
            </w:r>
          </w:p>
        </w:tc>
        <w:tc>
          <w:tcPr>
            <w:tcW w:w="3399" w:type="dxa"/>
            <w:vAlign w:val="center"/>
          </w:tcPr>
          <w:p w14:paraId="1F5A282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Pump complexity and safety/control needs.</w:t>
            </w:r>
          </w:p>
        </w:tc>
      </w:tr>
      <w:tr w:rsidR="00C1269E" w:rsidRPr="00D2287B" w14:paraId="7927650B" w14:textId="77777777" w:rsidTr="00D2287B">
        <w:trPr>
          <w:trHeight w:val="646"/>
          <w:jc w:val="center"/>
        </w:trPr>
        <w:tc>
          <w:tcPr>
            <w:tcW w:w="3399" w:type="dxa"/>
            <w:vAlign w:val="center"/>
          </w:tcPr>
          <w:p w14:paraId="10F0071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lastRenderedPageBreak/>
              <w:t>Distributed Raman</w:t>
            </w:r>
          </w:p>
        </w:tc>
        <w:tc>
          <w:tcPr>
            <w:tcW w:w="3399" w:type="dxa"/>
            <w:vAlign w:val="center"/>
          </w:tcPr>
          <w:p w14:paraId="634CC56F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Gain distributed along the transmission fiber</w:t>
            </w:r>
          </w:p>
        </w:tc>
        <w:tc>
          <w:tcPr>
            <w:tcW w:w="3399" w:type="dxa"/>
            <w:vAlign w:val="center"/>
          </w:tcPr>
          <w:p w14:paraId="133F297D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Pump lasers and careful engineering are required.</w:t>
            </w:r>
          </w:p>
        </w:tc>
      </w:tr>
      <w:tr w:rsidR="00C1269E" w:rsidRPr="00D2287B" w14:paraId="6E3A1148" w14:textId="77777777" w:rsidTr="00D2287B">
        <w:trPr>
          <w:trHeight w:val="646"/>
          <w:jc w:val="center"/>
        </w:trPr>
        <w:tc>
          <w:tcPr>
            <w:tcW w:w="3399" w:type="dxa"/>
            <w:vAlign w:val="center"/>
          </w:tcPr>
          <w:p w14:paraId="775C3F8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Hybrid Raman + EDFA</w:t>
            </w:r>
          </w:p>
        </w:tc>
        <w:tc>
          <w:tcPr>
            <w:tcW w:w="3399" w:type="dxa"/>
            <w:vAlign w:val="center"/>
          </w:tcPr>
          <w:p w14:paraId="28FDBA2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Combines Raman noise benefits with EDFA output gain</w:t>
            </w:r>
          </w:p>
        </w:tc>
        <w:tc>
          <w:tcPr>
            <w:tcW w:w="3399" w:type="dxa"/>
            <w:vAlign w:val="center"/>
          </w:tcPr>
          <w:p w14:paraId="28DAD56A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More complex, costly and power-consuming; needs optimization.</w:t>
            </w:r>
          </w:p>
        </w:tc>
      </w:tr>
    </w:tbl>
    <w:p w14:paraId="44B5E5D3" w14:textId="77777777" w:rsidR="00C1269E" w:rsidRPr="00D2287B" w:rsidRDefault="00C1269E">
      <w:pPr>
        <w:rPr>
          <w:sz w:val="22"/>
          <w:szCs w:val="24"/>
        </w:rPr>
      </w:pPr>
    </w:p>
    <w:p w14:paraId="113EB46F" w14:textId="77777777" w:rsidR="00C1269E" w:rsidRPr="00D2287B" w:rsidRDefault="00471738" w:rsidP="00376076">
      <w:pPr>
        <w:pStyle w:val="Heading2"/>
        <w:jc w:val="both"/>
        <w:rPr>
          <w:color w:val="auto"/>
          <w:sz w:val="24"/>
          <w:szCs w:val="28"/>
        </w:rPr>
      </w:pPr>
      <w:r w:rsidRPr="00D2287B">
        <w:rPr>
          <w:color w:val="auto"/>
          <w:sz w:val="24"/>
          <w:szCs w:val="28"/>
        </w:rPr>
        <w:t>Power calculation (input values missing in source)</w:t>
      </w:r>
    </w:p>
    <w:p w14:paraId="2D9CC591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The assignment’s amplifier problem states that per-channel input and target output powers should be assumed, but the numerical values are blank in the supplied PDF. A unique numerical gain cannot therefore be calculated from the source.</w:t>
      </w:r>
    </w:p>
    <w:p w14:paraId="72540AD6" w14:textId="77777777" w:rsidR="00C1269E" w:rsidRPr="00D2287B" w:rsidRDefault="00471738" w:rsidP="00376076">
      <w:pPr>
        <w:spacing w:after="60"/>
        <w:jc w:val="both"/>
        <w:rPr>
          <w:sz w:val="22"/>
          <w:szCs w:val="24"/>
        </w:rPr>
      </w:pPr>
      <w:r w:rsidRPr="00D2287B">
        <w:rPr>
          <w:b/>
          <w:sz w:val="22"/>
          <w:szCs w:val="24"/>
        </w:rPr>
        <w:t>Total output power (dBm) = P_channel,out (dBm) + 10 log₁₀(32)</w:t>
      </w:r>
    </w:p>
    <w:p w14:paraId="1D30B8AB" w14:textId="77777777" w:rsidR="00C1269E" w:rsidRPr="00D2287B" w:rsidRDefault="00471738" w:rsidP="00376076">
      <w:pPr>
        <w:spacing w:after="60"/>
        <w:jc w:val="both"/>
        <w:rPr>
          <w:sz w:val="22"/>
          <w:szCs w:val="24"/>
        </w:rPr>
      </w:pPr>
      <w:r w:rsidRPr="00D2287B">
        <w:rPr>
          <w:b/>
          <w:sz w:val="22"/>
          <w:szCs w:val="24"/>
        </w:rPr>
        <w:t>10 log₁₀(32) = 15.05 dB</w:t>
      </w:r>
    </w:p>
    <w:p w14:paraId="71293496" w14:textId="77777777" w:rsidR="00C1269E" w:rsidRPr="00D2287B" w:rsidRDefault="00471738" w:rsidP="00376076">
      <w:pPr>
        <w:spacing w:after="60"/>
        <w:jc w:val="both"/>
        <w:rPr>
          <w:sz w:val="22"/>
          <w:szCs w:val="24"/>
        </w:rPr>
      </w:pPr>
      <w:r w:rsidRPr="00D2287B">
        <w:rPr>
          <w:b/>
          <w:sz w:val="22"/>
          <w:szCs w:val="24"/>
        </w:rPr>
        <w:t>Total output power (W) = 10^((P_total,dBm − 30)/10)</w:t>
      </w:r>
    </w:p>
    <w:p w14:paraId="54D34EBC" w14:textId="77777777" w:rsidR="00C1269E" w:rsidRPr="00D2287B" w:rsidRDefault="00471738" w:rsidP="00376076">
      <w:pPr>
        <w:spacing w:after="60"/>
        <w:jc w:val="both"/>
        <w:rPr>
          <w:sz w:val="22"/>
          <w:szCs w:val="24"/>
        </w:rPr>
      </w:pPr>
      <w:r w:rsidRPr="00D2287B">
        <w:rPr>
          <w:b/>
          <w:sz w:val="22"/>
          <w:szCs w:val="24"/>
        </w:rPr>
        <w:t>Span gain (dB) = P_channel,out − P_channel,in</w:t>
      </w:r>
    </w:p>
    <w:p w14:paraId="49806008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Illustrative example only: if output is −3 dBm/channel, total output is 12.05 dBm ≈ 16.0 mW. If input is −15 dBm/channel, required gain is 12 dB. These are assumed examples, not given assignment values.</w:t>
      </w:r>
    </w:p>
    <w:p w14:paraId="5CF0F5A9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EDFA gain is not perfectly flat across the C-band. A gain-flattening filter (GFF) and dynamic per-channel equalization reduce channel power differences. ASE accumulates through cascaded amplifiers, so span loss, noise figure, gain and amplifier count must be jointly optimized.</w:t>
      </w:r>
    </w:p>
    <w:p w14:paraId="230D3DAC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Design Decision 2: I recommend hybrid distributed Raman + EDFA amplification with gain flattening and per-channel equalization. It can balance noise performance and output power for high-capacity WDM, but deployment approval depends on filling in the missing power values and verifying OSNR across all spans.</w:t>
      </w:r>
    </w:p>
    <w:p w14:paraId="4E03AAD4" w14:textId="77777777" w:rsidR="00C1269E" w:rsidRPr="00D2287B" w:rsidRDefault="00471738">
      <w:pPr>
        <w:pStyle w:val="Heading1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Stage 4 – Impairment Compensation and DSP</w:t>
      </w:r>
    </w:p>
    <w:tbl>
      <w:tblPr>
        <w:tblStyle w:val="TableGrid"/>
        <w:tblW w:w="10474" w:type="dxa"/>
        <w:jc w:val="center"/>
        <w:tblLook w:val="04A0" w:firstRow="1" w:lastRow="0" w:firstColumn="1" w:lastColumn="0" w:noHBand="0" w:noVBand="1"/>
      </w:tblPr>
      <w:tblGrid>
        <w:gridCol w:w="5237"/>
        <w:gridCol w:w="5237"/>
      </w:tblGrid>
      <w:tr w:rsidR="00C1269E" w:rsidRPr="00D2287B" w14:paraId="669E7FD8" w14:textId="77777777" w:rsidTr="00D2287B">
        <w:trPr>
          <w:trHeight w:val="366"/>
          <w:jc w:val="center"/>
        </w:trPr>
        <w:tc>
          <w:tcPr>
            <w:tcW w:w="5237" w:type="dxa"/>
            <w:shd w:val="clear" w:color="auto" w:fill="D9EAF7"/>
            <w:vAlign w:val="center"/>
          </w:tcPr>
          <w:p w14:paraId="7DBD5B7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Method / impairment</w:t>
            </w:r>
          </w:p>
        </w:tc>
        <w:tc>
          <w:tcPr>
            <w:tcW w:w="5237" w:type="dxa"/>
            <w:shd w:val="clear" w:color="auto" w:fill="D9EAF7"/>
            <w:vAlign w:val="center"/>
          </w:tcPr>
          <w:p w14:paraId="646A8C8A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Engineering analysis</w:t>
            </w:r>
          </w:p>
        </w:tc>
      </w:tr>
      <w:tr w:rsidR="00C1269E" w:rsidRPr="00D2287B" w14:paraId="727F42E4" w14:textId="77777777" w:rsidTr="00D2287B">
        <w:trPr>
          <w:trHeight w:val="694"/>
          <w:jc w:val="center"/>
        </w:trPr>
        <w:tc>
          <w:tcPr>
            <w:tcW w:w="5237" w:type="dxa"/>
            <w:vAlign w:val="center"/>
          </w:tcPr>
          <w:p w14:paraId="699B690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Chromatic dispersion</w:t>
            </w:r>
          </w:p>
        </w:tc>
        <w:tc>
          <w:tcPr>
            <w:tcW w:w="5237" w:type="dxa"/>
            <w:vAlign w:val="center"/>
          </w:tcPr>
          <w:p w14:paraId="0A18BFB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Different wavelengths travel at different group velocities. Coherent DSP uses frequency-domain or FIR equalization.</w:t>
            </w:r>
          </w:p>
        </w:tc>
      </w:tr>
      <w:tr w:rsidR="00C1269E" w:rsidRPr="00D2287B" w14:paraId="190C34E5" w14:textId="77777777" w:rsidTr="00D2287B">
        <w:trPr>
          <w:trHeight w:val="694"/>
          <w:jc w:val="center"/>
        </w:trPr>
        <w:tc>
          <w:tcPr>
            <w:tcW w:w="5237" w:type="dxa"/>
            <w:vAlign w:val="center"/>
          </w:tcPr>
          <w:p w14:paraId="1736114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PMD</w:t>
            </w:r>
          </w:p>
        </w:tc>
        <w:tc>
          <w:tcPr>
            <w:tcW w:w="5237" w:type="dxa"/>
            <w:vAlign w:val="center"/>
          </w:tcPr>
          <w:p w14:paraId="104097C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Polarization modes have different delays. Use low-PMD fiber and adaptive 2×2 MIMO polarization equalization.</w:t>
            </w:r>
          </w:p>
        </w:tc>
      </w:tr>
      <w:tr w:rsidR="00C1269E" w:rsidRPr="00D2287B" w14:paraId="2E49F57B" w14:textId="77777777" w:rsidTr="00D2287B">
        <w:trPr>
          <w:trHeight w:val="694"/>
          <w:jc w:val="center"/>
        </w:trPr>
        <w:tc>
          <w:tcPr>
            <w:tcW w:w="5237" w:type="dxa"/>
            <w:vAlign w:val="center"/>
          </w:tcPr>
          <w:p w14:paraId="0455E91F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SPM / XPM</w:t>
            </w:r>
          </w:p>
        </w:tc>
        <w:tc>
          <w:tcPr>
            <w:tcW w:w="5237" w:type="dxa"/>
            <w:vAlign w:val="center"/>
          </w:tcPr>
          <w:p w14:paraId="6EDCF90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Kerr nonlinearity causes own-channel and cross-channel phase changes. Optimize launch power; DBP may partially compensate.</w:t>
            </w:r>
          </w:p>
        </w:tc>
      </w:tr>
      <w:tr w:rsidR="00C1269E" w:rsidRPr="00D2287B" w14:paraId="27A7EAA5" w14:textId="77777777" w:rsidTr="00D2287B">
        <w:trPr>
          <w:trHeight w:val="694"/>
          <w:jc w:val="center"/>
        </w:trPr>
        <w:tc>
          <w:tcPr>
            <w:tcW w:w="5237" w:type="dxa"/>
            <w:vAlign w:val="center"/>
          </w:tcPr>
          <w:p w14:paraId="665B403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FWM</w:t>
            </w:r>
          </w:p>
        </w:tc>
        <w:tc>
          <w:tcPr>
            <w:tcW w:w="5237" w:type="dxa"/>
            <w:vAlign w:val="center"/>
          </w:tcPr>
          <w:p w14:paraId="55BBFB6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WDM channels mix into new frequencies. Manage channel grid, dispersion and launch power.</w:t>
            </w:r>
          </w:p>
        </w:tc>
      </w:tr>
      <w:tr w:rsidR="00C1269E" w:rsidRPr="00D2287B" w14:paraId="176905BD" w14:textId="77777777" w:rsidTr="00D2287B">
        <w:trPr>
          <w:trHeight w:val="694"/>
          <w:jc w:val="center"/>
        </w:trPr>
        <w:tc>
          <w:tcPr>
            <w:tcW w:w="5237" w:type="dxa"/>
            <w:vAlign w:val="center"/>
          </w:tcPr>
          <w:p w14:paraId="6FE1821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PDL</w:t>
            </w:r>
          </w:p>
        </w:tc>
        <w:tc>
          <w:tcPr>
            <w:tcW w:w="5237" w:type="dxa"/>
            <w:vAlign w:val="center"/>
          </w:tcPr>
          <w:p w14:paraId="3947ED5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Loss varies with polarization. Use low-PDL components and polarization-aware processing.</w:t>
            </w:r>
          </w:p>
        </w:tc>
      </w:tr>
      <w:tr w:rsidR="00C1269E" w:rsidRPr="00D2287B" w14:paraId="536012F8" w14:textId="77777777" w:rsidTr="00D2287B">
        <w:trPr>
          <w:trHeight w:val="694"/>
          <w:jc w:val="center"/>
        </w:trPr>
        <w:tc>
          <w:tcPr>
            <w:tcW w:w="5237" w:type="dxa"/>
            <w:vAlign w:val="center"/>
          </w:tcPr>
          <w:p w14:paraId="330DE30D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DCF</w:t>
            </w:r>
          </w:p>
        </w:tc>
        <w:tc>
          <w:tcPr>
            <w:tcW w:w="5237" w:type="dxa"/>
            <w:vAlign w:val="center"/>
          </w:tcPr>
          <w:p w14:paraId="36CC36D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Optically compensates dispersion but adds insertion loss and can increase cost/nonlinear interactions.</w:t>
            </w:r>
          </w:p>
        </w:tc>
      </w:tr>
      <w:tr w:rsidR="00C1269E" w:rsidRPr="00D2287B" w14:paraId="5F776288" w14:textId="77777777" w:rsidTr="00D2287B">
        <w:trPr>
          <w:trHeight w:val="694"/>
          <w:jc w:val="center"/>
        </w:trPr>
        <w:tc>
          <w:tcPr>
            <w:tcW w:w="5237" w:type="dxa"/>
            <w:vAlign w:val="center"/>
          </w:tcPr>
          <w:p w14:paraId="27C4978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Optical phase conjugation</w:t>
            </w:r>
          </w:p>
        </w:tc>
        <w:tc>
          <w:tcPr>
            <w:tcW w:w="5237" w:type="dxa"/>
            <w:vAlign w:val="center"/>
          </w:tcPr>
          <w:p w14:paraId="3BF5CAF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May compensate some dispersion/nonlinear effects under suitable symmetric conditions; requires specialized design.</w:t>
            </w:r>
          </w:p>
        </w:tc>
      </w:tr>
      <w:tr w:rsidR="00C1269E" w:rsidRPr="00D2287B" w14:paraId="6122534B" w14:textId="77777777" w:rsidTr="00D2287B">
        <w:trPr>
          <w:trHeight w:val="694"/>
          <w:jc w:val="center"/>
        </w:trPr>
        <w:tc>
          <w:tcPr>
            <w:tcW w:w="5237" w:type="dxa"/>
            <w:vAlign w:val="center"/>
          </w:tcPr>
          <w:p w14:paraId="020BD33A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Coherent DSP</w:t>
            </w:r>
          </w:p>
        </w:tc>
        <w:tc>
          <w:tcPr>
            <w:tcW w:w="5237" w:type="dxa"/>
            <w:vAlign w:val="center"/>
          </w:tcPr>
          <w:p w14:paraId="1AB3070E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Flexible CD/PMD compensation without DCF insertion loss, but requires high-speed ADCs and computation.</w:t>
            </w:r>
          </w:p>
        </w:tc>
      </w:tr>
    </w:tbl>
    <w:p w14:paraId="7CE23F5B" w14:textId="77777777" w:rsidR="00C1269E" w:rsidRPr="00D2287B" w:rsidRDefault="00C1269E">
      <w:pPr>
        <w:rPr>
          <w:sz w:val="22"/>
          <w:szCs w:val="24"/>
        </w:rPr>
      </w:pPr>
    </w:p>
    <w:p w14:paraId="0EA58178" w14:textId="77777777" w:rsidR="00C1269E" w:rsidRPr="00D2287B" w:rsidRDefault="00471738" w:rsidP="00376076">
      <w:pPr>
        <w:pStyle w:val="Heading2"/>
        <w:jc w:val="both"/>
        <w:rPr>
          <w:color w:val="auto"/>
          <w:sz w:val="24"/>
          <w:szCs w:val="28"/>
        </w:rPr>
      </w:pPr>
      <w:r w:rsidRPr="00D2287B">
        <w:rPr>
          <w:color w:val="auto"/>
          <w:sz w:val="24"/>
          <w:szCs w:val="28"/>
        </w:rPr>
        <w:t>Recommended coherent DSP sequence</w:t>
      </w:r>
    </w:p>
    <w:p w14:paraId="7E64925C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Optical front end / intradyne coherent receiver (ICR) converts the optical field to electrical I/Q signals.</w:t>
      </w:r>
    </w:p>
    <w:p w14:paraId="734FD558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Analog conditioning and ADC sampling.</w:t>
      </w:r>
    </w:p>
    <w:p w14:paraId="58B88FF9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Deskew and normalize the sampled streams.</w:t>
      </w:r>
    </w:p>
    <w:p w14:paraId="3B7818CD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Chromatic-dispersion compensation using frequency-domain equalization or a long FIR filter.</w:t>
      </w:r>
    </w:p>
    <w:p w14:paraId="095C460B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Timing recovery and adaptive 2×2 MIMO polarization demultiplexing (CMA initialization followed by a suitable decision-directed algorithm).</w:t>
      </w:r>
    </w:p>
    <w:p w14:paraId="33F7D81B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Frequency-offset estimation and carrier-phase recovery.</w:t>
      </w:r>
    </w:p>
    <w:p w14:paraId="462A61EB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Symbol decisions, soft-decision demapping and FEC decoding.</w:t>
      </w:r>
    </w:p>
    <w:p w14:paraId="62FB539A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Optional digital backpropagation (DBP) using split-step Fourier propagation reversal if simulations show enough benefit to justify computation and power.</w:t>
      </w:r>
    </w:p>
    <w:p w14:paraId="5EC335FA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Design Decision 3: I recommend coherent DSP with CD equalization, adaptive 2×2 MIMO polarization recovery, carrier recovery, demapping and FEC. DBP should be optional and included only if simulation shows useful Q/BER improvement. This avoids the insertion loss of DCF and supports a scalable coherent WDM architecture.</w:t>
      </w:r>
    </w:p>
    <w:p w14:paraId="01FA9B67" w14:textId="77777777" w:rsidR="00C1269E" w:rsidRPr="00D2287B" w:rsidRDefault="00471738" w:rsidP="00376076">
      <w:pPr>
        <w:pStyle w:val="Heading1"/>
        <w:jc w:val="both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Stage 5 – Integrated DWDM Strategy</w:t>
      </w:r>
    </w:p>
    <w:p w14:paraId="06288142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Proposed architecture: 32 narrow-linewidth tunable lasers feed 32 dual-polarization coherent transmitters. Each generates a 200 Gb/s DP-16QAM channel. An AWG multiplexer combines channels; isolation and launch-power control feed single-mode fiber spans. Hybrid Raman–EDFA amplification with GFF maintains channel power. An AWG demultiplexer separates the channels, each of which feeds a coherent ICR, ADC and DSP/FEC chain.</w:t>
      </w:r>
    </w:p>
    <w:p w14:paraId="5AF3755A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Block diagram:</w:t>
      </w:r>
    </w:p>
    <w:p w14:paraId="48E9ED41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b/>
          <w:sz w:val="22"/>
          <w:szCs w:val="24"/>
        </w:rPr>
        <w:t>32 tunable lasers → DP-16QAM EO I/Q MZI transmitters → channel monitoring → AWG multiplexer → isolator / launch-power control → single-mode fiber span(s) + distributed Raman pump(s) → EDFA + gain-flattening filter → further spans as required → AWG demultiplexer → coherent ICR → ADC → CD equalizer → adaptive 2×2 MIMO/PMD equalizer → carrier recovery → demapper → FEC decoder → 200 Gb/s recovered channel</w:t>
      </w:r>
    </w:p>
    <w:tbl>
      <w:tblPr>
        <w:tblStyle w:val="TableGrid"/>
        <w:tblW w:w="10449" w:type="dxa"/>
        <w:jc w:val="center"/>
        <w:tblLook w:val="04A0" w:firstRow="1" w:lastRow="0" w:firstColumn="1" w:lastColumn="0" w:noHBand="0" w:noVBand="1"/>
      </w:tblPr>
      <w:tblGrid>
        <w:gridCol w:w="3483"/>
        <w:gridCol w:w="3483"/>
        <w:gridCol w:w="3483"/>
      </w:tblGrid>
      <w:tr w:rsidR="00C1269E" w:rsidRPr="00D2287B" w14:paraId="7AB8A48E" w14:textId="77777777" w:rsidTr="00D2287B">
        <w:trPr>
          <w:trHeight w:val="320"/>
          <w:jc w:val="center"/>
        </w:trPr>
        <w:tc>
          <w:tcPr>
            <w:tcW w:w="3483" w:type="dxa"/>
            <w:shd w:val="clear" w:color="auto" w:fill="D9EAF7"/>
            <w:vAlign w:val="center"/>
          </w:tcPr>
          <w:p w14:paraId="513FB2ED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Parameter</w:t>
            </w:r>
          </w:p>
        </w:tc>
        <w:tc>
          <w:tcPr>
            <w:tcW w:w="3483" w:type="dxa"/>
            <w:shd w:val="clear" w:color="auto" w:fill="D9EAF7"/>
            <w:vAlign w:val="center"/>
          </w:tcPr>
          <w:p w14:paraId="13BFFF8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Proposed design</w:t>
            </w:r>
          </w:p>
        </w:tc>
        <w:tc>
          <w:tcPr>
            <w:tcW w:w="3483" w:type="dxa"/>
            <w:shd w:val="clear" w:color="auto" w:fill="D9EAF7"/>
            <w:vAlign w:val="center"/>
          </w:tcPr>
          <w:p w14:paraId="47BB6258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Status</w:t>
            </w:r>
          </w:p>
        </w:tc>
      </w:tr>
      <w:tr w:rsidR="00C1269E" w:rsidRPr="00D2287B" w14:paraId="26A2BD63" w14:textId="77777777" w:rsidTr="00D2287B">
        <w:trPr>
          <w:trHeight w:val="303"/>
          <w:jc w:val="center"/>
        </w:trPr>
        <w:tc>
          <w:tcPr>
            <w:tcW w:w="3483" w:type="dxa"/>
            <w:vAlign w:val="center"/>
          </w:tcPr>
          <w:p w14:paraId="188DCC9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Channel count / rate</w:t>
            </w:r>
          </w:p>
        </w:tc>
        <w:tc>
          <w:tcPr>
            <w:tcW w:w="3483" w:type="dxa"/>
            <w:vAlign w:val="center"/>
          </w:tcPr>
          <w:p w14:paraId="12EE205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32 × 200 Gb/s</w:t>
            </w:r>
          </w:p>
        </w:tc>
        <w:tc>
          <w:tcPr>
            <w:tcW w:w="3483" w:type="dxa"/>
            <w:vAlign w:val="center"/>
          </w:tcPr>
          <w:p w14:paraId="545A48A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Given</w:t>
            </w:r>
          </w:p>
        </w:tc>
      </w:tr>
      <w:tr w:rsidR="00C1269E" w:rsidRPr="00D2287B" w14:paraId="5DF86B96" w14:textId="77777777" w:rsidTr="00D2287B">
        <w:trPr>
          <w:trHeight w:val="320"/>
          <w:jc w:val="center"/>
        </w:trPr>
        <w:tc>
          <w:tcPr>
            <w:tcW w:w="3483" w:type="dxa"/>
            <w:vAlign w:val="center"/>
          </w:tcPr>
          <w:p w14:paraId="4C483CB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Aggregate capacity</w:t>
            </w:r>
          </w:p>
        </w:tc>
        <w:tc>
          <w:tcPr>
            <w:tcW w:w="3483" w:type="dxa"/>
            <w:vAlign w:val="center"/>
          </w:tcPr>
          <w:p w14:paraId="0A4DB90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6.4 Tb/s gross</w:t>
            </w:r>
          </w:p>
        </w:tc>
        <w:tc>
          <w:tcPr>
            <w:tcW w:w="3483" w:type="dxa"/>
            <w:vAlign w:val="center"/>
          </w:tcPr>
          <w:p w14:paraId="62BF3F9E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Calculated</w:t>
            </w:r>
          </w:p>
        </w:tc>
      </w:tr>
      <w:tr w:rsidR="00C1269E" w:rsidRPr="00D2287B" w14:paraId="6050BA24" w14:textId="77777777" w:rsidTr="00D2287B">
        <w:trPr>
          <w:trHeight w:val="320"/>
          <w:jc w:val="center"/>
        </w:trPr>
        <w:tc>
          <w:tcPr>
            <w:tcW w:w="3483" w:type="dxa"/>
            <w:vAlign w:val="center"/>
          </w:tcPr>
          <w:p w14:paraId="1E44358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Modulation</w:t>
            </w:r>
          </w:p>
        </w:tc>
        <w:tc>
          <w:tcPr>
            <w:tcW w:w="3483" w:type="dxa"/>
            <w:vAlign w:val="center"/>
          </w:tcPr>
          <w:p w14:paraId="39C571CD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DP-16QAM</w:t>
            </w:r>
          </w:p>
        </w:tc>
        <w:tc>
          <w:tcPr>
            <w:tcW w:w="3483" w:type="dxa"/>
            <w:vAlign w:val="center"/>
          </w:tcPr>
          <w:p w14:paraId="66AB9A7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Selected</w:t>
            </w:r>
          </w:p>
        </w:tc>
      </w:tr>
      <w:tr w:rsidR="00C1269E" w:rsidRPr="00D2287B" w14:paraId="29A63526" w14:textId="77777777" w:rsidTr="00D2287B">
        <w:trPr>
          <w:trHeight w:val="320"/>
          <w:jc w:val="center"/>
        </w:trPr>
        <w:tc>
          <w:tcPr>
            <w:tcW w:w="3483" w:type="dxa"/>
            <w:vAlign w:val="center"/>
          </w:tcPr>
          <w:p w14:paraId="1401CFC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Symbol rate</w:t>
            </w:r>
          </w:p>
        </w:tc>
        <w:tc>
          <w:tcPr>
            <w:tcW w:w="3483" w:type="dxa"/>
            <w:vAlign w:val="center"/>
          </w:tcPr>
          <w:p w14:paraId="248D7AF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25 GBd gross; increase for FEC overhead</w:t>
            </w:r>
          </w:p>
        </w:tc>
        <w:tc>
          <w:tcPr>
            <w:tcW w:w="3483" w:type="dxa"/>
            <w:vAlign w:val="center"/>
          </w:tcPr>
          <w:p w14:paraId="62B3E00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Calculated under stated assumption</w:t>
            </w:r>
          </w:p>
        </w:tc>
      </w:tr>
      <w:tr w:rsidR="00C1269E" w:rsidRPr="00D2287B" w14:paraId="4023B3D6" w14:textId="77777777" w:rsidTr="00D2287B">
        <w:trPr>
          <w:trHeight w:val="607"/>
          <w:jc w:val="center"/>
        </w:trPr>
        <w:tc>
          <w:tcPr>
            <w:tcW w:w="3483" w:type="dxa"/>
            <w:vAlign w:val="center"/>
          </w:tcPr>
          <w:p w14:paraId="6851CD0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Grid spacing</w:t>
            </w:r>
          </w:p>
        </w:tc>
        <w:tc>
          <w:tcPr>
            <w:tcW w:w="3483" w:type="dxa"/>
            <w:vAlign w:val="center"/>
          </w:tcPr>
          <w:p w14:paraId="253306F8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Evaluate 75 GHz</w:t>
            </w:r>
          </w:p>
        </w:tc>
        <w:tc>
          <w:tcPr>
            <w:tcW w:w="3483" w:type="dxa"/>
            <w:vAlign w:val="center"/>
          </w:tcPr>
          <w:p w14:paraId="319F1CE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Assumption; validate spectral occupancy and G.698 code</w:t>
            </w:r>
          </w:p>
        </w:tc>
      </w:tr>
      <w:tr w:rsidR="00C1269E" w:rsidRPr="00D2287B" w14:paraId="5D9B428E" w14:textId="77777777" w:rsidTr="00D2287B">
        <w:trPr>
          <w:trHeight w:val="607"/>
          <w:jc w:val="center"/>
        </w:trPr>
        <w:tc>
          <w:tcPr>
            <w:tcW w:w="3483" w:type="dxa"/>
            <w:vAlign w:val="center"/>
          </w:tcPr>
          <w:p w14:paraId="34B6F94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Laser linewidth</w:t>
            </w:r>
          </w:p>
        </w:tc>
        <w:tc>
          <w:tcPr>
            <w:tcW w:w="3483" w:type="dxa"/>
            <w:vAlign w:val="center"/>
          </w:tcPr>
          <w:p w14:paraId="6A84E44A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Use qualified coherent transceiver specification</w:t>
            </w:r>
          </w:p>
        </w:tc>
        <w:tc>
          <w:tcPr>
            <w:tcW w:w="3483" w:type="dxa"/>
            <w:vAlign w:val="center"/>
          </w:tcPr>
          <w:p w14:paraId="0736D52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Not provided</w:t>
            </w:r>
          </w:p>
        </w:tc>
      </w:tr>
      <w:tr w:rsidR="00C1269E" w:rsidRPr="00D2287B" w14:paraId="61C12CC8" w14:textId="77777777" w:rsidTr="00D2287B">
        <w:trPr>
          <w:trHeight w:val="607"/>
          <w:jc w:val="center"/>
        </w:trPr>
        <w:tc>
          <w:tcPr>
            <w:tcW w:w="3483" w:type="dxa"/>
            <w:vAlign w:val="center"/>
          </w:tcPr>
          <w:p w14:paraId="28552D2F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Modulator</w:t>
            </w:r>
          </w:p>
        </w:tc>
        <w:tc>
          <w:tcPr>
            <w:tcW w:w="3483" w:type="dxa"/>
            <w:vAlign w:val="center"/>
          </w:tcPr>
          <w:p w14:paraId="66B3379E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EO I/Q MZI, silicon photonics or lithium niobate</w:t>
            </w:r>
          </w:p>
        </w:tc>
        <w:tc>
          <w:tcPr>
            <w:tcW w:w="3483" w:type="dxa"/>
            <w:vAlign w:val="center"/>
          </w:tcPr>
          <w:p w14:paraId="0469968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Architecture selected; datasheet needed</w:t>
            </w:r>
          </w:p>
        </w:tc>
      </w:tr>
      <w:tr w:rsidR="00C1269E" w:rsidRPr="00D2287B" w14:paraId="15652720" w14:textId="77777777" w:rsidTr="00D2287B">
        <w:trPr>
          <w:trHeight w:val="303"/>
          <w:jc w:val="center"/>
        </w:trPr>
        <w:tc>
          <w:tcPr>
            <w:tcW w:w="3483" w:type="dxa"/>
            <w:vAlign w:val="center"/>
          </w:tcPr>
          <w:p w14:paraId="4ADFF02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Vπ / bandwidth</w:t>
            </w:r>
          </w:p>
        </w:tc>
        <w:tc>
          <w:tcPr>
            <w:tcW w:w="3483" w:type="dxa"/>
            <w:vAlign w:val="center"/>
          </w:tcPr>
          <w:p w14:paraId="0C0C55BF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Device-specific</w:t>
            </w:r>
          </w:p>
        </w:tc>
        <w:tc>
          <w:tcPr>
            <w:tcW w:w="3483" w:type="dxa"/>
            <w:vAlign w:val="center"/>
          </w:tcPr>
          <w:p w14:paraId="50422A7F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Not provided; must validate</w:t>
            </w:r>
          </w:p>
        </w:tc>
      </w:tr>
      <w:tr w:rsidR="00C1269E" w:rsidRPr="00D2287B" w14:paraId="4C03994C" w14:textId="77777777" w:rsidTr="00D2287B">
        <w:trPr>
          <w:trHeight w:val="607"/>
          <w:jc w:val="center"/>
        </w:trPr>
        <w:tc>
          <w:tcPr>
            <w:tcW w:w="3483" w:type="dxa"/>
            <w:vAlign w:val="center"/>
          </w:tcPr>
          <w:p w14:paraId="649ABA0F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Amplifier</w:t>
            </w:r>
          </w:p>
        </w:tc>
        <w:tc>
          <w:tcPr>
            <w:tcW w:w="3483" w:type="dxa"/>
            <w:vAlign w:val="center"/>
          </w:tcPr>
          <w:p w14:paraId="1EE0BD9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Hybrid Raman–EDFA + GFF + channel equalization</w:t>
            </w:r>
          </w:p>
        </w:tc>
        <w:tc>
          <w:tcPr>
            <w:tcW w:w="3483" w:type="dxa"/>
            <w:vAlign w:val="center"/>
          </w:tcPr>
          <w:p w14:paraId="2ED5680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Selected; numeric gain plan pending</w:t>
            </w:r>
          </w:p>
        </w:tc>
      </w:tr>
      <w:tr w:rsidR="00C1269E" w:rsidRPr="00D2287B" w14:paraId="0029082A" w14:textId="77777777" w:rsidTr="00D2287B">
        <w:trPr>
          <w:trHeight w:val="607"/>
          <w:jc w:val="center"/>
        </w:trPr>
        <w:tc>
          <w:tcPr>
            <w:tcW w:w="3483" w:type="dxa"/>
            <w:vAlign w:val="center"/>
          </w:tcPr>
          <w:p w14:paraId="411CD58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DSP</w:t>
            </w:r>
          </w:p>
        </w:tc>
        <w:tc>
          <w:tcPr>
            <w:tcW w:w="3483" w:type="dxa"/>
            <w:vAlign w:val="center"/>
          </w:tcPr>
          <w:p w14:paraId="0A38322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CD, MIMO/PMD, timing/carrier recovery, demapping, FEC; optional DBP</w:t>
            </w:r>
          </w:p>
        </w:tc>
        <w:tc>
          <w:tcPr>
            <w:tcW w:w="3483" w:type="dxa"/>
            <w:vAlign w:val="center"/>
          </w:tcPr>
          <w:p w14:paraId="28E8A5B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Selected</w:t>
            </w:r>
          </w:p>
        </w:tc>
      </w:tr>
      <w:tr w:rsidR="00C1269E" w:rsidRPr="00D2287B" w14:paraId="426986DB" w14:textId="77777777" w:rsidTr="00D2287B">
        <w:trPr>
          <w:trHeight w:val="607"/>
          <w:jc w:val="center"/>
        </w:trPr>
        <w:tc>
          <w:tcPr>
            <w:tcW w:w="3483" w:type="dxa"/>
            <w:vAlign w:val="center"/>
          </w:tcPr>
          <w:p w14:paraId="412AE1B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lastRenderedPageBreak/>
              <w:t>DSP filter taps</w:t>
            </w:r>
          </w:p>
        </w:tc>
        <w:tc>
          <w:tcPr>
            <w:tcW w:w="3483" w:type="dxa"/>
            <w:vAlign w:val="center"/>
          </w:tcPr>
          <w:p w14:paraId="2521F4A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Determine from sampling rate, dispersion, PMD and implementation limits</w:t>
            </w:r>
          </w:p>
        </w:tc>
        <w:tc>
          <w:tcPr>
            <w:tcW w:w="3483" w:type="dxa"/>
            <w:vAlign w:val="center"/>
          </w:tcPr>
          <w:p w14:paraId="22B2DA3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Simulation/implementation dependent</w:t>
            </w:r>
          </w:p>
        </w:tc>
      </w:tr>
    </w:tbl>
    <w:p w14:paraId="65675F77" w14:textId="77777777" w:rsidR="00C1269E" w:rsidRPr="00D2287B" w:rsidRDefault="00C1269E">
      <w:pPr>
        <w:rPr>
          <w:sz w:val="22"/>
          <w:szCs w:val="24"/>
        </w:rPr>
      </w:pPr>
    </w:p>
    <w:p w14:paraId="49C64540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Key trade-offs: DP-16QAM improves spectral efficiency but demands better OSNR and more accurate phase/amplitude recovery. AWG/MMI insertion loss reduces launch power. Excess launch power increases SPM/XPM/FWM, while insufficient power reduces receiver OSNR. Gain tilt can make the worst channel fail even when average channel performance looks acceptable.</w:t>
      </w:r>
    </w:p>
    <w:p w14:paraId="565B8D1A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Design Decision 4: I recommend the integrated coherent DP-16QAM, AWG, hybrid Raman–EDFA and DSP architecture as the preferred candidate for 6.4 Tb/s. It is not yet deployment-ready until span loss, gain, OSNR, BER/Q-factor and standard application-code compliance are confirmed.</w:t>
      </w:r>
    </w:p>
    <w:p w14:paraId="11410B05" w14:textId="77777777" w:rsidR="00C1269E" w:rsidRPr="00D2287B" w:rsidRDefault="00471738">
      <w:pPr>
        <w:pStyle w:val="Heading1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Stage 6 – Verification Table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 w:rsidR="00C1269E" w:rsidRPr="00D2287B" w14:paraId="0B52C333" w14:textId="77777777" w:rsidTr="00D2287B">
        <w:trPr>
          <w:trHeight w:val="407"/>
          <w:jc w:val="center"/>
        </w:trPr>
        <w:tc>
          <w:tcPr>
            <w:tcW w:w="2552" w:type="dxa"/>
            <w:shd w:val="clear" w:color="auto" w:fill="D9EAF7"/>
            <w:vAlign w:val="center"/>
          </w:tcPr>
          <w:p w14:paraId="075079DD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Requirement</w:t>
            </w:r>
          </w:p>
        </w:tc>
        <w:tc>
          <w:tcPr>
            <w:tcW w:w="2552" w:type="dxa"/>
            <w:shd w:val="clear" w:color="auto" w:fill="D9EAF7"/>
            <w:vAlign w:val="center"/>
          </w:tcPr>
          <w:p w14:paraId="355FCBD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Target</w:t>
            </w:r>
          </w:p>
        </w:tc>
        <w:tc>
          <w:tcPr>
            <w:tcW w:w="2552" w:type="dxa"/>
            <w:shd w:val="clear" w:color="auto" w:fill="D9EAF7"/>
            <w:vAlign w:val="center"/>
          </w:tcPr>
          <w:p w14:paraId="371C6FB8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Evidence / proposed result</w:t>
            </w:r>
          </w:p>
        </w:tc>
        <w:tc>
          <w:tcPr>
            <w:tcW w:w="2552" w:type="dxa"/>
            <w:shd w:val="clear" w:color="auto" w:fill="D9EAF7"/>
            <w:vAlign w:val="center"/>
          </w:tcPr>
          <w:p w14:paraId="58F6B38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b/>
                <w:sz w:val="18"/>
                <w:szCs w:val="24"/>
              </w:rPr>
              <w:t>Status</w:t>
            </w:r>
          </w:p>
        </w:tc>
      </w:tr>
      <w:tr w:rsidR="00C1269E" w:rsidRPr="00D2287B" w14:paraId="0030E346" w14:textId="77777777" w:rsidTr="00D2287B">
        <w:trPr>
          <w:trHeight w:val="385"/>
          <w:jc w:val="center"/>
        </w:trPr>
        <w:tc>
          <w:tcPr>
            <w:tcW w:w="2552" w:type="dxa"/>
            <w:vAlign w:val="center"/>
          </w:tcPr>
          <w:p w14:paraId="01173DFE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Aggregate capacity</w:t>
            </w:r>
          </w:p>
        </w:tc>
        <w:tc>
          <w:tcPr>
            <w:tcW w:w="2552" w:type="dxa"/>
            <w:vAlign w:val="center"/>
          </w:tcPr>
          <w:p w14:paraId="73B1F12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6.4 Tb/s</w:t>
            </w:r>
          </w:p>
        </w:tc>
        <w:tc>
          <w:tcPr>
            <w:tcW w:w="2552" w:type="dxa"/>
            <w:vAlign w:val="center"/>
          </w:tcPr>
          <w:p w14:paraId="0C7DEBC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32 × 200 Gb/s = 6.4 Tb/s</w:t>
            </w:r>
          </w:p>
        </w:tc>
        <w:tc>
          <w:tcPr>
            <w:tcW w:w="2552" w:type="dxa"/>
            <w:vAlign w:val="center"/>
          </w:tcPr>
          <w:p w14:paraId="55CBA2C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Meets arithmetic target</w:t>
            </w:r>
          </w:p>
        </w:tc>
      </w:tr>
      <w:tr w:rsidR="00C1269E" w:rsidRPr="00D2287B" w14:paraId="373E4211" w14:textId="77777777" w:rsidTr="00D2287B">
        <w:trPr>
          <w:trHeight w:val="771"/>
          <w:jc w:val="center"/>
        </w:trPr>
        <w:tc>
          <w:tcPr>
            <w:tcW w:w="2552" w:type="dxa"/>
            <w:vAlign w:val="center"/>
          </w:tcPr>
          <w:p w14:paraId="6E8B974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Modulation efficiency</w:t>
            </w:r>
          </w:p>
        </w:tc>
        <w:tc>
          <w:tcPr>
            <w:tcW w:w="2552" w:type="dxa"/>
            <w:vAlign w:val="center"/>
          </w:tcPr>
          <w:p w14:paraId="7C371DA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DP-16QAM</w:t>
            </w:r>
          </w:p>
        </w:tc>
        <w:tc>
          <w:tcPr>
            <w:tcW w:w="2552" w:type="dxa"/>
            <w:vAlign w:val="center"/>
          </w:tcPr>
          <w:p w14:paraId="6979E4B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8 bits/dual-polarization symbol; 25 GBd gross</w:t>
            </w:r>
          </w:p>
        </w:tc>
        <w:tc>
          <w:tcPr>
            <w:tcW w:w="2552" w:type="dxa"/>
            <w:vAlign w:val="center"/>
          </w:tcPr>
          <w:p w14:paraId="04471D5E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Consistent; OSNR validation needed</w:t>
            </w:r>
          </w:p>
        </w:tc>
      </w:tr>
      <w:tr w:rsidR="00C1269E" w:rsidRPr="00D2287B" w14:paraId="0F3430CF" w14:textId="77777777" w:rsidTr="00D2287B">
        <w:trPr>
          <w:trHeight w:val="771"/>
          <w:jc w:val="center"/>
        </w:trPr>
        <w:tc>
          <w:tcPr>
            <w:tcW w:w="2552" w:type="dxa"/>
            <w:vAlign w:val="center"/>
          </w:tcPr>
          <w:p w14:paraId="6A79526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Grid spacing</w:t>
            </w:r>
          </w:p>
        </w:tc>
        <w:tc>
          <w:tcPr>
            <w:tcW w:w="2552" w:type="dxa"/>
            <w:vAlign w:val="center"/>
          </w:tcPr>
          <w:p w14:paraId="4B5A22A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ITU-T G.698 grid</w:t>
            </w:r>
          </w:p>
        </w:tc>
        <w:tc>
          <w:tcPr>
            <w:tcW w:w="2552" w:type="dxa"/>
            <w:vAlign w:val="center"/>
          </w:tcPr>
          <w:p w14:paraId="5BF09BEA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75 GHz considered</w:t>
            </w:r>
          </w:p>
        </w:tc>
        <w:tc>
          <w:tcPr>
            <w:tcW w:w="2552" w:type="dxa"/>
            <w:vAlign w:val="center"/>
          </w:tcPr>
          <w:p w14:paraId="389A36C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Not confirmed; validate application code</w:t>
            </w:r>
          </w:p>
        </w:tc>
      </w:tr>
      <w:tr w:rsidR="00C1269E" w:rsidRPr="00D2287B" w14:paraId="454D381B" w14:textId="77777777" w:rsidTr="00D2287B">
        <w:trPr>
          <w:trHeight w:val="407"/>
          <w:jc w:val="center"/>
        </w:trPr>
        <w:tc>
          <w:tcPr>
            <w:tcW w:w="2552" w:type="dxa"/>
            <w:vAlign w:val="center"/>
          </w:tcPr>
          <w:p w14:paraId="604137B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Modulator bandwidth/footprint</w:t>
            </w:r>
          </w:p>
        </w:tc>
        <w:tc>
          <w:tcPr>
            <w:tcW w:w="2552" w:type="dxa"/>
            <w:vAlign w:val="center"/>
          </w:tcPr>
          <w:p w14:paraId="41040C8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200 Gb/s channel, compact PIC</w:t>
            </w:r>
          </w:p>
        </w:tc>
        <w:tc>
          <w:tcPr>
            <w:tcW w:w="2552" w:type="dxa"/>
            <w:vAlign w:val="center"/>
          </w:tcPr>
          <w:p w14:paraId="536159BA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EO I/Q MZI selected</w:t>
            </w:r>
          </w:p>
        </w:tc>
        <w:tc>
          <w:tcPr>
            <w:tcW w:w="2552" w:type="dxa"/>
            <w:vAlign w:val="center"/>
          </w:tcPr>
          <w:p w14:paraId="58BC27B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Device data needed</w:t>
            </w:r>
          </w:p>
        </w:tc>
      </w:tr>
      <w:tr w:rsidR="00C1269E" w:rsidRPr="00D2287B" w14:paraId="4BD874B5" w14:textId="77777777" w:rsidTr="00D2287B">
        <w:trPr>
          <w:trHeight w:val="771"/>
          <w:jc w:val="center"/>
        </w:trPr>
        <w:tc>
          <w:tcPr>
            <w:tcW w:w="2552" w:type="dxa"/>
            <w:vAlign w:val="center"/>
          </w:tcPr>
          <w:p w14:paraId="3E6E315C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Amplifier gain/flatness</w:t>
            </w:r>
          </w:p>
        </w:tc>
        <w:tc>
          <w:tcPr>
            <w:tcW w:w="2552" w:type="dxa"/>
            <w:vAlign w:val="center"/>
          </w:tcPr>
          <w:p w14:paraId="2468703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Meet power budget and flat C-band gain</w:t>
            </w:r>
          </w:p>
        </w:tc>
        <w:tc>
          <w:tcPr>
            <w:tcW w:w="2552" w:type="dxa"/>
            <w:vAlign w:val="center"/>
          </w:tcPr>
          <w:p w14:paraId="55A4AC24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Hybrid Raman–EDFA + GFF proposed</w:t>
            </w:r>
          </w:p>
        </w:tc>
        <w:tc>
          <w:tcPr>
            <w:tcW w:w="2552" w:type="dxa"/>
            <w:vAlign w:val="center"/>
          </w:tcPr>
          <w:p w14:paraId="296CBE9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Numeric validation pending</w:t>
            </w:r>
          </w:p>
        </w:tc>
      </w:tr>
      <w:tr w:rsidR="00C1269E" w:rsidRPr="00D2287B" w14:paraId="7E6000C2" w14:textId="77777777" w:rsidTr="00D2287B">
        <w:trPr>
          <w:trHeight w:val="771"/>
          <w:jc w:val="center"/>
        </w:trPr>
        <w:tc>
          <w:tcPr>
            <w:tcW w:w="2552" w:type="dxa"/>
            <w:vAlign w:val="center"/>
          </w:tcPr>
          <w:p w14:paraId="4A021307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OSNR / BER</w:t>
            </w:r>
          </w:p>
        </w:tc>
        <w:tc>
          <w:tcPr>
            <w:tcW w:w="2552" w:type="dxa"/>
            <w:vAlign w:val="center"/>
          </w:tcPr>
          <w:p w14:paraId="4CA0D420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Meet transceiver/FEC thresholds</w:t>
            </w:r>
          </w:p>
        </w:tc>
        <w:tc>
          <w:tcPr>
            <w:tcW w:w="2552" w:type="dxa"/>
            <w:vAlign w:val="center"/>
          </w:tcPr>
          <w:p w14:paraId="50F6AEA2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Assignment gives no numerical threshold</w:t>
            </w:r>
          </w:p>
        </w:tc>
        <w:tc>
          <w:tcPr>
            <w:tcW w:w="2552" w:type="dxa"/>
            <w:vAlign w:val="center"/>
          </w:tcPr>
          <w:p w14:paraId="229662F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Cannot claim verified</w:t>
            </w:r>
          </w:p>
        </w:tc>
      </w:tr>
      <w:tr w:rsidR="00C1269E" w:rsidRPr="00D2287B" w14:paraId="257DB911" w14:textId="77777777" w:rsidTr="00D2287B">
        <w:trPr>
          <w:trHeight w:val="771"/>
          <w:jc w:val="center"/>
        </w:trPr>
        <w:tc>
          <w:tcPr>
            <w:tcW w:w="2552" w:type="dxa"/>
            <w:vAlign w:val="center"/>
          </w:tcPr>
          <w:p w14:paraId="440A20EA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DSP</w:t>
            </w:r>
          </w:p>
        </w:tc>
        <w:tc>
          <w:tcPr>
            <w:tcW w:w="2552" w:type="dxa"/>
            <w:vAlign w:val="center"/>
          </w:tcPr>
          <w:p w14:paraId="539D9663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CD/PMD and nonlinear tolerance</w:t>
            </w:r>
          </w:p>
        </w:tc>
        <w:tc>
          <w:tcPr>
            <w:tcW w:w="2552" w:type="dxa"/>
            <w:vAlign w:val="center"/>
          </w:tcPr>
          <w:p w14:paraId="5F9F2496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CD equalizer, MIMO, carrier recovery, FEC; optional DBP</w:t>
            </w:r>
          </w:p>
        </w:tc>
        <w:tc>
          <w:tcPr>
            <w:tcW w:w="2552" w:type="dxa"/>
            <w:vAlign w:val="center"/>
          </w:tcPr>
          <w:p w14:paraId="774B796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Architecture selected; simulate</w:t>
            </w:r>
          </w:p>
        </w:tc>
      </w:tr>
      <w:tr w:rsidR="00C1269E" w:rsidRPr="00D2287B" w14:paraId="32DDFA5F" w14:textId="77777777" w:rsidTr="00D2287B">
        <w:trPr>
          <w:trHeight w:val="771"/>
          <w:jc w:val="center"/>
        </w:trPr>
        <w:tc>
          <w:tcPr>
            <w:tcW w:w="2552" w:type="dxa"/>
            <w:vAlign w:val="center"/>
          </w:tcPr>
          <w:p w14:paraId="633187D5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Standards</w:t>
            </w:r>
          </w:p>
        </w:tc>
        <w:tc>
          <w:tcPr>
            <w:tcW w:w="2552" w:type="dxa"/>
            <w:vAlign w:val="center"/>
          </w:tcPr>
          <w:p w14:paraId="7E34DB3B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G.698 and applicable IEEE/OIF specs</w:t>
            </w:r>
          </w:p>
        </w:tc>
        <w:tc>
          <w:tcPr>
            <w:tcW w:w="2552" w:type="dxa"/>
            <w:vAlign w:val="center"/>
          </w:tcPr>
          <w:p w14:paraId="4CCB5301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Compliance checklist proposed</w:t>
            </w:r>
          </w:p>
        </w:tc>
        <w:tc>
          <w:tcPr>
            <w:tcW w:w="2552" w:type="dxa"/>
            <w:vAlign w:val="center"/>
          </w:tcPr>
          <w:p w14:paraId="2F3C2ED9" w14:textId="77777777" w:rsidR="00C1269E" w:rsidRPr="00D2287B" w:rsidRDefault="00471738">
            <w:pPr>
              <w:spacing w:after="20"/>
              <w:rPr>
                <w:sz w:val="22"/>
                <w:szCs w:val="24"/>
              </w:rPr>
            </w:pPr>
            <w:r w:rsidRPr="00D2287B">
              <w:rPr>
                <w:sz w:val="18"/>
                <w:szCs w:val="24"/>
              </w:rPr>
              <w:t>Exact interface code needed</w:t>
            </w:r>
          </w:p>
        </w:tc>
      </w:tr>
    </w:tbl>
    <w:p w14:paraId="08DAE98E" w14:textId="77777777" w:rsidR="00C1269E" w:rsidRPr="00D2287B" w:rsidRDefault="00C1269E">
      <w:pPr>
        <w:rPr>
          <w:sz w:val="22"/>
          <w:szCs w:val="24"/>
        </w:rPr>
      </w:pPr>
    </w:p>
    <w:p w14:paraId="513E944C" w14:textId="77777777" w:rsidR="00C1269E" w:rsidRPr="00D2287B" w:rsidRDefault="00471738" w:rsidP="00376076">
      <w:pPr>
        <w:pStyle w:val="Heading1"/>
        <w:jc w:val="both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Simulation Plan (OptiSystem / OptSim / MATLAB)</w:t>
      </w:r>
    </w:p>
    <w:p w14:paraId="68CC0BC9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The assignment requests eye diagrams, optical spectra, constellation plots and Q-factor versus launch-power curves. No simulator outputs or complete link parameters were supplied, so this report does not fabricate plots or claim simulation has been completed.</w:t>
      </w:r>
    </w:p>
    <w:p w14:paraId="76ED1899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Model 32 channels using the chosen grid and 200 Gb/s DP-16QAM transceivers.</w:t>
      </w:r>
    </w:p>
    <w:p w14:paraId="00D5AC15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Enter actual per-channel launch power, span length, fiber attenuation/dispersion/PMD/nonlinear coefficient, and component insertion losses.</w:t>
      </w:r>
    </w:p>
    <w:p w14:paraId="203756E8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Model AWG MUX/DEMUX, amplifier gain/noise figure, gain tilt, GFF and Raman pump conditions.</w:t>
      </w:r>
    </w:p>
    <w:p w14:paraId="060DBB62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Compare baseline DSP with CD/PMD compensation and optional DBP.</w:t>
      </w:r>
    </w:p>
    <w:p w14:paraId="57DA46F3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lastRenderedPageBreak/>
        <w:t>Sweep launch power (e.g. −5 to +3 dBm as a test range only, not a recommended operating range) and record pre-FEC BER, Q-factor and OSNR.</w:t>
      </w:r>
    </w:p>
    <w:p w14:paraId="6BE0BE24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Export optical spectra, constellation and eye diagrams at representative channels; compare EDFA-only against hybrid Raman–EDFA.</w:t>
      </w:r>
    </w:p>
    <w:p w14:paraId="27EB55C7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Report the worst channel, not only the center channel, and repeat under component/temperature tolerances.</w:t>
      </w:r>
    </w:p>
    <w:p w14:paraId="0A467FF3" w14:textId="77777777" w:rsidR="00C1269E" w:rsidRPr="00D2287B" w:rsidRDefault="00471738" w:rsidP="00376076">
      <w:pPr>
        <w:pStyle w:val="Heading1"/>
        <w:jc w:val="both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Final Engineering Decision – Would You Deploy?</w:t>
      </w:r>
    </w:p>
    <w:p w14:paraId="4DA739C9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NO — not directly from the present data. The proposed architecture is technically promising, but the assignment omits essential numerical inputs: per-channel input/target output powers for the amplifier calculation, fiber length/span loss, exact grid/application code, OSNR/FEC target and simulation results. Therefore the full power budget, amplifier gain, OSNR margin, pre-FEC BER and Q-factor cannot be verified.</w:t>
      </w:r>
    </w:p>
    <w:p w14:paraId="2360A9D1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Redesign / completion actions:</w:t>
      </w:r>
    </w:p>
    <w:p w14:paraId="4E5F6994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Confirm whether 200 Gb/s is gross or net of FEC and select the actual transceiver and line rate.</w:t>
      </w:r>
    </w:p>
    <w:p w14:paraId="3D622483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Specify carrier grid and verify the exact G.698 application code and applicable IEEE/OIF interface.</w:t>
      </w:r>
    </w:p>
    <w:p w14:paraId="791F95F2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Obtain intended per-channel input/output powers, span lengths, fiber loss, amplifier noise figures and gain limits; calculate the complete 32-channel power budget.</w:t>
      </w:r>
    </w:p>
    <w:p w14:paraId="4BC85562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Model hybrid Raman–EDFA gain and ASE accumulation, add GFF/equalization and verify worst-channel OSNR margin.</w:t>
      </w:r>
    </w:p>
    <w:p w14:paraId="5F805CCD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Run OptiSystem/OptSim/MATLAB and include actual spectra, constellations, eye diagrams, Q/BER and launch-power sweep.</w:t>
      </w:r>
    </w:p>
    <w:p w14:paraId="5A751A42" w14:textId="77777777" w:rsidR="00C1269E" w:rsidRPr="00D2287B" w:rsidRDefault="00471738" w:rsidP="00376076">
      <w:pPr>
        <w:pStyle w:val="ListBullet"/>
        <w:spacing w:after="2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Verify modulator bandwidth/Vπ, laser linewidth, PIC loss, thermal stability, DSP power, reliability and cost from datasheets.</w:t>
      </w:r>
    </w:p>
    <w:p w14:paraId="597D447F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Deployment can be reconsidered after the missing data are supplied and the worst-case channel meets the selected transceiver’s OSNR and pre-FEC BER limits with engineering margin.</w:t>
      </w:r>
    </w:p>
    <w:p w14:paraId="35B992E8" w14:textId="77777777" w:rsidR="00C1269E" w:rsidRPr="00D2287B" w:rsidRDefault="00471738" w:rsidP="00376076">
      <w:pPr>
        <w:pStyle w:val="Heading1"/>
        <w:jc w:val="both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Conclusion</w:t>
      </w:r>
    </w:p>
    <w:p w14:paraId="2B458ECC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The proposed 32-channel system offers 6.4 Tb/s gross capacity. DP-16QAM carries 8 bits per dual-polarization symbol and requires 25 GBd at 200 Gb/s gross under the stated assumption, compared with 100 GBd for single-stream PAM4. An EO I/Q MZI transmitter, AWG multiplexing, hybrid Raman–EDFA amplification with gain flattening and coherent DSP form a coherent integrated architecture. CD, PMD, nonlinear effects, ASE and crosstalk must be addressed together. The correct engineering decision is not to deploy unt</w:t>
      </w:r>
      <w:r w:rsidRPr="00D2287B">
        <w:rPr>
          <w:sz w:val="22"/>
          <w:szCs w:val="24"/>
        </w:rPr>
        <w:t>il the missing power parameters are supplied and simulation validates OSNR, BER/Q-factor, spectral occupancy and launch-power optimization.</w:t>
      </w:r>
    </w:p>
    <w:p w14:paraId="2683EAA6" w14:textId="77777777" w:rsidR="00C1269E" w:rsidRPr="00D2287B" w:rsidRDefault="00471738" w:rsidP="00376076">
      <w:pPr>
        <w:pStyle w:val="Heading1"/>
        <w:jc w:val="both"/>
        <w:rPr>
          <w:color w:val="auto"/>
          <w:sz w:val="32"/>
          <w:szCs w:val="32"/>
        </w:rPr>
      </w:pPr>
      <w:r w:rsidRPr="00D2287B">
        <w:rPr>
          <w:color w:val="auto"/>
          <w:sz w:val="32"/>
          <w:szCs w:val="32"/>
        </w:rPr>
        <w:t>References and Source Basis</w:t>
      </w:r>
    </w:p>
    <w:p w14:paraId="2DCDA12C" w14:textId="77777777" w:rsidR="00C1269E" w:rsidRPr="00D2287B" w:rsidRDefault="00471738" w:rsidP="00376076">
      <w:pPr>
        <w:spacing w:after="80"/>
        <w:jc w:val="both"/>
        <w:rPr>
          <w:sz w:val="22"/>
          <w:szCs w:val="24"/>
        </w:rPr>
      </w:pPr>
      <w:r w:rsidRPr="00D2287B">
        <w:rPr>
          <w:sz w:val="22"/>
          <w:szCs w:val="24"/>
        </w:rPr>
        <w:t>Primary source: ECA18 – Optoelectronics and Optical Communication, CO4 Investigative Assignment PDF supplied with the task. The report follows its six-stage structure. General standards named by the assignment: ITU-T G.698 family; IEEE 802.3ct/802.3ck; OIF-CEI. Consult the current official standards and selected transceiver/component datasheets before claiming compliance.</w:t>
      </w:r>
    </w:p>
    <w:sectPr w:rsidR="00C1269E" w:rsidRPr="00D2287B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15018787">
    <w:abstractNumId w:val="8"/>
  </w:num>
  <w:num w:numId="2" w16cid:durableId="26489596">
    <w:abstractNumId w:val="6"/>
  </w:num>
  <w:num w:numId="3" w16cid:durableId="847720525">
    <w:abstractNumId w:val="5"/>
  </w:num>
  <w:num w:numId="4" w16cid:durableId="1442411908">
    <w:abstractNumId w:val="4"/>
  </w:num>
  <w:num w:numId="5" w16cid:durableId="917134550">
    <w:abstractNumId w:val="7"/>
  </w:num>
  <w:num w:numId="6" w16cid:durableId="1530872196">
    <w:abstractNumId w:val="3"/>
  </w:num>
  <w:num w:numId="7" w16cid:durableId="965741852">
    <w:abstractNumId w:val="2"/>
  </w:num>
  <w:num w:numId="8" w16cid:durableId="525561428">
    <w:abstractNumId w:val="1"/>
  </w:num>
  <w:num w:numId="9" w16cid:durableId="1459764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6076"/>
    <w:rsid w:val="00471738"/>
    <w:rsid w:val="005E5BCC"/>
    <w:rsid w:val="00AA1D8D"/>
    <w:rsid w:val="00B47730"/>
    <w:rsid w:val="00C1269E"/>
    <w:rsid w:val="00CB0664"/>
    <w:rsid w:val="00D2287B"/>
    <w:rsid w:val="00E442F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3D34040"/>
  <w14:defaultImageDpi w14:val="300"/>
  <w15:docId w15:val="{AEDDCC45-43B8-49B7-8854-BBED547B29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2513</Words>
  <Characters>14329</Characters>
  <Application>Microsoft Office Word</Application>
  <DocSecurity>0</DocSecurity>
  <Lines>119</Lines>
  <Paragraphs>33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16809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Keshava Reddy</cp:lastModifiedBy>
  <cp:revision>3</cp:revision>
  <dcterms:created xsi:type="dcterms:W3CDTF">2013-12-23T23:15:00Z</dcterms:created>
  <dcterms:modified xsi:type="dcterms:W3CDTF">2026-10-23T09:12:00Z</dcterms:modified>
  <cp:category/>
</cp:coreProperties>
</file>