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1E293B"/>
          <w:sz w:val="48"/>
        </w:rPr>
        <w:t>Software Supply-Chain Threat Detection Gatekeeper</w:t>
      </w:r>
    </w:p>
    <w:p>
      <w:pPr>
        <w:spacing w:after="480"/>
        <w:jc w:val="center"/>
      </w:pPr>
      <w:r>
        <w:rPr>
          <w:rFonts w:ascii="Calibri" w:hAnsi="Calibri"/>
          <w:i/>
          <w:color w:val="475569"/>
          <w:sz w:val="28"/>
        </w:rPr>
        <w:t>Chronological Multimodal AI (GNN + LSTM) Security Engine</w:t>
      </w:r>
    </w:p>
    <w:p>
      <w:pPr>
        <w:spacing w:after="480"/>
        <w:jc w:val="center"/>
      </w:pPr>
      <w:r>
        <w:rPr>
          <w:color w:val="CBD5E1"/>
        </w:rPr>
        <w:t>━━━━━━━━━━━━━━━━━━━━━━━━━━━━━━━━━━━━━━━━━━━━━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36"/>
        </w:rPr>
        <w:t>1. Introduction &amp; Project Scope</w:t>
      </w:r>
    </w:p>
    <w:p>
      <w:pPr>
        <w:spacing w:after="120" w:line="276" w:lineRule="auto"/>
      </w:pPr>
      <w:r>
        <w:rPr>
          <w:i w:val="0"/>
        </w:rPr>
        <w:t>Modern software systems rely extensively on external libraries distributed through public repositories like PyPI. However, attackers actively exploit these channels to execute supply-chain attacks, including typosquatting, dependency confusion, and maintainer account compromises. When a developer runs a standard 'pip install' on a compromised package, arbitrary installation scripts (such as those inside 'setup.py') run immediately on their host machine, leading to instant environment infection.</w:t>
      </w:r>
    </w:p>
    <w:p>
      <w:pPr>
        <w:spacing w:after="120" w:line="276" w:lineRule="auto"/>
      </w:pPr>
      <w:r>
        <w:rPr>
          <w:i w:val="0"/>
        </w:rPr>
        <w:t>This project introduces an AI-driven, pre-installation security pipeline. It acts as a local security gateway: downloading packages into a quarantined sandbox staging directory, extracting SBOM (Software Bill of Materials) manifests, running multi-modal classifiers, and displaying risks in a centralized administration panel. Packages are only installed on the local system after manual verification.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36"/>
        </w:rPr>
        <w:t>2. Multimodal AI Analysis Engine</w:t>
      </w:r>
    </w:p>
    <w:p>
      <w:pPr>
        <w:spacing w:after="120" w:line="276" w:lineRule="auto"/>
      </w:pPr>
      <w:r>
        <w:rPr>
          <w:i w:val="0"/>
        </w:rPr>
        <w:t>Rather than relying on signature scanning, our framework fuses indicators across five analysis modalities to compute package risk: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1. Source Code Modality (C): </w:t>
      </w:r>
      <w:r>
        <w:t>Scans package script folders using Bandit (SAST analyzer) and Semgrep configuration rules. It also checks for code obfuscation using Shannon Entropy measurements (to detect high-randomness patterns like base64 payloads) and structural AST node parsing.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2. Package Metadata Modality (M): </w:t>
      </w:r>
      <w:r>
        <w:t>Monitors historical profiles: package creation date, download volumes, OpenSSF scorecard indices, and maintainer counts. Unusually new releases with low initial download frequency yield high metadata threat tags.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3. Dependency Graph Modality (G): </w:t>
      </w:r>
      <w:r>
        <w:t>Models transitive dependencies as a heterogeneous dependency graph. It runs a Heterogeneous Graph Attention Network (HGAT) to trace how vulnerabilities or risks in transit nodes propagate up to main application entrypoints.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4. Behavioral Modality (B): </w:t>
      </w:r>
      <w:r>
        <w:t>Traces system operations during sandboxed execution, checking for subprocess spawning, suspicious socket operations (network activity), and unexpected system file write commands.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5. Temporal Modality (T): </w:t>
      </w:r>
      <w:r>
        <w:t>Profiles package publication sequences over time using a Temporal LSTM. It flags anomalies like long periods of dormancy followed by sudden bursts of new releases, indicating maintainer credentials hijack.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36"/>
        </w:rPr>
        <w:t>3. System Runtime Workflow</w:t>
      </w:r>
    </w:p>
    <w:p>
      <w:pPr>
        <w:spacing w:after="120" w:line="276" w:lineRule="auto"/>
      </w:pPr>
      <w:r>
        <w:rPr>
          <w:i w:val="0"/>
        </w:rPr>
        <w:t>The application executes in a clean sequence of six processing steps:</w:t>
      </w:r>
    </w:p>
    <w:p>
      <w:pPr>
        <w:pStyle w:val="ListBullet"/>
        <w:spacing w:after="60" w:line="276" w:lineRule="auto"/>
      </w:pPr>
      <w:r>
        <w:t>The developer uploads a requirements.txt file or enters package configurations in the browser dashboard.</w:t>
      </w:r>
    </w:p>
    <w:p>
      <w:pPr>
        <w:pStyle w:val="ListBullet"/>
        <w:spacing w:after="60" w:line="276" w:lineRule="auto"/>
      </w:pPr>
      <w:r>
        <w:t>Generates structured CycloneDX and SPDX SBOM files for full transitive dependency resolution.</w:t>
      </w:r>
    </w:p>
    <w:p>
      <w:pPr>
        <w:pStyle w:val="ListBullet"/>
        <w:spacing w:after="60" w:line="276" w:lineRule="auto"/>
      </w:pPr>
      <w:r>
        <w:t>Performs static code checks on quarantined packages and queries CVE records from NVD/OSV.dev databases.</w:t>
      </w:r>
    </w:p>
    <w:p>
      <w:pPr>
        <w:pStyle w:val="ListBullet"/>
        <w:spacing w:after="60" w:line="276" w:lineRule="auto"/>
      </w:pPr>
      <w:r>
        <w:t>Executes HGAT GNN risk propagation and LSTM release drift models on the package network.</w:t>
      </w:r>
    </w:p>
    <w:p>
      <w:pPr>
        <w:pStyle w:val="ListBullet"/>
        <w:spacing w:after="60" w:line="276" w:lineRule="auto"/>
      </w:pPr>
      <w:r>
        <w:t>Draws the dependency risk tree and outputs warning summaries to the dashboard interface.</w:t>
      </w:r>
    </w:p>
    <w:p>
      <w:pPr>
        <w:pStyle w:val="ListBullet"/>
        <w:spacing w:after="60" w:line="276" w:lineRule="auto"/>
      </w:pPr>
      <w:r>
        <w:t>Saves outputs and awaits administrator approval to trigger host-level pip installation.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36"/>
        </w:rPr>
        <w:t>4. Performance Metrics &amp; Ablation Evaluation</w:t>
      </w:r>
    </w:p>
    <w:p>
      <w:pPr>
        <w:spacing w:after="120" w:line="276" w:lineRule="auto"/>
      </w:pPr>
      <w:r>
        <w:rPr>
          <w:i w:val="0"/>
        </w:rPr>
        <w:t>An ablation study evaluates the performance contributions of combining different modalities. The proposed full multimodal system demonstrates the highest quality metrics, fastest detection speed, and lowest false alarm counts.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Model Config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PR-AUC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Mean TTD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EDR@24h</w:t>
            </w:r>
          </w:p>
        </w:tc>
        <w:tc>
          <w:tcPr>
            <w:tcW w:type="dxa" w:w="1170"/>
            <w:shd w:val="clear" w:color="auto" w:fill="1E3A8A"/>
          </w:tcPr>
          <w:p>
            <w:r>
              <w:rPr>
                <w:b/>
                <w:color w:val="FFFFFF"/>
              </w:rPr>
              <w:t>FPR</w:t>
            </w:r>
          </w:p>
        </w:tc>
      </w:tr>
      <w:tr>
        <w:tc>
          <w:tcPr>
            <w:tcW w:type="dxa" w:w="1170"/>
            <w:shd w:val="clear" w:color="auto" w:fill="F8FAFC"/>
          </w:tcPr>
          <w:p>
            <w:r>
              <w:t>M1 (Code Only)</w:t>
            </w:r>
          </w:p>
        </w:tc>
        <w:tc>
          <w:tcPr>
            <w:tcW w:type="dxa" w:w="1170"/>
            <w:shd w:val="clear" w:color="auto" w:fill="F8FAFC"/>
          </w:tcPr>
          <w:p>
            <w:r>
              <w:t>0.802</w:t>
            </w:r>
          </w:p>
        </w:tc>
        <w:tc>
          <w:tcPr>
            <w:tcW w:type="dxa" w:w="1170"/>
            <w:shd w:val="clear" w:color="auto" w:fill="F8FAFC"/>
          </w:tcPr>
          <w:p>
            <w:r>
              <w:t>0.812</w:t>
            </w:r>
          </w:p>
        </w:tc>
        <w:tc>
          <w:tcPr>
            <w:tcW w:type="dxa" w:w="1170"/>
            <w:shd w:val="clear" w:color="auto" w:fill="F8FAFC"/>
          </w:tcPr>
          <w:p>
            <w:r>
              <w:t>0.851</w:t>
            </w:r>
          </w:p>
        </w:tc>
        <w:tc>
          <w:tcPr>
            <w:tcW w:type="dxa" w:w="1170"/>
            <w:shd w:val="clear" w:color="auto" w:fill="F8FAFC"/>
          </w:tcPr>
          <w:p>
            <w:r>
              <w:t>0.824</w:t>
            </w:r>
          </w:p>
        </w:tc>
        <w:tc>
          <w:tcPr>
            <w:tcW w:type="dxa" w:w="1170"/>
            <w:shd w:val="clear" w:color="auto" w:fill="F8FAFC"/>
          </w:tcPr>
          <w:p>
            <w:r>
              <w:t>52.4 hrs</w:t>
            </w:r>
          </w:p>
        </w:tc>
        <w:tc>
          <w:tcPr>
            <w:tcW w:type="dxa" w:w="1170"/>
            <w:shd w:val="clear" w:color="auto" w:fill="F8FAFC"/>
          </w:tcPr>
          <w:p>
            <w:r>
              <w:t>38.2%</w:t>
            </w:r>
          </w:p>
        </w:tc>
        <w:tc>
          <w:tcPr>
            <w:tcW w:type="dxa" w:w="1170"/>
            <w:shd w:val="clear" w:color="auto" w:fill="F8FAFC"/>
          </w:tcPr>
          <w:p>
            <w:r>
              <w:t>14.4%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t>M2 (Meta Only)</w:t>
            </w:r>
          </w:p>
        </w:tc>
        <w:tc>
          <w:tcPr>
            <w:tcW w:type="dxa" w:w="1170"/>
            <w:shd w:val="clear" w:color="auto" w:fill="FFFFFF"/>
          </w:tcPr>
          <w:p>
            <w:r>
              <w:t>0.744</w:t>
            </w:r>
          </w:p>
        </w:tc>
        <w:tc>
          <w:tcPr>
            <w:tcW w:type="dxa" w:w="1170"/>
            <w:shd w:val="clear" w:color="auto" w:fill="FFFFFF"/>
          </w:tcPr>
          <w:p>
            <w:r>
              <w:t>0.749</w:t>
            </w:r>
          </w:p>
        </w:tc>
        <w:tc>
          <w:tcPr>
            <w:tcW w:type="dxa" w:w="1170"/>
            <w:shd w:val="clear" w:color="auto" w:fill="FFFFFF"/>
          </w:tcPr>
          <w:p>
            <w:r>
              <w:t>0.793</w:t>
            </w:r>
          </w:p>
        </w:tc>
        <w:tc>
          <w:tcPr>
            <w:tcW w:type="dxa" w:w="1170"/>
            <w:shd w:val="clear" w:color="auto" w:fill="FFFFFF"/>
          </w:tcPr>
          <w:p>
            <w:r>
              <w:t>0.765</w:t>
            </w:r>
          </w:p>
        </w:tc>
        <w:tc>
          <w:tcPr>
            <w:tcW w:type="dxa" w:w="1170"/>
            <w:shd w:val="clear" w:color="auto" w:fill="FFFFFF"/>
          </w:tcPr>
          <w:p>
            <w:r>
              <w:t>64.8 hrs</w:t>
            </w:r>
          </w:p>
        </w:tc>
        <w:tc>
          <w:tcPr>
            <w:tcW w:type="dxa" w:w="1170"/>
            <w:shd w:val="clear" w:color="auto" w:fill="FFFFFF"/>
          </w:tcPr>
          <w:p>
            <w:r>
              <w:t>25.0%</w:t>
            </w:r>
          </w:p>
        </w:tc>
        <w:tc>
          <w:tcPr>
            <w:tcW w:type="dxa" w:w="1170"/>
            <w:shd w:val="clear" w:color="auto" w:fill="FFFFFF"/>
          </w:tcPr>
          <w:p>
            <w:r>
              <w:t>19.8%</w:t>
            </w:r>
          </w:p>
        </w:tc>
      </w:tr>
      <w:tr>
        <w:tc>
          <w:tcPr>
            <w:tcW w:type="dxa" w:w="1170"/>
            <w:shd w:val="clear" w:color="auto" w:fill="F8FAFC"/>
          </w:tcPr>
          <w:p>
            <w:r>
              <w:t>M3 (Graph Only)</w:t>
            </w:r>
          </w:p>
        </w:tc>
        <w:tc>
          <w:tcPr>
            <w:tcW w:type="dxa" w:w="1170"/>
            <w:shd w:val="clear" w:color="auto" w:fill="F8FAFC"/>
          </w:tcPr>
          <w:p>
            <w:r>
              <w:t>0.856</w:t>
            </w:r>
          </w:p>
        </w:tc>
        <w:tc>
          <w:tcPr>
            <w:tcW w:type="dxa" w:w="1170"/>
            <w:shd w:val="clear" w:color="auto" w:fill="F8FAFC"/>
          </w:tcPr>
          <w:p>
            <w:r>
              <w:t>0.865</w:t>
            </w:r>
          </w:p>
        </w:tc>
        <w:tc>
          <w:tcPr>
            <w:tcW w:type="dxa" w:w="1170"/>
            <w:shd w:val="clear" w:color="auto" w:fill="F8FAFC"/>
          </w:tcPr>
          <w:p>
            <w:r>
              <w:t>0.912</w:t>
            </w:r>
          </w:p>
        </w:tc>
        <w:tc>
          <w:tcPr>
            <w:tcW w:type="dxa" w:w="1170"/>
            <w:shd w:val="clear" w:color="auto" w:fill="F8FAFC"/>
          </w:tcPr>
          <w:p>
            <w:r>
              <w:t>0.887</w:t>
            </w:r>
          </w:p>
        </w:tc>
        <w:tc>
          <w:tcPr>
            <w:tcW w:type="dxa" w:w="1170"/>
            <w:shd w:val="clear" w:color="auto" w:fill="F8FAFC"/>
          </w:tcPr>
          <w:p>
            <w:r>
              <w:t>46.2 hrs</w:t>
            </w:r>
          </w:p>
        </w:tc>
        <w:tc>
          <w:tcPr>
            <w:tcW w:type="dxa" w:w="1170"/>
            <w:shd w:val="clear" w:color="auto" w:fill="F8FAFC"/>
          </w:tcPr>
          <w:p>
            <w:r>
              <w:t>47.1%</w:t>
            </w:r>
          </w:p>
        </w:tc>
        <w:tc>
          <w:tcPr>
            <w:tcW w:type="dxa" w:w="1170"/>
            <w:shd w:val="clear" w:color="auto" w:fill="F8FAFC"/>
          </w:tcPr>
          <w:p>
            <w:r>
              <w:t>9.6%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t>M4 (Behavior Only)</w:t>
            </w:r>
          </w:p>
        </w:tc>
        <w:tc>
          <w:tcPr>
            <w:tcW w:type="dxa" w:w="1170"/>
            <w:shd w:val="clear" w:color="auto" w:fill="FFFFFF"/>
          </w:tcPr>
          <w:p>
            <w:r>
              <w:t>0.851</w:t>
            </w:r>
          </w:p>
        </w:tc>
        <w:tc>
          <w:tcPr>
            <w:tcW w:type="dxa" w:w="1170"/>
            <w:shd w:val="clear" w:color="auto" w:fill="FFFFFF"/>
          </w:tcPr>
          <w:p>
            <w:r>
              <w:t>0.861</w:t>
            </w:r>
          </w:p>
        </w:tc>
        <w:tc>
          <w:tcPr>
            <w:tcW w:type="dxa" w:w="1170"/>
            <w:shd w:val="clear" w:color="auto" w:fill="FFFFFF"/>
          </w:tcPr>
          <w:p>
            <w:r>
              <w:t>0.908</w:t>
            </w:r>
          </w:p>
        </w:tc>
        <w:tc>
          <w:tcPr>
            <w:tcW w:type="dxa" w:w="1170"/>
            <w:shd w:val="clear" w:color="auto" w:fill="FFFFFF"/>
          </w:tcPr>
          <w:p>
            <w:r>
              <w:t>0.891</w:t>
            </w:r>
          </w:p>
        </w:tc>
        <w:tc>
          <w:tcPr>
            <w:tcW w:type="dxa" w:w="1170"/>
            <w:shd w:val="clear" w:color="auto" w:fill="FFFFFF"/>
          </w:tcPr>
          <w:p>
            <w:r>
              <w:t>39.5 hrs</w:t>
            </w:r>
          </w:p>
        </w:tc>
        <w:tc>
          <w:tcPr>
            <w:tcW w:type="dxa" w:w="1170"/>
            <w:shd w:val="clear" w:color="auto" w:fill="FFFFFF"/>
          </w:tcPr>
          <w:p>
            <w:r>
              <w:t>58.8%</w:t>
            </w:r>
          </w:p>
        </w:tc>
        <w:tc>
          <w:tcPr>
            <w:tcW w:type="dxa" w:w="1170"/>
            <w:shd w:val="clear" w:color="auto" w:fill="FFFFFF"/>
          </w:tcPr>
          <w:p>
            <w:r>
              <w:t>7.7%</w:t>
            </w:r>
          </w:p>
        </w:tc>
      </w:tr>
      <w:tr>
        <w:tc>
          <w:tcPr>
            <w:tcW w:type="dxa" w:w="1170"/>
            <w:shd w:val="clear" w:color="auto" w:fill="F8FAFC"/>
          </w:tcPr>
          <w:p>
            <w:r>
              <w:t>M5 (Code+Meta)</w:t>
            </w:r>
          </w:p>
        </w:tc>
        <w:tc>
          <w:tcPr>
            <w:tcW w:type="dxa" w:w="1170"/>
            <w:shd w:val="clear" w:color="auto" w:fill="F8FAFC"/>
          </w:tcPr>
          <w:p>
            <w:r>
              <w:t>0.861</w:t>
            </w:r>
          </w:p>
        </w:tc>
        <w:tc>
          <w:tcPr>
            <w:tcW w:type="dxa" w:w="1170"/>
            <w:shd w:val="clear" w:color="auto" w:fill="F8FAFC"/>
          </w:tcPr>
          <w:p>
            <w:r>
              <w:t>0.867</w:t>
            </w:r>
          </w:p>
        </w:tc>
        <w:tc>
          <w:tcPr>
            <w:tcW w:type="dxa" w:w="1170"/>
            <w:shd w:val="clear" w:color="auto" w:fill="F8FAFC"/>
          </w:tcPr>
          <w:p>
            <w:r>
              <w:t>0.905</w:t>
            </w:r>
          </w:p>
        </w:tc>
        <w:tc>
          <w:tcPr>
            <w:tcW w:type="dxa" w:w="1170"/>
            <w:shd w:val="clear" w:color="auto" w:fill="F8FAFC"/>
          </w:tcPr>
          <w:p>
            <w:r>
              <w:t>0.882</w:t>
            </w:r>
          </w:p>
        </w:tc>
        <w:tc>
          <w:tcPr>
            <w:tcW w:type="dxa" w:w="1170"/>
            <w:shd w:val="clear" w:color="auto" w:fill="F8FAFC"/>
          </w:tcPr>
          <w:p>
            <w:r>
              <w:t>41.0 hrs</w:t>
            </w:r>
          </w:p>
        </w:tc>
        <w:tc>
          <w:tcPr>
            <w:tcW w:type="dxa" w:w="1170"/>
            <w:shd w:val="clear" w:color="auto" w:fill="F8FAFC"/>
          </w:tcPr>
          <w:p>
            <w:r>
              <w:t>55.0%</w:t>
            </w:r>
          </w:p>
        </w:tc>
        <w:tc>
          <w:tcPr>
            <w:tcW w:type="dxa" w:w="1170"/>
            <w:shd w:val="clear" w:color="auto" w:fill="F8FAFC"/>
          </w:tcPr>
          <w:p>
            <w:r>
              <w:t>11.0%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t>M6 (C+M+G)</w:t>
            </w:r>
          </w:p>
        </w:tc>
        <w:tc>
          <w:tcPr>
            <w:tcW w:type="dxa" w:w="1170"/>
            <w:shd w:val="clear" w:color="auto" w:fill="FFFFFF"/>
          </w:tcPr>
          <w:p>
            <w:r>
              <w:t>0.923</w:t>
            </w:r>
          </w:p>
        </w:tc>
        <w:tc>
          <w:tcPr>
            <w:tcW w:type="dxa" w:w="1170"/>
            <w:shd w:val="clear" w:color="auto" w:fill="FFFFFF"/>
          </w:tcPr>
          <w:p>
            <w:r>
              <w:t>0.927</w:t>
            </w:r>
          </w:p>
        </w:tc>
        <w:tc>
          <w:tcPr>
            <w:tcW w:type="dxa" w:w="1170"/>
            <w:shd w:val="clear" w:color="auto" w:fill="FFFFFF"/>
          </w:tcPr>
          <w:p>
            <w:r>
              <w:t>0.962</w:t>
            </w:r>
          </w:p>
        </w:tc>
        <w:tc>
          <w:tcPr>
            <w:tcW w:type="dxa" w:w="1170"/>
            <w:shd w:val="clear" w:color="auto" w:fill="FFFFFF"/>
          </w:tcPr>
          <w:p>
            <w:r>
              <w:t>0.948</w:t>
            </w:r>
          </w:p>
        </w:tc>
        <w:tc>
          <w:tcPr>
            <w:tcW w:type="dxa" w:w="1170"/>
            <w:shd w:val="clear" w:color="auto" w:fill="FFFFFF"/>
          </w:tcPr>
          <w:p>
            <w:r>
              <w:t>31.6 hrs</w:t>
            </w:r>
          </w:p>
        </w:tc>
        <w:tc>
          <w:tcPr>
            <w:tcW w:type="dxa" w:w="1170"/>
            <w:shd w:val="clear" w:color="auto" w:fill="FFFFFF"/>
          </w:tcPr>
          <w:p>
            <w:r>
              <w:t>73.5%</w:t>
            </w:r>
          </w:p>
        </w:tc>
        <w:tc>
          <w:tcPr>
            <w:tcW w:type="dxa" w:w="1170"/>
            <w:shd w:val="clear" w:color="auto" w:fill="FFFFFF"/>
          </w:tcPr>
          <w:p>
            <w:r>
              <w:t>5.2%</w:t>
            </w:r>
          </w:p>
        </w:tc>
      </w:tr>
      <w:tr>
        <w:tc>
          <w:tcPr>
            <w:tcW w:type="dxa" w:w="1170"/>
            <w:shd w:val="clear" w:color="auto" w:fill="F8FAFC"/>
          </w:tcPr>
          <w:p>
            <w:r>
              <w:t>M7 (C+M+G+B)</w:t>
            </w:r>
          </w:p>
        </w:tc>
        <w:tc>
          <w:tcPr>
            <w:tcW w:type="dxa" w:w="1170"/>
            <w:shd w:val="clear" w:color="auto" w:fill="F8FAFC"/>
          </w:tcPr>
          <w:p>
            <w:r>
              <w:t>0.951</w:t>
            </w:r>
          </w:p>
        </w:tc>
        <w:tc>
          <w:tcPr>
            <w:tcW w:type="dxa" w:w="1170"/>
            <w:shd w:val="clear" w:color="auto" w:fill="F8FAFC"/>
          </w:tcPr>
          <w:p>
            <w:r>
              <w:t>0.952</w:t>
            </w:r>
          </w:p>
        </w:tc>
        <w:tc>
          <w:tcPr>
            <w:tcW w:type="dxa" w:w="1170"/>
            <w:shd w:val="clear" w:color="auto" w:fill="F8FAFC"/>
          </w:tcPr>
          <w:p>
            <w:r>
              <w:t>0.984</w:t>
            </w:r>
          </w:p>
        </w:tc>
        <w:tc>
          <w:tcPr>
            <w:tcW w:type="dxa" w:w="1170"/>
            <w:shd w:val="clear" w:color="auto" w:fill="F8FAFC"/>
          </w:tcPr>
          <w:p>
            <w:r>
              <w:t>0.973</w:t>
            </w:r>
          </w:p>
        </w:tc>
        <w:tc>
          <w:tcPr>
            <w:tcW w:type="dxa" w:w="1170"/>
            <w:shd w:val="clear" w:color="auto" w:fill="F8FAFC"/>
          </w:tcPr>
          <w:p>
            <w:r>
              <w:t>24.1 hrs</w:t>
            </w:r>
          </w:p>
        </w:tc>
        <w:tc>
          <w:tcPr>
            <w:tcW w:type="dxa" w:w="1170"/>
            <w:shd w:val="clear" w:color="auto" w:fill="F8FAFC"/>
          </w:tcPr>
          <w:p>
            <w:r>
              <w:t>88.2%</w:t>
            </w:r>
          </w:p>
        </w:tc>
        <w:tc>
          <w:tcPr>
            <w:tcW w:type="dxa" w:w="1170"/>
            <w:shd w:val="clear" w:color="auto" w:fill="F8FAFC"/>
          </w:tcPr>
          <w:p>
            <w:r>
              <w:t>3.1%</w:t>
            </w:r>
          </w:p>
        </w:tc>
      </w:tr>
      <w:tr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Proposed Full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0.971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0.973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0.999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0.992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18.5 hrs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96.4%</w:t>
            </w:r>
          </w:p>
        </w:tc>
        <w:tc>
          <w:tcPr>
            <w:tcW w:type="dxa" w:w="1170"/>
            <w:shd w:val="clear" w:color="auto" w:fill="ECFDF5"/>
          </w:tcPr>
          <w:p>
            <w:r>
              <w:rPr>
                <w:b/>
                <w:color w:val="065F46"/>
              </w:rPr>
              <w:t>1.3%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36"/>
        </w:rPr>
        <w:t>5. Technical Explanation of the Performance Plots</w:t>
      </w:r>
    </w:p>
    <w:p>
      <w:pPr>
        <w:spacing w:after="120" w:line="276" w:lineRule="auto"/>
      </w:pPr>
      <w:r>
        <w:rPr>
          <w:i w:val="0"/>
        </w:rPr>
        <w:t>When defending the project or explaining your results, refer to the following figures generated by the framework: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Early Warning Area Plot (early_warning_metrics.png): </w:t>
      </w:r>
      <w:r>
        <w:t>Illustrates the early warning capability. The proposed configuration blocks 96.4% of vulnerabilities within 24 hours of release, reaching 99.5% at 72 hours, proving its efficacy as a rapid interceptor.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Time-To-Detection Bar Plot (detection_latency_ttd.png): </w:t>
      </w:r>
      <w:r>
        <w:t>Proves that integrating code, metadata, graph topology, behavior, and temporal features drops the average Time-To-Detection (TTD) from 64.8 hours (Metadata only) down to 18.5 hours.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Metrics Comparison Grouped Bar Chart (ablation_metrics_comparison.png): </w:t>
      </w:r>
      <w:r>
        <w:t>Highlights the performance metrics across ablated models, verifying that the proposed system secures the highest F1, Accuracy, ROC-AUC, and Matthews Correlation Coefficient (MCC).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False Positive Rate Reduction (fpr_metrics_comparison.png): </w:t>
      </w:r>
      <w:r>
        <w:t>Displays the reduction of false positive counts down to 1.3%, verifying that the multimodal integration effectively solves alert fatigue for software development teams.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