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rFonts w:ascii="Calibri" w:hAnsi="Calibri"/>
          <w:b/>
          <w:color w:val="0F172A"/>
          <w:sz w:val="44"/>
        </w:rPr>
        <w:t>TECHNICAL OVERVIEW &amp; HANDBOOK: SOFTWARE SUPPLY-CHAIN THREAT DETECTION GATEKEEPER</w:t>
      </w:r>
    </w:p>
    <w:p>
      <w:pPr>
        <w:spacing w:after="480"/>
        <w:jc w:val="center"/>
      </w:pPr>
      <w:r>
        <w:rPr>
          <w:rFonts w:ascii="Calibri" w:hAnsi="Calibri"/>
          <w:i/>
          <w:color w:val="475569"/>
          <w:sz w:val="28"/>
        </w:rPr>
        <w:t>An AI-Driven Chronological Multimodal Framework (GNN + LSTM)</w:t>
      </w:r>
    </w:p>
    <w:p>
      <w:pPr>
        <w:spacing w:after="480"/>
        <w:jc w:val="center"/>
      </w:pPr>
      <w:r>
        <w:rPr>
          <w:color w:val="CBD5E1"/>
        </w:rPr>
        <w:t>━━━━━━━━━━━━━━━━━━━━━━━━━━━━━━━━━━━━━━━━━━━━━</w:t>
      </w:r>
    </w:p>
    <w:p>
      <w:pPr>
        <w:keepNext/>
        <w:spacing w:before="480" w:after="160"/>
      </w:pPr>
      <w:r>
        <w:rPr>
          <w:rFonts w:ascii="Calibri" w:hAnsi="Calibri"/>
          <w:b/>
          <w:color w:val="0F172A"/>
          <w:sz w:val="32"/>
        </w:rPr>
        <w:t>1. System Architecture &amp; Path Resolutions</w:t>
      </w:r>
    </w:p>
    <w:p>
      <w:pPr>
        <w:spacing w:after="120" w:line="276" w:lineRule="auto"/>
      </w:pPr>
      <w:r>
        <w:rPr>
          <w:i w:val="0"/>
        </w:rPr>
        <w:t>To ensure stability under different run configurations, the system uses absolute directory anchoring. The following table maps the core components, their file paths, and their specific technical functions in the codebase:</w:t>
      </w:r>
    </w:p>
    <w:tbl>
      <w:tblPr>
        <w:tblStyle w:val="LightShading-Accent1"/>
        <w:tblW w:type="auto" w:w="0"/>
        <w:tblLook w:firstColumn="1" w:firstRow="1" w:lastColumn="0" w:lastRow="0" w:noHBand="0" w:noVBand="1" w:val="04A0"/>
      </w:tblPr>
      <w:tblGrid>
        <w:gridCol w:w="3120"/>
        <w:gridCol w:w="3120"/>
        <w:gridCol w:w="3120"/>
      </w:tblGrid>
      <w:tr>
        <w:tc>
          <w:tcPr>
            <w:tcW w:type="dxa" w:w="3120"/>
            <w:shd w:val="clear" w:color="auto" w:fill="1F2937"/>
          </w:tcPr>
          <w:p>
            <w:r>
              <w:rPr>
                <w:b/>
                <w:color w:val="FFFFFF"/>
              </w:rPr>
              <w:t>Component</w:t>
            </w:r>
          </w:p>
        </w:tc>
        <w:tc>
          <w:tcPr>
            <w:tcW w:type="dxa" w:w="3120"/>
            <w:shd w:val="clear" w:color="auto" w:fill="1F2937"/>
          </w:tcPr>
          <w:p>
            <w:r>
              <w:rPr>
                <w:b/>
                <w:color w:val="FFFFFF"/>
              </w:rPr>
              <w:t>File Path</w:t>
            </w:r>
          </w:p>
        </w:tc>
        <w:tc>
          <w:tcPr>
            <w:tcW w:type="dxa" w:w="3120"/>
            <w:shd w:val="clear" w:color="auto" w:fill="1F2937"/>
          </w:tcPr>
          <w:p>
            <w:r>
              <w:rPr>
                <w:b/>
                <w:color w:val="FFFFFF"/>
              </w:rPr>
              <w:t>Operational Description</w:t>
            </w:r>
          </w:p>
        </w:tc>
      </w:tr>
      <w:tr>
        <w:tc>
          <w:tcPr>
            <w:tcW w:type="dxa" w:w="3120"/>
            <w:shd w:val="clear" w:color="auto" w:fill="F8FAFC"/>
          </w:tcPr>
          <w:p>
            <w:r>
              <w:t>Main Controller</w:t>
            </w:r>
          </w:p>
        </w:tc>
        <w:tc>
          <w:tcPr>
            <w:tcW w:type="dxa" w:w="3120"/>
            <w:shd w:val="clear" w:color="auto" w:fill="F8FAFC"/>
          </w:tcPr>
          <w:p>
            <w:r>
              <w:t>main.py</w:t>
            </w:r>
          </w:p>
        </w:tc>
        <w:tc>
          <w:tcPr>
            <w:tcW w:type="dxa" w:w="3120"/>
            <w:shd w:val="clear" w:color="auto" w:fill="F8FAFC"/>
          </w:tcPr>
          <w:p>
            <w:r>
              <w:t>Acts as the central HTTP server handling REST endpoints. Initiates threat prediction pipelines, seeds sqlite tables, and triggers host installations.</w:t>
            </w:r>
          </w:p>
        </w:tc>
      </w:tr>
      <w:tr>
        <w:tc>
          <w:tcPr>
            <w:tcW w:type="dxa" w:w="3120"/>
            <w:shd w:val="clear" w:color="auto" w:fill="FFFFFF"/>
          </w:tcPr>
          <w:p>
            <w:r>
              <w:t>Dependency Scanner</w:t>
            </w:r>
          </w:p>
        </w:tc>
        <w:tc>
          <w:tcPr>
            <w:tcW w:type="dxa" w:w="3120"/>
            <w:shd w:val="clear" w:color="auto" w:fill="FFFFFF"/>
          </w:tcPr>
          <w:p>
            <w:r>
              <w:t>dependency_analysis/dependency_scanner.py</w:t>
            </w:r>
          </w:p>
        </w:tc>
        <w:tc>
          <w:tcPr>
            <w:tcW w:type="dxa" w:w="3120"/>
            <w:shd w:val="clear" w:color="auto" w:fill="FFFFFF"/>
          </w:tcPr>
          <w:p>
            <w:r>
              <w:t>Performs transit dependency resolution, queries OSV.dev APIs, checks NVD Excel databases, and logs ASCII risk trees to the console.</w:t>
            </w:r>
          </w:p>
        </w:tc>
      </w:tr>
      <w:tr>
        <w:tc>
          <w:tcPr>
            <w:tcW w:type="dxa" w:w="3120"/>
            <w:shd w:val="clear" w:color="auto" w:fill="F8FAFC"/>
          </w:tcPr>
          <w:p>
            <w:r>
              <w:t>GNN Classifier</w:t>
            </w:r>
          </w:p>
        </w:tc>
        <w:tc>
          <w:tcPr>
            <w:tcW w:type="dxa" w:w="3120"/>
            <w:shd w:val="clear" w:color="auto" w:fill="F8FAFC"/>
          </w:tcPr>
          <w:p>
            <w:r>
              <w:t>ml_engine/hgat_model.py</w:t>
            </w:r>
          </w:p>
        </w:tc>
        <w:tc>
          <w:tcPr>
            <w:tcW w:type="dxa" w:w="3120"/>
            <w:shd w:val="clear" w:color="auto" w:fill="F8FAFC"/>
          </w:tcPr>
          <w:p>
            <w:r>
              <w:t>Implements the Heterogeneous Graph Attention Network (HGAT) architecture in PyTorch.</w:t>
            </w:r>
          </w:p>
        </w:tc>
      </w:tr>
      <w:tr>
        <w:tc>
          <w:tcPr>
            <w:tcW w:type="dxa" w:w="3120"/>
            <w:shd w:val="clear" w:color="auto" w:fill="FFFFFF"/>
          </w:tcPr>
          <w:p>
            <w:r>
              <w:t>LSTM Model</w:t>
            </w:r>
          </w:p>
        </w:tc>
        <w:tc>
          <w:tcPr>
            <w:tcW w:type="dxa" w:w="3120"/>
            <w:shd w:val="clear" w:color="auto" w:fill="FFFFFF"/>
          </w:tcPr>
          <w:p>
            <w:r>
              <w:t>ml_engine/temporal_model.py</w:t>
            </w:r>
          </w:p>
        </w:tc>
        <w:tc>
          <w:tcPr>
            <w:tcW w:type="dxa" w:w="3120"/>
            <w:shd w:val="clear" w:color="auto" w:fill="FFFFFF"/>
          </w:tcPr>
          <w:p>
            <w:r>
              <w:t>Implements the Temporal LSTM classifier designed to identify sequential release anomalies.</w:t>
            </w:r>
          </w:p>
        </w:tc>
      </w:tr>
      <w:tr>
        <w:tc>
          <w:tcPr>
            <w:tcW w:type="dxa" w:w="3120"/>
            <w:shd w:val="clear" w:color="auto" w:fill="F8FAFC"/>
          </w:tcPr>
          <w:p>
            <w:r>
              <w:t>Training Engine</w:t>
            </w:r>
          </w:p>
        </w:tc>
        <w:tc>
          <w:tcPr>
            <w:tcW w:type="dxa" w:w="3120"/>
            <w:shd w:val="clear" w:color="auto" w:fill="F8FAFC"/>
          </w:tcPr>
          <w:p>
            <w:r>
              <w:t>ml_engine/trainer.py</w:t>
            </w:r>
          </w:p>
        </w:tc>
        <w:tc>
          <w:tcPr>
            <w:tcW w:type="dxa" w:w="3120"/>
            <w:shd w:val="clear" w:color="auto" w:fill="F8FAFC"/>
          </w:tcPr>
          <w:p>
            <w:r>
              <w:t>Handles separate Training split (&lt;=2022) and Validation split (2023-2024) performance evaluations.</w:t>
            </w:r>
          </w:p>
        </w:tc>
      </w:tr>
      <w:tr>
        <w:tc>
          <w:tcPr>
            <w:tcW w:type="dxa" w:w="3120"/>
            <w:shd w:val="clear" w:color="auto" w:fill="FFFFFF"/>
          </w:tcPr>
          <w:p>
            <w:r>
              <w:t>Static Analyzer</w:t>
            </w:r>
          </w:p>
        </w:tc>
        <w:tc>
          <w:tcPr>
            <w:tcW w:type="dxa" w:w="3120"/>
            <w:shd w:val="clear" w:color="auto" w:fill="FFFFFF"/>
          </w:tcPr>
          <w:p>
            <w:r>
              <w:t>static_analysis/analyzer.py</w:t>
            </w:r>
          </w:p>
        </w:tc>
        <w:tc>
          <w:tcPr>
            <w:tcW w:type="dxa" w:w="3120"/>
            <w:shd w:val="clear" w:color="auto" w:fill="FFFFFF"/>
          </w:tcPr>
          <w:p>
            <w:r>
              <w:t>Checks files via AST analysis, measures obfuscation entropy, and executes Bandit/Semgrep CLI checks on quarantined sources.</w:t>
            </w:r>
          </w:p>
        </w:tc>
      </w:tr>
      <w:tr>
        <w:tc>
          <w:tcPr>
            <w:tcW w:type="dxa" w:w="3120"/>
            <w:shd w:val="clear" w:color="auto" w:fill="F8FAFC"/>
          </w:tcPr>
          <w:p>
            <w:r>
              <w:t>Dashboard template</w:t>
            </w:r>
          </w:p>
        </w:tc>
        <w:tc>
          <w:tcPr>
            <w:tcW w:type="dxa" w:w="3120"/>
            <w:shd w:val="clear" w:color="auto" w:fill="F8FAFC"/>
          </w:tcPr>
          <w:p>
            <w:r>
              <w:t>visualization/dashboard.py</w:t>
            </w:r>
          </w:p>
        </w:tc>
        <w:tc>
          <w:tcPr>
            <w:tcW w:type="dxa" w:w="3120"/>
            <w:shd w:val="clear" w:color="auto" w:fill="F8FAFC"/>
          </w:tcPr>
          <w:p>
            <w:r>
              <w:t>Dynamically generates the glassmorphic Security Dashboard HTML file, parsing JSON inputs and bypassing curly-brace formatting conflicts.</w:t>
            </w:r>
          </w:p>
        </w:tc>
      </w:tr>
    </w:tbl>
    <w:p>
      <w:pPr>
        <w:spacing w:after="240"/>
      </w:pPr>
    </w:p>
    <w:p>
      <w:pPr>
        <w:keepNext/>
        <w:spacing w:before="480" w:after="160"/>
      </w:pPr>
      <w:r>
        <w:rPr>
          <w:rFonts w:ascii="Calibri" w:hAnsi="Calibri"/>
          <w:b/>
          <w:color w:val="0F172A"/>
          <w:sz w:val="32"/>
        </w:rPr>
        <w:t>2. REST API Specifications &amp; Routing</w:t>
      </w:r>
    </w:p>
    <w:p>
      <w:pPr>
        <w:spacing w:after="120" w:line="276" w:lineRule="auto"/>
      </w:pPr>
      <w:r>
        <w:rPr>
          <w:i w:val="0"/>
        </w:rPr>
        <w:t>Communication between the glassmorphism frontend and Python backend is mediated via internal REST endpoints. The following table details the HTTP methods, URI paths, and request-response parameters:</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shd w:val="clear" w:color="auto" w:fill="1F2937"/>
          </w:tcPr>
          <w:p>
            <w:r>
              <w:rPr>
                <w:b/>
                <w:color w:val="FFFFFF"/>
              </w:rPr>
              <w:t>Method</w:t>
            </w:r>
          </w:p>
        </w:tc>
        <w:tc>
          <w:tcPr>
            <w:tcW w:type="dxa" w:w="2340"/>
            <w:shd w:val="clear" w:color="auto" w:fill="1F2937"/>
          </w:tcPr>
          <w:p>
            <w:r>
              <w:rPr>
                <w:b/>
                <w:color w:val="FFFFFF"/>
              </w:rPr>
              <w:t>Endpoint Path</w:t>
            </w:r>
          </w:p>
        </w:tc>
        <w:tc>
          <w:tcPr>
            <w:tcW w:type="dxa" w:w="2340"/>
            <w:shd w:val="clear" w:color="auto" w:fill="1F2937"/>
          </w:tcPr>
          <w:p>
            <w:r>
              <w:rPr>
                <w:b/>
                <w:color w:val="FFFFFF"/>
              </w:rPr>
              <w:t>Request / Input</w:t>
            </w:r>
          </w:p>
        </w:tc>
        <w:tc>
          <w:tcPr>
            <w:tcW w:type="dxa" w:w="2340"/>
            <w:shd w:val="clear" w:color="auto" w:fill="1F2937"/>
          </w:tcPr>
          <w:p>
            <w:r>
              <w:rPr>
                <w:b/>
                <w:color w:val="FFFFFF"/>
              </w:rPr>
              <w:t>Response / Output</w:t>
            </w:r>
          </w:p>
        </w:tc>
      </w:tr>
      <w:tr>
        <w:tc>
          <w:tcPr>
            <w:tcW w:type="dxa" w:w="2340"/>
            <w:shd w:val="clear" w:color="auto" w:fill="F8FAFC"/>
          </w:tcPr>
          <w:p>
            <w:r>
              <w:t>POST</w:t>
            </w:r>
          </w:p>
        </w:tc>
        <w:tc>
          <w:tcPr>
            <w:tcW w:type="dxa" w:w="2340"/>
            <w:shd w:val="clear" w:color="auto" w:fill="F8FAFC"/>
          </w:tcPr>
          <w:p>
            <w:r>
              <w:t>/scan_requirements</w:t>
            </w:r>
          </w:p>
        </w:tc>
        <w:tc>
          <w:tcPr>
            <w:tcW w:type="dxa" w:w="2340"/>
            <w:shd w:val="clear" w:color="auto" w:fill="F8FAFC"/>
          </w:tcPr>
          <w:p>
            <w:r>
              <w:t>Plain-text requirements file body uploaded in dashboard.</w:t>
            </w:r>
          </w:p>
        </w:tc>
        <w:tc>
          <w:tcPr>
            <w:tcW w:type="dxa" w:w="2340"/>
            <w:shd w:val="clear" w:color="auto" w:fill="F8FAFC"/>
          </w:tcPr>
          <w:p>
            <w:r>
              <w:t>JSON redirect containing scan statuses, GNN risks, and dashboard.html locations.</w:t>
            </w:r>
          </w:p>
        </w:tc>
      </w:tr>
      <w:tr>
        <w:tc>
          <w:tcPr>
            <w:tcW w:type="dxa" w:w="2340"/>
            <w:shd w:val="clear" w:color="auto" w:fill="FFFFFF"/>
          </w:tcPr>
          <w:p>
            <w:r>
              <w:t>GET</w:t>
            </w:r>
          </w:p>
        </w:tc>
        <w:tc>
          <w:tcPr>
            <w:tcW w:type="dxa" w:w="2340"/>
            <w:shd w:val="clear" w:color="auto" w:fill="FFFFFF"/>
          </w:tcPr>
          <w:p>
            <w:r>
              <w:t>/list_outputs</w:t>
            </w:r>
          </w:p>
        </w:tc>
        <w:tc>
          <w:tcPr>
            <w:tcW w:type="dxa" w:w="2340"/>
            <w:shd w:val="clear" w:color="auto" w:fill="FFFFFF"/>
          </w:tcPr>
          <w:p>
            <w:r>
              <w:t>Triggered by 'Explore Output Artifacts' button.</w:t>
            </w:r>
          </w:p>
        </w:tc>
        <w:tc>
          <w:tcPr>
            <w:tcW w:type="dxa" w:w="2340"/>
            <w:shd w:val="clear" w:color="auto" w:fill="FFFFFF"/>
          </w:tcPr>
          <w:p>
            <w:r>
              <w:t>JSON list of whitelisted scan files (e.g. SBOM, Semgrep report, PNG plots) in outputs/ folder.</w:t>
            </w:r>
          </w:p>
        </w:tc>
      </w:tr>
      <w:tr>
        <w:tc>
          <w:tcPr>
            <w:tcW w:type="dxa" w:w="2340"/>
            <w:shd w:val="clear" w:color="auto" w:fill="F8FAFC"/>
          </w:tcPr>
          <w:p>
            <w:r>
              <w:t>GET</w:t>
            </w:r>
          </w:p>
        </w:tc>
        <w:tc>
          <w:tcPr>
            <w:tcW w:type="dxa" w:w="2340"/>
            <w:shd w:val="clear" w:color="auto" w:fill="F8FAFC"/>
          </w:tcPr>
          <w:p>
            <w:r>
              <w:t>/view_output?file={name}</w:t>
            </w:r>
          </w:p>
        </w:tc>
        <w:tc>
          <w:tcPr>
            <w:tcW w:type="dxa" w:w="2340"/>
            <w:shd w:val="clear" w:color="auto" w:fill="F8FAFC"/>
          </w:tcPr>
          <w:p>
            <w:r>
              <w:t>Passes whitelisted filename query parameter.</w:t>
            </w:r>
          </w:p>
        </w:tc>
        <w:tc>
          <w:tcPr>
            <w:tcW w:type="dxa" w:w="2340"/>
            <w:shd w:val="clear" w:color="auto" w:fill="F8FAFC"/>
          </w:tcPr>
          <w:p>
            <w:r>
              <w:t>Streams file contents back. Dynamically sets Content-Type (text/plain or image/png).</w:t>
            </w:r>
          </w:p>
        </w:tc>
      </w:tr>
      <w:tr>
        <w:tc>
          <w:tcPr>
            <w:tcW w:type="dxa" w:w="2340"/>
            <w:shd w:val="clear" w:color="auto" w:fill="FFFFFF"/>
          </w:tcPr>
          <w:p>
            <w:r>
              <w:t>POST</w:t>
            </w:r>
          </w:p>
        </w:tc>
        <w:tc>
          <w:tcPr>
            <w:tcW w:type="dxa" w:w="2340"/>
            <w:shd w:val="clear" w:color="auto" w:fill="FFFFFF"/>
          </w:tcPr>
          <w:p>
            <w:r>
              <w:t>/install</w:t>
            </w:r>
          </w:p>
        </w:tc>
        <w:tc>
          <w:tcPr>
            <w:tcW w:type="dxa" w:w="2340"/>
            <w:shd w:val="clear" w:color="auto" w:fill="FFFFFF"/>
          </w:tcPr>
          <w:p>
            <w:r>
              <w:t>No body parameters. Installs requirements fromoutputs/last_requirements.txt.</w:t>
            </w:r>
          </w:p>
        </w:tc>
        <w:tc>
          <w:tcPr>
            <w:tcW w:type="dxa" w:w="2340"/>
            <w:shd w:val="clear" w:color="auto" w:fill="FFFFFF"/>
          </w:tcPr>
          <w:p>
            <w:r>
              <w:t>Streams live pip installation output logs. Returns 200 Success or 500 Stacktrace.</w:t>
            </w:r>
          </w:p>
        </w:tc>
      </w:tr>
      <w:tr>
        <w:tc>
          <w:tcPr>
            <w:tcW w:type="dxa" w:w="2340"/>
            <w:shd w:val="clear" w:color="auto" w:fill="F8FAFC"/>
          </w:tcPr>
          <w:p>
            <w:r>
              <w:t>POST</w:t>
            </w:r>
          </w:p>
        </w:tc>
        <w:tc>
          <w:tcPr>
            <w:tcW w:type="dxa" w:w="2340"/>
            <w:shd w:val="clear" w:color="auto" w:fill="F8FAFC"/>
          </w:tcPr>
          <w:p>
            <w:r>
              <w:t>/abort</w:t>
            </w:r>
          </w:p>
        </w:tc>
        <w:tc>
          <w:tcPr>
            <w:tcW w:type="dxa" w:w="2340"/>
            <w:shd w:val="clear" w:color="auto" w:fill="F8FAFC"/>
          </w:tcPr>
          <w:p>
            <w:r>
              <w:t>Triggered when user clicks 'Abort' or 'Close Viewer'.</w:t>
            </w:r>
          </w:p>
        </w:tc>
        <w:tc>
          <w:tcPr>
            <w:tcW w:type="dxa" w:w="2340"/>
            <w:shd w:val="clear" w:color="auto" w:fill="F8FAFC"/>
          </w:tcPr>
          <w:p>
            <w:r>
              <w:t>Cleans staging directories and returns success string.</w:t>
            </w:r>
          </w:p>
        </w:tc>
      </w:tr>
    </w:tbl>
    <w:p>
      <w:pPr>
        <w:spacing w:after="240"/>
      </w:pPr>
    </w:p>
    <w:p>
      <w:pPr>
        <w:keepNext/>
        <w:spacing w:before="480" w:after="160"/>
      </w:pPr>
      <w:r>
        <w:rPr>
          <w:rFonts w:ascii="Calibri" w:hAnsi="Calibri"/>
          <w:b/>
          <w:color w:val="0F172A"/>
          <w:sz w:val="32"/>
        </w:rPr>
        <w:t>3. Core Security Modalities &amp; Mathematical Formulations</w:t>
      </w:r>
    </w:p>
    <w:p>
      <w:pPr>
        <w:spacing w:after="120" w:line="276" w:lineRule="auto"/>
      </w:pPr>
      <w:r>
        <w:rPr>
          <w:i w:val="0"/>
        </w:rPr>
        <w:t>Each of the five analysis modalities uses specific mathematical formulas or computational algorithms to model risk parameters.</w:t>
      </w:r>
    </w:p>
    <w:p>
      <w:pPr>
        <w:keepNext/>
        <w:spacing w:before="320" w:after="120"/>
      </w:pPr>
      <w:r>
        <w:rPr>
          <w:rFonts w:ascii="Calibri" w:hAnsi="Calibri"/>
          <w:b/>
          <w:color w:val="1E3A8A"/>
          <w:sz w:val="26"/>
        </w:rPr>
        <w:t>3.1 Source Code Obfuscation (Shannon Entropy)</w:t>
      </w:r>
    </w:p>
    <w:p>
      <w:pPr>
        <w:spacing w:after="120" w:line="276" w:lineRule="auto"/>
      </w:pPr>
      <w:r>
        <w:rPr>
          <w:i w:val="0"/>
        </w:rPr>
        <w:t>During pre-install scanning, we calculate the Shannon Entropy of code literals. High character randomness indicates obfuscated scripts, encrypted shellcode payloads, or packed malicious code blocks. The Shannon Entropy H(X) is defined as:</w:t>
      </w:r>
    </w:p>
    <w:p>
      <w:pPr>
        <w:spacing w:before="160" w:after="160"/>
        <w:jc w:val="center"/>
      </w:pPr>
      <w:r>
        <w:rPr>
          <w:rFonts w:ascii="Courier New" w:hAnsi="Courier New"/>
          <w:b/>
          <w:color w:val="0F172A"/>
          <w:sz w:val="21"/>
        </w:rPr>
        <w:t>H(X) = - sum_{i=1}^{n} P(x_i) * log_2 P(x_i)</w:t>
      </w:r>
    </w:p>
    <w:p>
      <w:pPr>
        <w:spacing w:after="120" w:line="276" w:lineRule="auto"/>
      </w:pPr>
      <w:r>
        <w:rPr>
          <w:i w:val="0"/>
        </w:rPr>
        <w:t>Where P(x_i) is the probability of occurrence of character x_i in the string sequence X, and n is the size of the unique character vocabulary. Standard Python source files have a Shannon Entropy score of 3.5 to 4.8. Obfuscated base64 payload sequences typically exceed 5.8.</w:t>
      </w:r>
    </w:p>
    <w:p>
      <w:pPr>
        <w:keepNext/>
        <w:spacing w:before="320" w:after="120"/>
      </w:pPr>
      <w:r>
        <w:rPr>
          <w:rFonts w:ascii="Calibri" w:hAnsi="Calibri"/>
          <w:b/>
          <w:color w:val="1E3A8A"/>
          <w:sz w:val="26"/>
        </w:rPr>
        <w:t>3.2 Heterogeneous Graph Attention Network (HGAT)</w:t>
      </w:r>
    </w:p>
    <w:p>
      <w:pPr>
        <w:spacing w:after="120" w:line="276" w:lineRule="auto"/>
      </w:pPr>
      <w:r>
        <w:rPr>
          <w:i w:val="0"/>
        </w:rPr>
        <w:t>To model dependency risk propagation across transitive dependency trees, our HGAT GNN projects packages and CVE relationships into a graph structure. The attention coefficients alpha_ij measure how strongly parent package i is affected by dependency node j:</w:t>
      </w:r>
    </w:p>
    <w:p>
      <w:pPr>
        <w:spacing w:before="160" w:after="160"/>
        <w:jc w:val="center"/>
      </w:pPr>
      <w:r>
        <w:rPr>
          <w:rFonts w:ascii="Courier New" w:hAnsi="Courier New"/>
          <w:b/>
          <w:color w:val="0F172A"/>
          <w:sz w:val="21"/>
        </w:rPr>
        <w:t>alpha_ij = exp( LeakyReLU( a^T * [ W * h_i || W * h_j ] ) ) / ( sum_{k in N_i} exp( LeakyReLU( a^T * [ W * h_i || W * h_k ] ) ) )</w:t>
      </w:r>
    </w:p>
    <w:p>
      <w:pPr>
        <w:spacing w:after="120" w:line="276" w:lineRule="auto"/>
      </w:pPr>
      <w:r>
        <w:rPr>
          <w:i w:val="0"/>
        </w:rPr>
        <w:t>Where h_i and h_j are feature representation vectors of nodes i and j, W is the shared parameter projection matrix, a is the weight vector of the attention mechanism, || denotes the concatenation operator, and N_i is the neighbourhood set of node i. This ensures that vulnerabilities located deep in transitive dependencies (e.g. urllib3) propagate risk attention weights up to application levels.</w:t>
      </w:r>
    </w:p>
    <w:p>
      <w:pPr>
        <w:keepNext/>
        <w:spacing w:before="320" w:after="120"/>
      </w:pPr>
      <w:r>
        <w:rPr>
          <w:rFonts w:ascii="Calibri" w:hAnsi="Calibri"/>
          <w:b/>
          <w:color w:val="1E3A8A"/>
          <w:sz w:val="26"/>
        </w:rPr>
        <w:t>3.3 LSTM Sequence Anomaly Modeling</w:t>
      </w:r>
    </w:p>
    <w:p>
      <w:pPr>
        <w:spacing w:after="120" w:line="276" w:lineRule="auto"/>
      </w:pPr>
      <w:r>
        <w:rPr>
          <w:i w:val="0"/>
        </w:rPr>
        <w:t>A package account takeover is modeled as a temporal release interval anomaly. The LSTM inspects chronological release delay sequences delta_t = t_k - t_{k-1}. The LSTM cell updates are governed by standard gating equations:</w:t>
      </w:r>
    </w:p>
    <w:p>
      <w:pPr>
        <w:spacing w:before="160" w:after="160"/>
        <w:jc w:val="center"/>
      </w:pPr>
      <w:r>
        <w:rPr>
          <w:rFonts w:ascii="Courier New" w:hAnsi="Courier New"/>
          <w:b/>
          <w:color w:val="0F172A"/>
          <w:sz w:val="21"/>
        </w:rPr>
        <w:t>f_t = sigmoid( W_f * [h_{t-1}, x_t] + b_f )</w:t>
        <w:br/>
        <w:t>i_t = sigmoid( W_i * [h_{t-1}, x_t] + b_i )</w:t>
        <w:br/>
        <w:t>C_tilde_t = tanh( W_c * [h_{t-1}, x_t] + b_c )</w:t>
        <w:br/>
        <w:t>C_t = f_t * C_{t-1} + i_t * C_tilde_t</w:t>
        <w:br/>
        <w:t>o_t = sigmoid( W_o * [h_{t-1}, x_t] + b_o )</w:t>
        <w:br/>
        <w:t>h_t = o_t * tanh( C_t )</w:t>
      </w:r>
    </w:p>
    <w:p>
      <w:pPr>
        <w:spacing w:after="120" w:line="276" w:lineRule="auto"/>
      </w:pPr>
      <w:r>
        <w:rPr>
          <w:i w:val="0"/>
        </w:rPr>
        <w:t>Where f_t, i_t, o_t represent the forget, input, and output gates respectively, C_t represents the hidden cell state accumulator, and h_t represents the output state.</w:t>
      </w:r>
    </w:p>
    <w:p>
      <w:pPr>
        <w:keepNext/>
        <w:spacing w:before="320" w:after="120"/>
      </w:pPr>
      <w:r>
        <w:rPr>
          <w:rFonts w:ascii="Calibri" w:hAnsi="Calibri"/>
          <w:b/>
          <w:color w:val="1E3A8A"/>
          <w:sz w:val="26"/>
        </w:rPr>
        <w:t>3.4 Unified Risk Score Fusion</w:t>
      </w:r>
    </w:p>
    <w:p>
      <w:pPr>
        <w:spacing w:after="120" w:line="276" w:lineRule="auto"/>
      </w:pPr>
      <w:r>
        <w:rPr>
          <w:i w:val="0"/>
        </w:rPr>
        <w:t>To compile the final risk score for the project, the system performs a weighted linear combination of GNN topological risk predictions, LSTM temporal anomalies, static analysis outputs, sandboxed run behaviors, and package historical health indexes:</w:t>
      </w:r>
    </w:p>
    <w:p>
      <w:pPr>
        <w:spacing w:before="160" w:after="160"/>
        <w:jc w:val="center"/>
      </w:pPr>
      <w:r>
        <w:rPr>
          <w:rFonts w:ascii="Courier New" w:hAnsi="Courier New"/>
          <w:b/>
          <w:color w:val="0F172A"/>
          <w:sz w:val="21"/>
        </w:rPr>
        <w:t>Risk_unified = w_1 * Risk_GNN + w_2 * Risk_LSTM + w_3 * Risk_Static + w_4 * Risk_Behavior + w_5 * Risk_Metadata</w:t>
      </w:r>
    </w:p>
    <w:p>
      <w:pPr>
        <w:spacing w:after="120" w:line="276" w:lineRule="auto"/>
      </w:pPr>
      <w:r>
        <w:rPr>
          <w:i w:val="0"/>
        </w:rPr>
        <w:t>Where weights are configured such that sum_{i=1}^{5} w_i = 1.0. This guarantees a balanced, robust prediction outcome.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