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285"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739826</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View count visionary:data driven approach to forecasting youtube videos views project</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Quality Report Template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and scope of the data quality assessment related to YouTube video view counts.The Data Quality Report Template will summarize data quality issues from the selected source, including severity levels and resolution plans. It will aid in systematically identifying and rectifying data discrepancies.</w:t>
      </w:r>
    </w:p>
    <w:tbl>
      <w:tblPr/>
      <w:tblGrid>
        <w:gridCol w:w="1320"/>
        <w:gridCol w:w="3420"/>
        <w:gridCol w:w="1185"/>
        <w:gridCol w:w="3450"/>
      </w:tblGrid>
      <w:tr>
        <w:trPr>
          <w:trHeight w:val="1055" w:hRule="auto"/>
          <w:jc w:val="left"/>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Source</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Quality Issue </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Severity</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Resolution Plan</w:t>
            </w:r>
          </w:p>
        </w:tc>
      </w:tr>
      <w:tr>
        <w:trPr>
          <w:trHeight w:val="1065" w:hRule="auto"/>
          <w:jc w:val="left"/>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Dataset</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Accuracy of view count data</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High</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Conduct an audit comparing reported view counts with actual viewer interactions.</w:t>
            </w:r>
          </w:p>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 Implement improved algorithms or data validation checks to enhance accuracy.</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