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assoria"/>
    <w:p>
      <w:pPr>
        <w:pStyle w:val="Heading1"/>
      </w:pPr>
      <w:r>
        <w:t xml:space="preserve">PASSORIA</w:t>
      </w:r>
    </w:p>
    <w:bookmarkStart w:id="20" w:name="X1c3b92ecb00b164291a845c77cf071d8ebbffbd"/>
    <w:p>
      <w:pPr>
        <w:pStyle w:val="Heading2"/>
      </w:pPr>
      <w:r>
        <w:t xml:space="preserve">Proposition de simplification administrative pour le Bénin</w:t>
      </w:r>
    </w:p>
    <w:p>
      <w:pPr>
        <w:pStyle w:val="FirstParagraph"/>
      </w:pPr>
      <w:r>
        <w:rPr>
          <w:b/>
          <w:bCs/>
        </w:rPr>
        <w:t xml:space="preserve">Toutes vos démarches, un seul espace.</w:t>
      </w:r>
    </w:p>
    <w:p>
      <w:pPr>
        <w:pStyle w:val="BodyText"/>
      </w:pPr>
      <w:r>
        <w:rPr>
          <w:b/>
          <w:bCs/>
        </w:rPr>
        <w:t xml:space="preserve">Nature du document :</w:t>
      </w:r>
      <w:r>
        <w:t xml:space="preserve"> </w:t>
      </w:r>
      <w:r>
        <w:t xml:space="preserve">dossier de candidature de travail — non officiel, à personnaliser avant dépôt.</w:t>
      </w:r>
      <w:r>
        <w:br/>
      </w:r>
      <w:r>
        <w:rPr>
          <w:b/>
          <w:bCs/>
        </w:rPr>
        <w:t xml:space="preserve">Édition :</w:t>
      </w:r>
      <w:r>
        <w:t xml:space="preserve"> </w:t>
      </w:r>
      <w:r>
        <w:t xml:space="preserve">Prix national de la simplification administrative 2026.</w:t>
      </w:r>
      <w:r>
        <w:br/>
      </w:r>
      <w:r>
        <w:rPr>
          <w:b/>
          <w:bCs/>
        </w:rPr>
        <w:t xml:space="preserve">Secteur de rattachement proposé :</w:t>
      </w:r>
      <w:r>
        <w:t xml:space="preserve"> </w:t>
      </w:r>
      <w:r>
        <w:t xml:space="preserve">État civil, Identité et Voyages.</w:t>
      </w:r>
      <w:r>
        <w:br/>
      </w:r>
      <w:r>
        <w:rPr>
          <w:b/>
          <w:bCs/>
        </w:rPr>
        <w:t xml:space="preserve">Catégorie :</w:t>
      </w:r>
      <w:r>
        <w:t xml:space="preserve"> </w:t>
      </w:r>
      <w:r>
        <w:t xml:space="preserve">à définir selon le statut réel du déposant ; cocher Prix Innovation numérique si le formulaire l’autorise et si les critères sont remplis.</w:t>
      </w:r>
      <w:r>
        <w:br/>
      </w:r>
      <w:r>
        <w:rPr>
          <w:b/>
          <w:bCs/>
        </w:rPr>
        <w:t xml:space="preserve">Porteur / contact :</w:t>
      </w:r>
      <w:r>
        <w:t xml:space="preserve"> </w:t>
      </w:r>
      <w:r>
        <w:t xml:space="preserve">[à renseigner dans le formulaire officiel].</w:t>
      </w:r>
      <w:r>
        <w:br/>
      </w:r>
      <w:r>
        <w:rPr>
          <w:b/>
          <w:bCs/>
        </w:rPr>
        <w:t xml:space="preserve">Date :</w:t>
      </w:r>
      <w:r>
        <w:t xml:space="preserve"> </w:t>
      </w:r>
      <w:r>
        <w:t xml:space="preserve">22 octobre 2026.</w:t>
      </w:r>
    </w:p>
    <w:p>
      <w:pPr>
        <w:pStyle w:val="BlockText"/>
      </w:pPr>
      <w:r>
        <w:rPr>
          <w:b/>
          <w:bCs/>
        </w:rPr>
        <w:t xml:space="preserve">Résumé en une phrase.</w:t>
      </w:r>
      <w:r>
        <w:t xml:space="preserve"> </w:t>
      </w:r>
      <w:r>
        <w:t xml:space="preserve">Passoria simplifie la préparation, la vérification et le suivi des formalités d’état civil, en commençant par les naissances et les décès, grâce à un dossier documentaire réutilisable et un accès Web, SMS/USSD ou au guichet assisté.</w:t>
      </w:r>
    </w:p>
    <w:bookmarkEnd w:id="20"/>
    <w:bookmarkStart w:id="21" w:name="Xf26bd1957e27e2645ee1226ee0d722e9d052bcc"/>
    <w:p>
      <w:pPr>
        <w:pStyle w:val="Heading2"/>
      </w:pPr>
      <w:r>
        <w:t xml:space="preserve">1. Le problème administratif précisément visé</w:t>
      </w:r>
    </w:p>
    <w:p>
      <w:pPr>
        <w:pStyle w:val="FirstParagraph"/>
      </w:pPr>
      <w:r>
        <w:t xml:space="preserve">Un usager peut connaître les pièces qu’il doit fournir sans disposer pour autant d’un</w:t>
      </w:r>
      <w:r>
        <w:t xml:space="preserve"> </w:t>
      </w:r>
      <w:r>
        <w:rPr>
          <w:b/>
          <w:bCs/>
        </w:rPr>
        <w:t xml:space="preserve">parcours administratif continu</w:t>
      </w:r>
      <w:r>
        <w:t xml:space="preserve"> </w:t>
      </w:r>
      <w:r>
        <w:t xml:space="preserve">: explications fragmentées, informations saisies plusieurs fois, difficulté à anticiper les erreurs, suivi dispersé et déplacements pour connaître l’étape suivante. Ces difficultés constituent des</w:t>
      </w:r>
      <w:r>
        <w:t xml:space="preserve"> </w:t>
      </w:r>
      <w:r>
        <w:rPr>
          <w:b/>
          <w:bCs/>
        </w:rPr>
        <w:t xml:space="preserve">hypothèses de travail à confirmer lors d’entretiens</w:t>
      </w:r>
      <w:r>
        <w:t xml:space="preserve">, et non des statistiques déjà mesurées pour tout le Bénin.</w:t>
      </w:r>
    </w:p>
    <w:p>
      <w:pPr>
        <w:pStyle w:val="BodyText"/>
      </w:pPr>
      <w:r>
        <w:t xml:space="preserve">Pour rendre la proposition testable, Passoria commence par deux démarches clairement définies :</w:t>
      </w:r>
    </w:p>
    <w:p>
      <w:pPr>
        <w:pStyle w:val="Compact"/>
        <w:numPr>
          <w:ilvl w:val="0"/>
          <w:numId w:val="1001"/>
        </w:numPr>
      </w:pPr>
      <w:r>
        <w:rPr>
          <w:b/>
          <w:bCs/>
        </w:rPr>
        <w:t xml:space="preserve">Déclaration/enregistrement d’une naissance :</w:t>
      </w:r>
      <w:r>
        <w:t xml:space="preserve"> </w:t>
      </w:r>
      <w:r>
        <w:t xml:space="preserve">préparation du dossier, vérification de cohérence des champs, orientation vers le canal officiel, suivi et correction des anomalies.</w:t>
      </w:r>
    </w:p>
    <w:p>
      <w:pPr>
        <w:pStyle w:val="Compact"/>
        <w:numPr>
          <w:ilvl w:val="0"/>
          <w:numId w:val="1001"/>
        </w:numPr>
      </w:pPr>
      <w:r>
        <w:rPr>
          <w:b/>
          <w:bCs/>
        </w:rPr>
        <w:t xml:space="preserve">Formalités administratives après un décès :</w:t>
      </w:r>
      <w:r>
        <w:t xml:space="preserve"> </w:t>
      </w:r>
      <w:r>
        <w:t xml:space="preserve">explication des étapes, préparation des justificatifs, suivi de la demande d’acte lorsque l’intégration le permet et orientation vers les démarches complémentaires (pension, organismes concernés, succession).</w:t>
      </w:r>
    </w:p>
    <w:p>
      <w:pPr>
        <w:pStyle w:val="FirstParagraph"/>
      </w:pPr>
      <w:r>
        <w:t xml:space="preserve">Le portail national répertorie déjà des services d’état civil ; Passoria ne les réédite pas et n’émet aucun acte officiel. Il</w:t>
      </w:r>
      <w:r>
        <w:t xml:space="preserve"> </w:t>
      </w:r>
      <w:r>
        <w:rPr>
          <w:b/>
          <w:bCs/>
        </w:rPr>
        <w:t xml:space="preserve">fluidifie le parcours en amont, entre les étapes et en aval</w:t>
      </w:r>
      <w:r>
        <w:t xml:space="preserve">, sous contrôle des administrations compétentes. Sources de cadrage : [B01], [B02], [B03].</w:t>
      </w:r>
    </w:p>
    <w:bookmarkEnd w:id="21"/>
    <w:bookmarkStart w:id="22" w:name="situation-actuelle-et-blocages-à-mesurer"/>
    <w:p>
      <w:pPr>
        <w:pStyle w:val="Heading2"/>
      </w:pPr>
      <w:r>
        <w:t xml:space="preserve">2. Situation actuelle et blocages à mesurer</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shd w:fill="E5F2EF"/>
          </w:tcPr>
          <w:p>
            <w:pPr>
              <w:pStyle w:val="Compact"/>
              <w:jc w:val="left"/>
            </w:pPr>
            <w:r>
              <w:rPr>
                <w:b/>
              </w:rPr>
              <w:t xml:space="preserve">Point de contrôle</w:t>
            </w:r>
          </w:p>
        </w:tc>
        <w:tc>
          <w:tcPr>
            <w:vAlign w:val="center"/>
            <w:shd w:fill="E5F2EF"/>
          </w:tcPr>
          <w:p>
            <w:pPr>
              <w:pStyle w:val="Compact"/>
              <w:jc w:val="left"/>
            </w:pPr>
            <w:r>
              <w:rPr>
                <w:b/>
              </w:rPr>
              <w:t xml:space="preserve">Situation de départ à documenter</w:t>
            </w:r>
          </w:p>
        </w:tc>
        <w:tc>
          <w:tcPr>
            <w:vAlign w:val="center"/>
            <w:shd w:fill="E5F2EF"/>
          </w:tcPr>
          <w:p>
            <w:pPr>
              <w:pStyle w:val="Compact"/>
              <w:jc w:val="left"/>
            </w:pPr>
            <w:r>
              <w:rPr>
                <w:b/>
              </w:rPr>
              <w:t xml:space="preserve">Simplification Passoria</w:t>
            </w:r>
          </w:p>
        </w:tc>
      </w:tr>
      <w:tr>
        <w:tc>
          <w:tcPr>
            <w:vAlign w:val="center"/>
          </w:tcPr>
          <w:p>
            <w:pPr>
              <w:pStyle w:val="Compact"/>
              <w:jc w:val="left"/>
            </w:pPr>
            <w:r>
              <w:t xml:space="preserve">Orientation</w:t>
            </w:r>
          </w:p>
        </w:tc>
        <w:tc>
          <w:tcPr>
            <w:vAlign w:val="center"/>
          </w:tcPr>
          <w:p>
            <w:pPr>
              <w:pStyle w:val="Compact"/>
              <w:jc w:val="left"/>
            </w:pPr>
            <w:r>
              <w:t xml:space="preserve">L’usager cherche l’organisme et les pièces nécessaires</w:t>
            </w:r>
          </w:p>
        </w:tc>
        <w:tc>
          <w:tcPr>
            <w:vAlign w:val="center"/>
          </w:tcPr>
          <w:p>
            <w:pPr>
              <w:pStyle w:val="Compact"/>
              <w:jc w:val="left"/>
            </w:pPr>
            <w:r>
              <w:t xml:space="preserve">Parcours guidé selon le motif réel</w:t>
            </w:r>
          </w:p>
        </w:tc>
      </w:tr>
      <w:tr>
        <w:tc>
          <w:tcPr>
            <w:vAlign w:val="center"/>
          </w:tcPr>
          <w:p>
            <w:pPr>
              <w:pStyle w:val="Compact"/>
              <w:jc w:val="left"/>
            </w:pPr>
            <w:r>
              <w:t xml:space="preserve">Pièces justificatives</w:t>
            </w:r>
          </w:p>
        </w:tc>
        <w:tc>
          <w:tcPr>
            <w:vAlign w:val="center"/>
          </w:tcPr>
          <w:p>
            <w:pPr>
              <w:pStyle w:val="Compact"/>
              <w:jc w:val="left"/>
            </w:pPr>
            <w:r>
              <w:t xml:space="preserve">Un dossier incomplet peut entraîner un nouveau passage</w:t>
            </w:r>
          </w:p>
        </w:tc>
        <w:tc>
          <w:tcPr>
            <w:vAlign w:val="center"/>
          </w:tcPr>
          <w:p>
            <w:pPr>
              <w:pStyle w:val="Compact"/>
              <w:jc w:val="left"/>
            </w:pPr>
            <w:r>
              <w:t xml:space="preserve">Contrôle de complétude préalable</w:t>
            </w:r>
          </w:p>
        </w:tc>
      </w:tr>
      <w:tr>
        <w:tc>
          <w:tcPr>
            <w:vAlign w:val="center"/>
          </w:tcPr>
          <w:p>
            <w:pPr>
              <w:pStyle w:val="Compact"/>
              <w:jc w:val="left"/>
            </w:pPr>
            <w:r>
              <w:t xml:space="preserve">Saisie de renseignements</w:t>
            </w:r>
          </w:p>
        </w:tc>
        <w:tc>
          <w:tcPr>
            <w:vAlign w:val="center"/>
          </w:tcPr>
          <w:p>
            <w:pPr>
              <w:pStyle w:val="Compact"/>
              <w:jc w:val="left"/>
            </w:pPr>
            <w:r>
              <w:t xml:space="preserve">Informations similaires à ressaisir selon les étapes</w:t>
            </w:r>
          </w:p>
        </w:tc>
        <w:tc>
          <w:tcPr>
            <w:vAlign w:val="center"/>
          </w:tcPr>
          <w:p>
            <w:pPr>
              <w:pStyle w:val="Compact"/>
              <w:jc w:val="left"/>
            </w:pPr>
            <w:r>
              <w:t xml:space="preserve">Réutilisation consentie et autorisée</w:t>
            </w:r>
          </w:p>
        </w:tc>
      </w:tr>
      <w:tr>
        <w:tc>
          <w:tcPr>
            <w:vAlign w:val="center"/>
          </w:tcPr>
          <w:p>
            <w:pPr>
              <w:pStyle w:val="Compact"/>
              <w:jc w:val="left"/>
            </w:pPr>
            <w:r>
              <w:t xml:space="preserve">Visibilité du dossier</w:t>
            </w:r>
          </w:p>
        </w:tc>
        <w:tc>
          <w:tcPr>
            <w:vAlign w:val="center"/>
          </w:tcPr>
          <w:p>
            <w:pPr>
              <w:pStyle w:val="Compact"/>
              <w:jc w:val="left"/>
            </w:pPr>
            <w:r>
              <w:t xml:space="preserve">Suivi parfois dépendant d’un canal ou d’un service</w:t>
            </w:r>
          </w:p>
        </w:tc>
        <w:tc>
          <w:tcPr>
            <w:vAlign w:val="center"/>
          </w:tcPr>
          <w:p>
            <w:pPr>
              <w:pStyle w:val="Compact"/>
              <w:jc w:val="left"/>
            </w:pPr>
            <w:r>
              <w:t xml:space="preserve">Référence de suivi et statuts harmonisés</w:t>
            </w:r>
          </w:p>
        </w:tc>
      </w:tr>
      <w:tr>
        <w:tc>
          <w:tcPr>
            <w:vAlign w:val="center"/>
          </w:tcPr>
          <w:p>
            <w:pPr>
              <w:pStyle w:val="Compact"/>
              <w:jc w:val="left"/>
            </w:pPr>
            <w:r>
              <w:t xml:space="preserve">Accessibilité</w:t>
            </w:r>
          </w:p>
        </w:tc>
        <w:tc>
          <w:tcPr>
            <w:vAlign w:val="center"/>
          </w:tcPr>
          <w:p>
            <w:pPr>
              <w:pStyle w:val="Compact"/>
              <w:jc w:val="left"/>
            </w:pPr>
            <w:r>
              <w:t xml:space="preserve">Connexion et smartphone non universels</w:t>
            </w:r>
          </w:p>
        </w:tc>
        <w:tc>
          <w:tcPr>
            <w:vAlign w:val="center"/>
          </w:tcPr>
          <w:p>
            <w:pPr>
              <w:pStyle w:val="Compact"/>
              <w:jc w:val="left"/>
            </w:pPr>
            <w:r>
              <w:t xml:space="preserve">Mode SMS/USSD et guichet assisté</w:t>
            </w:r>
          </w:p>
        </w:tc>
      </w:tr>
      <w:tr>
        <w:tc>
          <w:tcPr>
            <w:vAlign w:val="center"/>
          </w:tcPr>
          <w:p>
            <w:pPr>
              <w:pStyle w:val="Compact"/>
              <w:jc w:val="left"/>
            </w:pPr>
            <w:r>
              <w:t xml:space="preserve">Assistance</w:t>
            </w:r>
          </w:p>
        </w:tc>
        <w:tc>
          <w:tcPr>
            <w:vAlign w:val="center"/>
          </w:tcPr>
          <w:p>
            <w:pPr>
              <w:pStyle w:val="Compact"/>
              <w:jc w:val="left"/>
            </w:pPr>
            <w:r>
              <w:t xml:space="preserve">Consignes techniques ou juridiques difficiles</w:t>
            </w:r>
          </w:p>
        </w:tc>
        <w:tc>
          <w:tcPr>
            <w:vAlign w:val="center"/>
          </w:tcPr>
          <w:p>
            <w:pPr>
              <w:pStyle w:val="Compact"/>
              <w:jc w:val="left"/>
            </w:pPr>
            <w:r>
              <w:t xml:space="preserve">Explications pédagogiques sourcées</w:t>
            </w:r>
          </w:p>
        </w:tc>
      </w:tr>
    </w:tbl>
    <w:p>
      <w:pPr>
        <w:pStyle w:val="BodyText"/>
      </w:pPr>
      <w:r>
        <w:rPr>
          <w:b/>
          <w:bCs/>
        </w:rPr>
        <w:t xml:space="preserve">Validation de terrain préalable :</w:t>
      </w:r>
      <w:r>
        <w:t xml:space="preserve"> </w:t>
      </w:r>
      <w:r>
        <w:t xml:space="preserve">interroger au moins cinq usagers et un agent connaissant la procédure ; établir les pièces réellement demandées, les délais publiés et les déplacements habituels, sans inventer de chiffres.</w:t>
      </w:r>
    </w:p>
    <w:bookmarkEnd w:id="22"/>
    <w:bookmarkStart w:id="23" w:name="X9da74ccae7f814d9ebe9d1846fe6ffd87af6187"/>
    <w:p>
      <w:pPr>
        <w:pStyle w:val="Heading2"/>
      </w:pPr>
      <w:r>
        <w:t xml:space="preserve">3. Solution : une couche d’accompagnement, non un registre parallèle</w:t>
      </w:r>
    </w:p>
    <w:p>
      <w:pPr>
        <w:pStyle w:val="FirstParagraph"/>
      </w:pPr>
      <w:r>
        <w:t xml:space="preserve">Passoria propose un espace citoyen qui prépare les dossiers, aide à contrôler la cohérence des informations, conserve les pièces</w:t>
      </w:r>
      <w:r>
        <w:t xml:space="preserve"> </w:t>
      </w:r>
      <w:r>
        <w:rPr>
          <w:b/>
          <w:bCs/>
        </w:rPr>
        <w:t xml:space="preserve">fictives pour le prototype</w:t>
      </w:r>
      <w:r>
        <w:t xml:space="preserve">, donne une référence de suivi et présente des actions recommandées. Les décisions et actes officiels restent produits par les organismes habilités. Les connexions réelles à l’ANIP, à ARCH ou aux opérateurs ne sont envisagées qu’après conventions, bases légales et contrôles de sécurité.</w:t>
      </w:r>
    </w:p>
    <w:p>
      <w:pPr>
        <w:pStyle w:val="BodyText"/>
      </w:pPr>
      <w:r>
        <w:rPr>
          <w:b/>
          <w:bCs/>
        </w:rPr>
        <w:t xml:space="preserve">Fonctions mises en avant :</w:t>
      </w:r>
    </w:p>
    <w:p>
      <w:pPr>
        <w:pStyle w:val="Compact"/>
        <w:numPr>
          <w:ilvl w:val="0"/>
          <w:numId w:val="1002"/>
        </w:numPr>
      </w:pPr>
      <w:r>
        <w:t xml:space="preserve">Dossier documentaire personnel réutilisable sous contrôle de l’usager et des droits d’accès.</w:t>
      </w:r>
    </w:p>
    <w:p>
      <w:pPr>
        <w:pStyle w:val="Compact"/>
        <w:numPr>
          <w:ilvl w:val="0"/>
          <w:numId w:val="1002"/>
        </w:numPr>
      </w:pPr>
      <w:r>
        <w:t xml:space="preserve">Parcours « naissance » et « après un décès » guidés étape par étape.</w:t>
      </w:r>
    </w:p>
    <w:p>
      <w:pPr>
        <w:pStyle w:val="Compact"/>
        <w:numPr>
          <w:ilvl w:val="0"/>
          <w:numId w:val="1002"/>
        </w:numPr>
      </w:pPr>
      <w:r>
        <w:t xml:space="preserve">Précontrôle documentaire de complétude et de cohérence ; aucune décision administrative entièrement automatique.</w:t>
      </w:r>
    </w:p>
    <w:p>
      <w:pPr>
        <w:pStyle w:val="Compact"/>
        <w:numPr>
          <w:ilvl w:val="0"/>
          <w:numId w:val="1002"/>
        </w:numPr>
      </w:pPr>
      <w:r>
        <w:t xml:space="preserve">Tableau de bord de suivi des demandes et historique horodaté.</w:t>
      </w:r>
    </w:p>
    <w:p>
      <w:pPr>
        <w:pStyle w:val="Compact"/>
        <w:numPr>
          <w:ilvl w:val="0"/>
          <w:numId w:val="1002"/>
        </w:numPr>
      </w:pPr>
      <w:r>
        <w:t xml:space="preserve">Alertes de pièces manquantes, de rendez-vous et d’avancement.</w:t>
      </w:r>
    </w:p>
    <w:p>
      <w:pPr>
        <w:pStyle w:val="Compact"/>
        <w:numPr>
          <w:ilvl w:val="0"/>
          <w:numId w:val="1002"/>
        </w:numPr>
      </w:pPr>
      <w:r>
        <w:t xml:space="preserve">Mode faible connectivité : informations et consultation de statut par SMS/USSD, et assistance au guichet.</w:t>
      </w:r>
    </w:p>
    <w:p>
      <w:pPr>
        <w:pStyle w:val="Compact"/>
        <w:numPr>
          <w:ilvl w:val="0"/>
          <w:numId w:val="1002"/>
        </w:numPr>
      </w:pPr>
      <w:r>
        <w:t xml:space="preserve">Interface agent de démonstration : réception, demande de complément, décision simulée, traçabilité.</w:t>
      </w:r>
    </w:p>
    <w:bookmarkEnd w:id="23"/>
    <w:bookmarkStart w:id="24" w:name="périmètre-de-la-vision-à-moyen-terme"/>
    <w:p>
      <w:pPr>
        <w:pStyle w:val="Heading2"/>
      </w:pPr>
      <w:r>
        <w:t xml:space="preserve">4. Périmètre de la vision à moyen terme</w:t>
      </w:r>
    </w:p>
    <w:p>
      <w:pPr>
        <w:pStyle w:val="FirstParagraph"/>
      </w:pPr>
      <w:r>
        <w:t xml:space="preserve">Passoria est une</w:t>
      </w:r>
      <w:r>
        <w:t xml:space="preserve"> </w:t>
      </w:r>
      <w:r>
        <w:rPr>
          <w:b/>
          <w:bCs/>
        </w:rPr>
        <w:t xml:space="preserve">plateforme unifiée</w:t>
      </w:r>
      <w:r>
        <w:t xml:space="preserve"> </w:t>
      </w:r>
      <w:r>
        <w:t xml:space="preserve">couvrant six ensembles : (1) naissances, (2) formalités liées au décès, (3) dossier administratif réutilisable, (4) orientation et réclamations ARCH, (5) formalités d’identification SIM encadrées par les autorités et opérateurs, (6) accès universel Web/SMS/USSD/guichet. La démonstration initiale se concentre sur les deux parcours d’état civil afin de conserver une proposition lisible et faisable.</w:t>
      </w:r>
    </w:p>
    <w:bookmarkEnd w:id="24"/>
    <w:bookmarkStart w:id="25" w:name="parcours-cible-démontrable-décès"/>
    <w:p>
      <w:pPr>
        <w:pStyle w:val="Heading2"/>
      </w:pPr>
      <w:r>
        <w:t xml:space="preserve">5. Parcours cible démontrable — décès</w:t>
      </w:r>
    </w:p>
    <w:p>
      <w:pPr>
        <w:pStyle w:val="Compact"/>
        <w:numPr>
          <w:ilvl w:val="0"/>
          <w:numId w:val="1003"/>
        </w:numPr>
      </w:pPr>
      <w:r>
        <w:t xml:space="preserve">L’usager sélectionne « Formalités après un décès » et répond à quelques questions nécessaires.</w:t>
      </w:r>
    </w:p>
    <w:p>
      <w:pPr>
        <w:pStyle w:val="Compact"/>
        <w:numPr>
          <w:ilvl w:val="0"/>
          <w:numId w:val="1003"/>
        </w:numPr>
      </w:pPr>
      <w:r>
        <w:t xml:space="preserve">Passoria présente les autorités concernées, les justificatifs à préparer et les étapes légales vérifiées.</w:t>
      </w:r>
    </w:p>
    <w:p>
      <w:pPr>
        <w:pStyle w:val="Compact"/>
        <w:numPr>
          <w:ilvl w:val="0"/>
          <w:numId w:val="1003"/>
        </w:numPr>
      </w:pPr>
      <w:r>
        <w:t xml:space="preserve">L’usager constitue un dossier de démonstration, puis lance le précontrôle de complétude.</w:t>
      </w:r>
    </w:p>
    <w:p>
      <w:pPr>
        <w:pStyle w:val="Compact"/>
        <w:numPr>
          <w:ilvl w:val="0"/>
          <w:numId w:val="1003"/>
        </w:numPr>
      </w:pPr>
      <w:r>
        <w:t xml:space="preserve">Le dossier simulé arrive dans l’espace agent ; l’agent demande un complément ou poursuit l’instruction.</w:t>
      </w:r>
    </w:p>
    <w:p>
      <w:pPr>
        <w:pStyle w:val="Compact"/>
        <w:numPr>
          <w:ilvl w:val="0"/>
          <w:numId w:val="1003"/>
        </w:numPr>
      </w:pPr>
      <w:r>
        <w:t xml:space="preserve">Le tableau de bord indique le statut, la prochaine action et les notifications utiles.</w:t>
      </w:r>
    </w:p>
    <w:p>
      <w:pPr>
        <w:pStyle w:val="Compact"/>
        <w:numPr>
          <w:ilvl w:val="0"/>
          <w:numId w:val="1003"/>
        </w:numPr>
      </w:pPr>
      <w:r>
        <w:t xml:space="preserve">L’usager reçoit ensuite une liste personnalisée des autres formalités possibles : ni transmission réelle ni fermeture de comptes sans autorisation.</w:t>
      </w:r>
    </w:p>
    <w:p>
      <w:pPr>
        <w:pStyle w:val="FirstParagraph"/>
      </w:pPr>
      <w:r>
        <w:rPr>
          <w:b/>
          <w:bCs/>
        </w:rPr>
        <w:t xml:space="preserve">Parcours naissance :</w:t>
      </w:r>
      <w:r>
        <w:t xml:space="preserve"> </w:t>
      </w:r>
      <w:r>
        <w:t xml:space="preserve">mêmes briques, avec cohérence des données du nouveau-né et des informations parentales, et liaison prévue vers le service compétent.</w:t>
      </w:r>
    </w:p>
    <w:bookmarkEnd w:id="25"/>
    <w:bookmarkStart w:id="26" w:name="impacts-attendus-et-méthode-de-mesure"/>
    <w:p>
      <w:pPr>
        <w:pStyle w:val="Heading2"/>
      </w:pPr>
      <w:r>
        <w:t xml:space="preserve">6. Impacts attendus et méthode de mesure</w:t>
      </w:r>
    </w:p>
    <w:p>
      <w:pPr>
        <w:pStyle w:val="FirstParagraph"/>
      </w:pPr>
      <w:r>
        <w:t xml:space="preserve">Les gains ci-dessous sont des</w:t>
      </w:r>
      <w:r>
        <w:t xml:space="preserve"> </w:t>
      </w:r>
      <w:r>
        <w:rPr>
          <w:b/>
          <w:bCs/>
        </w:rPr>
        <w:t xml:space="preserve">objectifs de test</w:t>
      </w:r>
      <w:r>
        <w:t xml:space="preserve">, pas des résultats acquis.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shd w:fill="E5F2EF"/>
          </w:tcPr>
          <w:p>
            <w:pPr>
              <w:pStyle w:val="Compact"/>
              <w:jc w:val="left"/>
            </w:pPr>
            <w:r>
              <w:rPr>
                <w:b/>
              </w:rPr>
              <w:t xml:space="preserve">Indicateur</w:t>
            </w:r>
          </w:p>
        </w:tc>
        <w:tc>
          <w:tcPr>
            <w:vAlign w:val="center"/>
            <w:shd w:fill="E5F2EF"/>
          </w:tcPr>
          <w:p>
            <w:pPr>
              <w:pStyle w:val="Compact"/>
              <w:jc w:val="left"/>
            </w:pPr>
            <w:r>
              <w:rPr>
                <w:b/>
              </w:rPr>
              <w:t xml:space="preserve">Méthode de mesure</w:t>
            </w:r>
          </w:p>
        </w:tc>
        <w:tc>
          <w:tcPr>
            <w:vAlign w:val="center"/>
            <w:shd w:fill="E5F2EF"/>
          </w:tcPr>
          <w:p>
            <w:pPr>
              <w:pStyle w:val="Compact"/>
              <w:jc w:val="left"/>
            </w:pPr>
            <w:r>
              <w:rPr>
                <w:b/>
              </w:rPr>
              <w:t xml:space="preserve">Cible de pilote proposée</w:t>
            </w:r>
          </w:p>
        </w:tc>
      </w:tr>
      <w:tr>
        <w:tc>
          <w:tcPr>
            <w:vAlign w:val="center"/>
          </w:tcPr>
          <w:p>
            <w:pPr>
              <w:pStyle w:val="Compact"/>
              <w:jc w:val="left"/>
            </w:pPr>
            <w:r>
              <w:t xml:space="preserve">Dossiers complets au premier dépôt</w:t>
            </w:r>
          </w:p>
        </w:tc>
        <w:tc>
          <w:tcPr>
            <w:vAlign w:val="center"/>
          </w:tcPr>
          <w:p>
            <w:pPr>
              <w:pStyle w:val="Compact"/>
              <w:jc w:val="left"/>
            </w:pPr>
            <w:r>
              <w:t xml:space="preserve">Dossiers complets / dossiers déposés</w:t>
            </w:r>
          </w:p>
        </w:tc>
        <w:tc>
          <w:tcPr>
            <w:vAlign w:val="center"/>
          </w:tcPr>
          <w:p>
            <w:pPr>
              <w:pStyle w:val="Compact"/>
              <w:jc w:val="left"/>
            </w:pPr>
            <w:r>
              <w:t xml:space="preserve">+20 points après précontrôle, à tester</w:t>
            </w:r>
          </w:p>
        </w:tc>
      </w:tr>
      <w:tr>
        <w:tc>
          <w:tcPr>
            <w:vAlign w:val="center"/>
          </w:tcPr>
          <w:p>
            <w:pPr>
              <w:pStyle w:val="Compact"/>
              <w:jc w:val="left"/>
            </w:pPr>
            <w:r>
              <w:t xml:space="preserve">Déplacements administratifs</w:t>
            </w:r>
          </w:p>
        </w:tc>
        <w:tc>
          <w:tcPr>
            <w:vAlign w:val="center"/>
          </w:tcPr>
          <w:p>
            <w:pPr>
              <w:pStyle w:val="Compact"/>
              <w:jc w:val="left"/>
            </w:pPr>
            <w:r>
              <w:t xml:space="preserve">Décompte déclaré puis contrôlé</w:t>
            </w:r>
          </w:p>
        </w:tc>
        <w:tc>
          <w:tcPr>
            <w:vAlign w:val="center"/>
          </w:tcPr>
          <w:p>
            <w:pPr>
              <w:pStyle w:val="Compact"/>
              <w:jc w:val="left"/>
            </w:pPr>
            <w:r>
              <w:t xml:space="preserve">Diminution à estimer lors du pilote</w:t>
            </w:r>
          </w:p>
        </w:tc>
      </w:tr>
      <w:tr>
        <w:tc>
          <w:tcPr>
            <w:vAlign w:val="center"/>
          </w:tcPr>
          <w:p>
            <w:pPr>
              <w:pStyle w:val="Compact"/>
              <w:jc w:val="left"/>
            </w:pPr>
            <w:r>
              <w:t xml:space="preserve">Temps de constitution du dossier</w:t>
            </w:r>
          </w:p>
        </w:tc>
        <w:tc>
          <w:tcPr>
            <w:vAlign w:val="center"/>
          </w:tcPr>
          <w:p>
            <w:pPr>
              <w:pStyle w:val="Compact"/>
              <w:jc w:val="left"/>
            </w:pPr>
            <w:r>
              <w:t xml:space="preserve">Chronométrage sur scénarios comparables</w:t>
            </w:r>
          </w:p>
        </w:tc>
        <w:tc>
          <w:tcPr>
            <w:vAlign w:val="center"/>
          </w:tcPr>
          <w:p>
            <w:pPr>
              <w:pStyle w:val="Compact"/>
              <w:jc w:val="left"/>
            </w:pPr>
            <w:r>
              <w:t xml:space="preserve">-30 % en moyenne, hypothèse</w:t>
            </w:r>
          </w:p>
        </w:tc>
      </w:tr>
      <w:tr>
        <w:tc>
          <w:tcPr>
            <w:vAlign w:val="center"/>
          </w:tcPr>
          <w:p>
            <w:pPr>
              <w:pStyle w:val="Compact"/>
              <w:jc w:val="left"/>
            </w:pPr>
            <w:r>
              <w:t xml:space="preserve">Erreurs détectées avant instruction</w:t>
            </w:r>
          </w:p>
        </w:tc>
        <w:tc>
          <w:tcPr>
            <w:vAlign w:val="center"/>
          </w:tcPr>
          <w:p>
            <w:pPr>
              <w:pStyle w:val="Compact"/>
              <w:jc w:val="left"/>
            </w:pPr>
            <w:r>
              <w:t xml:space="preserve">Nombre d’anomalies confirmées</w:t>
            </w:r>
          </w:p>
        </w:tc>
        <w:tc>
          <w:tcPr>
            <w:vAlign w:val="center"/>
          </w:tcPr>
          <w:p>
            <w:pPr>
              <w:pStyle w:val="Compact"/>
              <w:jc w:val="left"/>
            </w:pPr>
            <w:r>
              <w:t xml:space="preserve">Mesure du taux utile et faux positifs</w:t>
            </w:r>
          </w:p>
        </w:tc>
      </w:tr>
      <w:tr>
        <w:tc>
          <w:tcPr>
            <w:vAlign w:val="center"/>
          </w:tcPr>
          <w:p>
            <w:pPr>
              <w:pStyle w:val="Compact"/>
              <w:jc w:val="left"/>
            </w:pPr>
            <w:r>
              <w:t xml:space="preserve">Suivi sans appel/déplacement</w:t>
            </w:r>
          </w:p>
        </w:tc>
        <w:tc>
          <w:tcPr>
            <w:vAlign w:val="center"/>
          </w:tcPr>
          <w:p>
            <w:pPr>
              <w:pStyle w:val="Compact"/>
              <w:jc w:val="left"/>
            </w:pPr>
            <w:r>
              <w:t xml:space="preserve">Taux de consultation autonome du statut</w:t>
            </w:r>
          </w:p>
        </w:tc>
        <w:tc>
          <w:tcPr>
            <w:vAlign w:val="center"/>
          </w:tcPr>
          <w:p>
            <w:pPr>
              <w:pStyle w:val="Compact"/>
              <w:jc w:val="left"/>
            </w:pPr>
            <w:r>
              <w:t xml:space="preserve">Objectif à calibrer avec l’administration</w:t>
            </w:r>
          </w:p>
        </w:tc>
      </w:tr>
      <w:tr>
        <w:tc>
          <w:tcPr>
            <w:vAlign w:val="center"/>
          </w:tcPr>
          <w:p>
            <w:pPr>
              <w:pStyle w:val="Compact"/>
              <w:jc w:val="left"/>
            </w:pPr>
            <w:r>
              <w:t xml:space="preserve">Accès hors smartphone</w:t>
            </w:r>
          </w:p>
        </w:tc>
        <w:tc>
          <w:tcPr>
            <w:vAlign w:val="center"/>
          </w:tcPr>
          <w:p>
            <w:pPr>
              <w:pStyle w:val="Compact"/>
              <w:jc w:val="left"/>
            </w:pPr>
            <w:r>
              <w:t xml:space="preserve">Taux d’usage canal SMS/guichet</w:t>
            </w:r>
          </w:p>
        </w:tc>
        <w:tc>
          <w:tcPr>
            <w:vAlign w:val="center"/>
          </w:tcPr>
          <w:p>
            <w:pPr>
              <w:pStyle w:val="Compact"/>
              <w:jc w:val="left"/>
            </w:pPr>
            <w:r>
              <w:t xml:space="preserve">Mesure d’inclusion par canal</w:t>
            </w:r>
          </w:p>
        </w:tc>
      </w:tr>
    </w:tbl>
    <w:p>
      <w:pPr>
        <w:pStyle w:val="BodyText"/>
      </w:pPr>
      <w:r>
        <w:t xml:space="preserve">Un plan avant/après, des entretiens usagers et une mesure des faux positifs de précontrôle sont prévus dans l’annexe « Parcours et impact ».</w:t>
      </w:r>
    </w:p>
    <w:bookmarkEnd w:id="26"/>
    <w:bookmarkStart w:id="27" w:name="faisabilité-et-conditions"/>
    <w:p>
      <w:pPr>
        <w:pStyle w:val="Heading2"/>
      </w:pPr>
      <w:r>
        <w:t xml:space="preserve">7. Faisabilité et conditions</w:t>
      </w:r>
    </w:p>
    <w:p>
      <w:pPr>
        <w:pStyle w:val="FirstParagraph"/>
      </w:pPr>
      <w:r>
        <w:rPr>
          <w:b/>
          <w:bCs/>
        </w:rPr>
        <w:t xml:space="preserve">Technique :</w:t>
      </w:r>
      <w:r>
        <w:t xml:space="preserve"> </w:t>
      </w:r>
      <w:r>
        <w:t xml:space="preserve">prototype Web responsive/PWA avec données fictives, moteur de formulaires, règles déterministes, journal d’événements et simulation SMS/USSD. L’interopérabilité nationale X-Road est une infrastructure publique existante ; toute adhésion et tout échange doivent suivre ses règles, pas un accès direct supposé [B04], [B05].</w:t>
      </w:r>
    </w:p>
    <w:p>
      <w:pPr>
        <w:pStyle w:val="BodyText"/>
      </w:pPr>
      <w:r>
        <w:rPr>
          <w:b/>
          <w:bCs/>
        </w:rPr>
        <w:t xml:space="preserve">Juridique :</w:t>
      </w:r>
      <w:r>
        <w:t xml:space="preserve"> </w:t>
      </w:r>
      <w:r>
        <w:t xml:space="preserve">déterminer les fondements et compétences pour chaque formalité ; conduire une analyse protection des données avant un pilote réel ; établir des habilitations et conventions ; ne pas laisser un algorithme se substituer à une autorité officielle.</w:t>
      </w:r>
    </w:p>
    <w:p>
      <w:pPr>
        <w:pStyle w:val="BodyText"/>
      </w:pPr>
      <w:r>
        <w:rPr>
          <w:b/>
          <w:bCs/>
        </w:rPr>
        <w:t xml:space="preserve">Organisation :</w:t>
      </w:r>
      <w:r>
        <w:t xml:space="preserve"> </w:t>
      </w:r>
      <w:r>
        <w:t xml:space="preserve">expérimenter une seule démarche avec un service volontaire, puis étendre après validation des procédures de travail.</w:t>
      </w:r>
    </w:p>
    <w:p>
      <w:pPr>
        <w:pStyle w:val="BodyText"/>
      </w:pPr>
      <w:r>
        <w:rPr>
          <w:b/>
          <w:bCs/>
        </w:rPr>
        <w:t xml:space="preserve">Financière :</w:t>
      </w:r>
      <w:r>
        <w:t xml:space="preserve"> </w:t>
      </w:r>
      <w:r>
        <w:t xml:space="preserve">aucun gain ni budget détaillé ne peut être présenté comme confirmé. Le prototype est réalisable avec des outils courants ; un pilote réel exige de chiffrer hébergement, sécurité, formation, support et éventuels frais d’intégration SMS/USSD.</w:t>
      </w:r>
    </w:p>
    <w:bookmarkEnd w:id="27"/>
    <w:bookmarkStart w:id="28" w:name="X23511603d2a8b420767e9616d68e3740c6a3e1f"/>
    <w:p>
      <w:pPr>
        <w:pStyle w:val="Heading2"/>
      </w:pPr>
      <w:r>
        <w:t xml:space="preserve">8. Innovation et potentiel de généralisation</w:t>
      </w:r>
    </w:p>
    <w:p>
      <w:pPr>
        <w:pStyle w:val="FirstParagraph"/>
      </w:pPr>
      <w:r>
        <w:t xml:space="preserve">L’innovation réside dans la</w:t>
      </w:r>
      <w:r>
        <w:t xml:space="preserve"> </w:t>
      </w:r>
      <w:r>
        <w:rPr>
          <w:b/>
          <w:bCs/>
        </w:rPr>
        <w:t xml:space="preserve">continuité de service</w:t>
      </w:r>
      <w:r>
        <w:t xml:space="preserve"> </w:t>
      </w:r>
      <w:r>
        <w:t xml:space="preserve">: même dossier réutilisable, même langage de statuts, même cadre de notifications, plusieurs canaux d’accès, tout en conservant la décision dans les systèmes légitimes. Ce socle peut être réutilisé pour ARCH et les formalités de télécommunications après validation de leur éligibilité et autorisations propres.</w:t>
      </w:r>
    </w:p>
    <w:bookmarkEnd w:id="28"/>
    <w:bookmarkStart w:id="29" w:name="risques-et-mesures-de-maîtrise"/>
    <w:p>
      <w:pPr>
        <w:pStyle w:val="Heading2"/>
      </w:pPr>
      <w:r>
        <w:t xml:space="preserve">9. Risques et mesures de maîtrise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shd w:fill="E5F2EF"/>
          </w:tcPr>
          <w:p>
            <w:pPr>
              <w:pStyle w:val="Compact"/>
              <w:jc w:val="left"/>
            </w:pPr>
            <w:r>
              <w:rPr>
                <w:b/>
              </w:rPr>
              <w:t xml:space="preserve">Risque</w:t>
            </w:r>
          </w:p>
        </w:tc>
        <w:tc>
          <w:tcPr>
            <w:vAlign w:val="center"/>
            <w:shd w:fill="E5F2EF"/>
          </w:tcPr>
          <w:p>
            <w:pPr>
              <w:pStyle w:val="Compact"/>
              <w:jc w:val="left"/>
            </w:pPr>
            <w:r>
              <w:rPr>
                <w:b/>
              </w:rPr>
              <w:t xml:space="preserve">Gravité</w:t>
            </w:r>
          </w:p>
        </w:tc>
        <w:tc>
          <w:tcPr>
            <w:vAlign w:val="center"/>
            <w:shd w:fill="E5F2EF"/>
          </w:tcPr>
          <w:p>
            <w:pPr>
              <w:pStyle w:val="Compact"/>
              <w:jc w:val="left"/>
            </w:pPr>
            <w:r>
              <w:rPr>
                <w:b/>
              </w:rPr>
              <w:t xml:space="preserve">Réponse</w:t>
            </w:r>
          </w:p>
        </w:tc>
      </w:tr>
      <w:tr>
        <w:tc>
          <w:tcPr>
            <w:vAlign w:val="center"/>
          </w:tcPr>
          <w:p>
            <w:pPr>
              <w:pStyle w:val="Compact"/>
              <w:jc w:val="left"/>
            </w:pPr>
            <w:r>
              <w:t xml:space="preserve">Redondance avec service-public.bj</w:t>
            </w:r>
          </w:p>
        </w:tc>
        <w:tc>
          <w:tcPr>
            <w:vAlign w:val="center"/>
          </w:tcPr>
          <w:p>
            <w:pPr>
              <w:pStyle w:val="Compact"/>
              <w:jc w:val="left"/>
            </w:pPr>
            <w:r>
              <w:t xml:space="preserve">Élevée</w:t>
            </w:r>
          </w:p>
        </w:tc>
        <w:tc>
          <w:tcPr>
            <w:vAlign w:val="center"/>
          </w:tcPr>
          <w:p>
            <w:pPr>
              <w:pStyle w:val="Compact"/>
              <w:jc w:val="left"/>
            </w:pPr>
            <w:r>
              <w:t xml:space="preserve">Complément de parcours et orientation, pas de portail de substitution</w:t>
            </w:r>
          </w:p>
        </w:tc>
      </w:tr>
      <w:tr>
        <w:tc>
          <w:tcPr>
            <w:vAlign w:val="center"/>
          </w:tcPr>
          <w:p>
            <w:pPr>
              <w:pStyle w:val="Compact"/>
              <w:jc w:val="left"/>
            </w:pPr>
            <w:r>
              <w:t xml:space="preserve">Absence d’API ou de convention</w:t>
            </w:r>
          </w:p>
        </w:tc>
        <w:tc>
          <w:tcPr>
            <w:vAlign w:val="center"/>
          </w:tcPr>
          <w:p>
            <w:pPr>
              <w:pStyle w:val="Compact"/>
              <w:jc w:val="left"/>
            </w:pPr>
            <w:r>
              <w:t xml:space="preserve">Élevée</w:t>
            </w:r>
          </w:p>
        </w:tc>
        <w:tc>
          <w:tcPr>
            <w:vAlign w:val="center"/>
          </w:tcPr>
          <w:p>
            <w:pPr>
              <w:pStyle w:val="Compact"/>
              <w:jc w:val="left"/>
            </w:pPr>
            <w:r>
              <w:t xml:space="preserve">Prototype 100 % simulé ; intégration progressive</w:t>
            </w:r>
          </w:p>
        </w:tc>
      </w:tr>
      <w:tr>
        <w:tc>
          <w:tcPr>
            <w:vAlign w:val="center"/>
          </w:tcPr>
          <w:p>
            <w:pPr>
              <w:pStyle w:val="Compact"/>
              <w:jc w:val="left"/>
            </w:pPr>
            <w:r>
              <w:t xml:space="preserve">Données d’identité et de santé sensibles</w:t>
            </w:r>
          </w:p>
        </w:tc>
        <w:tc>
          <w:tcPr>
            <w:vAlign w:val="center"/>
          </w:tcPr>
          <w:p>
            <w:pPr>
              <w:pStyle w:val="Compact"/>
              <w:jc w:val="left"/>
            </w:pPr>
            <w:r>
              <w:t xml:space="preserve">Très élevée</w:t>
            </w:r>
          </w:p>
        </w:tc>
        <w:tc>
          <w:tcPr>
            <w:vAlign w:val="center"/>
          </w:tcPr>
          <w:p>
            <w:pPr>
              <w:pStyle w:val="Compact"/>
              <w:jc w:val="left"/>
            </w:pPr>
            <w:r>
              <w:t xml:space="preserve">Données fictives au MVP, chiffrement, minimisation, droits et audit au pilote</w:t>
            </w:r>
          </w:p>
        </w:tc>
      </w:tr>
      <w:tr>
        <w:tc>
          <w:tcPr>
            <w:vAlign w:val="center"/>
          </w:tcPr>
          <w:p>
            <w:pPr>
              <w:pStyle w:val="Compact"/>
              <w:jc w:val="left"/>
            </w:pPr>
            <w:r>
              <w:t xml:space="preserve">Erreurs d’assistance automatisée</w:t>
            </w:r>
          </w:p>
        </w:tc>
        <w:tc>
          <w:tcPr>
            <w:vAlign w:val="center"/>
          </w:tcPr>
          <w:p>
            <w:pPr>
              <w:pStyle w:val="Compact"/>
              <w:jc w:val="left"/>
            </w:pPr>
            <w:r>
              <w:t xml:space="preserve">Élevée</w:t>
            </w:r>
          </w:p>
        </w:tc>
        <w:tc>
          <w:tcPr>
            <w:vAlign w:val="center"/>
          </w:tcPr>
          <w:p>
            <w:pPr>
              <w:pStyle w:val="Compact"/>
              <w:jc w:val="left"/>
            </w:pPr>
            <w:r>
              <w:t xml:space="preserve">Contenus sourcés, règles bornées, validation humaine</w:t>
            </w:r>
          </w:p>
        </w:tc>
      </w:tr>
      <w:tr>
        <w:tc>
          <w:tcPr>
            <w:vAlign w:val="center"/>
          </w:tcPr>
          <w:p>
            <w:pPr>
              <w:pStyle w:val="Compact"/>
              <w:jc w:val="left"/>
            </w:pPr>
            <w:r>
              <w:t xml:space="preserve">Exclusion numérique</w:t>
            </w:r>
          </w:p>
        </w:tc>
        <w:tc>
          <w:tcPr>
            <w:vAlign w:val="center"/>
          </w:tcPr>
          <w:p>
            <w:pPr>
              <w:pStyle w:val="Compact"/>
              <w:jc w:val="left"/>
            </w:pPr>
            <w:r>
              <w:t xml:space="preserve">Moyenne</w:t>
            </w:r>
          </w:p>
        </w:tc>
        <w:tc>
          <w:tcPr>
            <w:vAlign w:val="center"/>
          </w:tcPr>
          <w:p>
            <w:pPr>
              <w:pStyle w:val="Compact"/>
              <w:jc w:val="left"/>
            </w:pPr>
            <w:r>
              <w:t xml:space="preserve">Guichet assisté, SMS, formulaires simples</w:t>
            </w:r>
          </w:p>
        </w:tc>
      </w:tr>
      <w:tr>
        <w:tc>
          <w:tcPr>
            <w:vAlign w:val="center"/>
          </w:tcPr>
          <w:p>
            <w:pPr>
              <w:pStyle w:val="Compact"/>
              <w:jc w:val="left"/>
            </w:pPr>
            <w:r>
              <w:t xml:space="preserve">Périmètre trop large</w:t>
            </w:r>
          </w:p>
        </w:tc>
        <w:tc>
          <w:tcPr>
            <w:vAlign w:val="center"/>
          </w:tcPr>
          <w:p>
            <w:pPr>
              <w:pStyle w:val="Compact"/>
              <w:jc w:val="left"/>
            </w:pPr>
            <w:r>
              <w:t xml:space="preserve">Élevée</w:t>
            </w:r>
          </w:p>
        </w:tc>
        <w:tc>
          <w:tcPr>
            <w:vAlign w:val="center"/>
          </w:tcPr>
          <w:p>
            <w:pPr>
              <w:pStyle w:val="Compact"/>
              <w:jc w:val="left"/>
            </w:pPr>
            <w:r>
              <w:t xml:space="preserve">Démontrer naissance/décès ; autres services en feuille de route</w:t>
            </w:r>
          </w:p>
        </w:tc>
      </w:tr>
    </w:tbl>
    <w:bookmarkEnd w:id="29"/>
    <w:bookmarkStart w:id="30" w:name="demande-au-concours-et-prochaines-étapes"/>
    <w:p>
      <w:pPr>
        <w:pStyle w:val="Heading2"/>
      </w:pPr>
      <w:r>
        <w:t xml:space="preserve">10. Demande au concours et prochaines étapes</w:t>
      </w:r>
    </w:p>
    <w:p>
      <w:pPr>
        <w:pStyle w:val="FirstParagraph"/>
      </w:pPr>
      <w:r>
        <w:t xml:space="preserve">La proposition sollicite une appréciation de la simplification des parcours administratifs au titre du secteur « État civil, Identité et Voyages ». Elle demande, en cas d’intérêt, la possibilité de cadrer un pilote avec une administration volontaire et de vérifier les processus existants avant tout échange de données réelles.</w:t>
      </w:r>
    </w:p>
    <w:p>
      <w:pPr>
        <w:pStyle w:val="BodyText"/>
      </w:pPr>
      <w:r>
        <w:rPr>
          <w:b/>
          <w:bCs/>
        </w:rPr>
        <w:t xml:space="preserve">Avant le dépôt :</w:t>
      </w:r>
      <w:r>
        <w:t xml:space="preserve"> </w:t>
      </w:r>
      <w:r>
        <w:t xml:space="preserve">renseigner le déposant et son statut réel, fournir une expérience usager réellement vécue si candidature au Prix Citoyen, contrôler l’exactitude des procédures avec des agents, vérifier les dates de la campagne, et remplacer les objectifs hypothétiques par des données mesurées lorsque disponibles.</w:t>
      </w:r>
    </w:p>
    <w:bookmarkEnd w:id="30"/>
    <w:bookmarkStart w:id="31" w:name="règles-et-calendrier-officiels"/>
    <w:p>
      <w:pPr>
        <w:pStyle w:val="Heading2"/>
      </w:pPr>
      <w:r>
        <w:t xml:space="preserve">11. Règles et calendrier officiels</w:t>
      </w:r>
    </w:p>
    <w:p>
      <w:pPr>
        <w:pStyle w:val="FirstParagraph"/>
      </w:pPr>
      <w:r>
        <w:t xml:space="preserve">Le communiqué et la FAQ indiquent des dépôts du</w:t>
      </w:r>
      <w:r>
        <w:t xml:space="preserve"> </w:t>
      </w:r>
      <w:r>
        <w:rPr>
          <w:b/>
          <w:bCs/>
        </w:rPr>
        <w:t xml:space="preserve">29 octobre au 12 novembre 2026</w:t>
      </w:r>
      <w:r>
        <w:t xml:space="preserve"> </w:t>
      </w:r>
      <w:r>
        <w:t xml:space="preserve">[F01], [F03]. La fiche de campagne affiche pour sa part</w:t>
      </w:r>
      <w:r>
        <w:t xml:space="preserve"> </w:t>
      </w:r>
      <w:r>
        <w:rPr>
          <w:b/>
          <w:bCs/>
        </w:rPr>
        <w:t xml:space="preserve">28 octobre au 11 novembre 2026</w:t>
      </w:r>
      <w:r>
        <w:t xml:space="preserve"> </w:t>
      </w:r>
      <w:r>
        <w:t xml:space="preserve">[F04] : vérifier la période applicable juste avant dépôt et anticiper la fermeture la plus précoce. La FAQ mentionne jusqu’à</w:t>
      </w:r>
      <w:r>
        <w:t xml:space="preserve"> </w:t>
      </w:r>
      <w:r>
        <w:rPr>
          <w:b/>
          <w:bCs/>
        </w:rPr>
        <w:t xml:space="preserve">3 pièces jointes de 5 Mo</w:t>
      </w:r>
      <w:r>
        <w:t xml:space="preserve"> </w:t>
      </w:r>
      <w:r>
        <w:t xml:space="preserve">[F03]. Le règlement privilégie impact usager et faisabilité sur innovation seule, impose pour le Prix Citoyen une expérience personnelle réelle, et prévoit le droit de l’administration d’examiner/conserver/expérimenter la proposition sans contrepartie [F02].</w:t>
      </w:r>
    </w:p>
    <w:p>
      <w:pPr>
        <w:pStyle w:val="BodyText"/>
      </w:pPr>
      <w:r>
        <w:rPr>
          <w:b/>
          <w:bCs/>
        </w:rPr>
        <w:t xml:space="preserve">Sources clés :</w:t>
      </w:r>
      <w:r>
        <w:t xml:space="preserve"> </w:t>
      </w:r>
      <w:r>
        <w:t xml:space="preserve">[F01] [F02] [F03] [F04] [B01] [B02] [B03] [B04] [B05]. Les URL complètes figurent dans</w:t>
      </w:r>
      <w:r>
        <w:t xml:space="preserve"> </w:t>
      </w:r>
      <w:r>
        <w:rPr>
          <w:rStyle w:val="VerbatimChar"/>
        </w:rPr>
        <w:t xml:space="preserve">05_sources/10_Sources_et_Verifications.md</w:t>
      </w:r>
      <w:r>
        <w:t xml:space="preserve">.</w:t>
      </w:r>
    </w:p>
    <w:bookmarkEnd w:id="31"/>
    <w:bookmarkStart w:id="32" w:name="références-officielles-consultables"/>
    <w:p>
      <w:pPr>
        <w:pStyle w:val="Heading2"/>
      </w:pPr>
      <w:r>
        <w:t xml:space="preserve">12. Références officielles consultables</w:t>
      </w:r>
    </w:p>
    <w:p>
      <w:pPr>
        <w:pStyle w:val="Compact"/>
        <w:numPr>
          <w:ilvl w:val="0"/>
          <w:numId w:val="1004"/>
        </w:numPr>
      </w:pPr>
      <w:r>
        <w:t xml:space="preserve">Site et communiqué du concours : https://prix-simplification.gouv.bj/communique</w:t>
      </w:r>
    </w:p>
    <w:p>
      <w:pPr>
        <w:pStyle w:val="Compact"/>
        <w:numPr>
          <w:ilvl w:val="0"/>
          <w:numId w:val="1004"/>
        </w:numPr>
      </w:pPr>
      <w:r>
        <w:t xml:space="preserve">Règlement : https://prix-simplification.gouv.bj/api/v1/public/campagnes/fd8442dd-f071-430f-8035-16d8c0426859/documents/1</w:t>
      </w:r>
    </w:p>
    <w:p>
      <w:pPr>
        <w:pStyle w:val="Compact"/>
        <w:numPr>
          <w:ilvl w:val="0"/>
          <w:numId w:val="1004"/>
        </w:numPr>
      </w:pPr>
      <w:r>
        <w:t xml:space="preserve">FAQ et conditions des pièces : https://prix-simplification.gouv.bj/aide</w:t>
      </w:r>
    </w:p>
    <w:p>
      <w:pPr>
        <w:pStyle w:val="Compact"/>
        <w:numPr>
          <w:ilvl w:val="0"/>
          <w:numId w:val="1004"/>
        </w:numPr>
      </w:pPr>
      <w:r>
        <w:t xml:space="preserve">Fiche de campagne : https://prix-simplification.gouv.bj/campagnes/fd8442dd-f071-430f-8035-16d8c0426859</w:t>
      </w:r>
    </w:p>
    <w:p>
      <w:pPr>
        <w:pStyle w:val="Compact"/>
        <w:numPr>
          <w:ilvl w:val="0"/>
          <w:numId w:val="1004"/>
        </w:numPr>
      </w:pPr>
      <w:r>
        <w:t xml:space="preserve">Portail national des services publics : https://service-public.bj</w:t>
      </w:r>
    </w:p>
    <w:p>
      <w:pPr>
        <w:pStyle w:val="Compact"/>
        <w:numPr>
          <w:ilvl w:val="0"/>
          <w:numId w:val="1004"/>
        </w:numPr>
      </w:pPr>
      <w:r>
        <w:t xml:space="preserve">Infrastructure nationale d’interopérabilité : https://pprodxroad.gouv.bj</w:t>
      </w:r>
    </w:p>
    <w:bookmarkEnd w:id="32"/>
    <w:bookmarkEnd w:id="33"/>
    <w:sectPr w:rsidR="00FC693F" w:rsidRPr="0006063C" w:rsidSect="00034616">
      <w:headerReference r:id="rId9" w:type="default"/>
      <w:footerReference r:id="rId10" w:type="default"/>
      <w:pgSz w:h="15840" w:w="12240"/>
      <w:pgMar w:bottom="1077" w:footer="720" w:gutter="0" w:header="720" w:left="1162" w:right="1162" w:top="110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PASSORIA · Toutes vos démarches, un seul espace.  |  Non officiel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PASSORIA  |  DOCUMENT DE TRAVAIL  •  22 OCTOBRE 2026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ptos" w:hAnsi="Aptos"/>
      <w:color w:val="223032"/>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ptos" w:asciiTheme="majorHAnsi" w:cstheme="majorBidi" w:eastAsiaTheme="majorEastAsia" w:hAnsi="Aptos" w:hAnsiTheme="majorHAnsi"/>
      <w:b/>
      <w:bCs/>
      <w:color w:val="11655B"/>
      <w:sz w:val="32"/>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ptos" w:asciiTheme="majorHAnsi" w:cstheme="majorBidi" w:eastAsiaTheme="majorEastAsia" w:hAnsi="Aptos" w:hAnsiTheme="majorHAnsi"/>
      <w:b/>
      <w:bCs/>
      <w:color w:val="195B57"/>
      <w:sz w:val="25"/>
      <w:szCs w:val="26"/>
    </w:rPr>
  </w:style>
  <w:style w:styleId="Heading3" w:type="paragraph">
    <w:name w:val="heading 3"/>
    <w:basedOn w:val="Normal"/>
    <w:next w:val="Normal"/>
    <w:link w:val="Heading3Char"/>
    <w:uiPriority w:val="9"/>
    <w:unhideWhenUsed/>
    <w:qFormat/>
    <w:rsid w:val="00FC693F"/>
    <w:pPr>
      <w:keepNext/>
      <w:keepLines/>
      <w:spacing w:after="120" w:before="280"/>
      <w:outlineLvl w:val="2"/>
    </w:pPr>
    <w:rPr>
      <w:rFonts w:ascii="Aptos" w:asciiTheme="majorHAnsi" w:cstheme="majorBidi" w:eastAsiaTheme="majorEastAsia" w:hAnsi="Aptos" w:hAnsiTheme="majorHAnsi"/>
      <w:b/>
      <w:bCs/>
      <w:color w:val="2D5F62"/>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280" w:line="240" w:lineRule="auto"/>
      <w:contextualSpacing/>
    </w:pPr>
    <w:rPr>
      <w:rFonts w:ascii="Aptos Display" w:asciiTheme="majorHAnsi" w:cstheme="majorBidi" w:eastAsiaTheme="majorEastAsia" w:hAnsi="Aptos Display" w:hAnsiTheme="majorHAnsi"/>
      <w:b/>
      <w:color w:val="12524B"/>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Dossier de candidature Passoria</dc:title>
  <dc:creator>Passoria — document de conception</dc:creator>
  <cp:keywords/>
  <dcterms:created xsi:type="dcterms:W3CDTF">2026-10-22T20:25:30Z</dcterms:created>
  <dcterms:modified xsi:type="dcterms:W3CDTF">2026-10-22T20:25:30Z</dcterms:modified>
</cp:coreProperties>
</file>

<file path=docProps/custom.xml><?xml version="1.0" encoding="utf-8"?>
<Properties xmlns="http://schemas.openxmlformats.org/officeDocument/2006/custom-properties" xmlns:vt="http://schemas.openxmlformats.org/officeDocument/2006/docPropsVTypes"/>
</file>