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assoria-annexe-1"/>
    <w:p>
      <w:pPr>
        <w:pStyle w:val="Heading1"/>
      </w:pPr>
      <w:r>
        <w:t xml:space="preserve">PASSORIA — Annexe 1</w:t>
      </w:r>
    </w:p>
    <w:bookmarkStart w:id="20" w:name="X82b82b2a1dafe11e5db05534809057244807c7a"/>
    <w:p>
      <w:pPr>
        <w:pStyle w:val="Heading2"/>
      </w:pPr>
      <w:r>
        <w:t xml:space="preserve">Parcours administratifs et protocole de mesure de l’impact</w:t>
      </w:r>
    </w:p>
    <w:p>
      <w:pPr>
        <w:pStyle w:val="FirstParagraph"/>
      </w:pPr>
      <w:r>
        <w:rPr>
          <w:b/>
          <w:bCs/>
        </w:rPr>
        <w:t xml:space="preserve">Nature :</w:t>
      </w:r>
      <w:r>
        <w:t xml:space="preserve"> </w:t>
      </w:r>
      <w:r>
        <w:t xml:space="preserve">annexe technique et méthodologique destinée à soutenir la proposition. Tous les écrans et statuts présentés sont des prototypes non officiels.</w:t>
      </w:r>
    </w:p>
    <w:bookmarkEnd w:id="20"/>
    <w:bookmarkStart w:id="21" w:name="choix-du-pilote"/>
    <w:p>
      <w:pPr>
        <w:pStyle w:val="Heading2"/>
      </w:pPr>
      <w:r>
        <w:t xml:space="preserve">1. Choix du pilote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secteur du concours</w:t>
      </w:r>
      <w:r>
        <w:t xml:space="preserve"> </w:t>
      </w:r>
      <w:r>
        <w:t xml:space="preserve">est « État civil, Identité et Voyages ». Le besoin prioritaire à mesurer est la préparation des dossiers et la continuité de suivi, avec deux cas de démonstration : la naissance et les formalités administratives après un décès. Le lancement d’une procédure réelle nécessite un cadrage avec les acteurs légalement compétents.</w:t>
      </w:r>
    </w:p>
    <w:bookmarkEnd w:id="21"/>
    <w:bookmarkStart w:id="23" w:name="parcours-as-is-to-be-décès"/>
    <w:p>
      <w:pPr>
        <w:pStyle w:val="Heading2"/>
      </w:pPr>
      <w:r>
        <w:t xml:space="preserve">2. Parcours AS-IS / TO-BE : décès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Moment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À observer dans l’existant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Proposition Passoria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Comprendre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Où déclarer ? Quel acte demander ?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Questionnaire court d’orientation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Préparer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Pièces et formulaires parfois découverts tard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Liste contextualisée et contrôle de complétude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Déposer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Canal compétent déterminé par la procédure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Redirection officielle ou dépôt interopéré après convention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Suivre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Référence et statut potentiellement dispersés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Une chronologie lisible, sans inventer de statuts officiels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Continuer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Autres démarches auprès d’organismes distincts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Liste personnalisée, sans déclenchement non autorisé</w:t>
            </w:r>
          </w:p>
        </w:tc>
      </w:tr>
    </w:tbl>
    <w:bookmarkStart w:id="22" w:name="scénario-de-démonstration-d-01"/>
    <w:p>
      <w:pPr>
        <w:pStyle w:val="Heading3"/>
      </w:pPr>
      <w:r>
        <w:t xml:space="preserve">Scénario de démonstration D-01</w:t>
      </w:r>
    </w:p>
    <w:p>
      <w:pPr>
        <w:pStyle w:val="Compact"/>
        <w:numPr>
          <w:ilvl w:val="0"/>
          <w:numId w:val="1001"/>
        </w:numPr>
      </w:pPr>
      <w:r>
        <w:t xml:space="preserve">Usager : « Proche habilité », identité</w:t>
      </w:r>
      <w:r>
        <w:t xml:space="preserve"> </w:t>
      </w:r>
      <w:r>
        <w:rPr>
          <w:b/>
          <w:bCs/>
        </w:rPr>
        <w:t xml:space="preserve">entièrement fictive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Objectif : préparer la demande relative à un décès et suivre les étapes administratives.</w:t>
      </w:r>
    </w:p>
    <w:p>
      <w:pPr>
        <w:pStyle w:val="Compact"/>
        <w:numPr>
          <w:ilvl w:val="0"/>
          <w:numId w:val="1001"/>
        </w:numPr>
      </w:pPr>
      <w:r>
        <w:t xml:space="preserve">Le système affiche un avertissement de compétence : un signalement dans Passoria n’est</w:t>
      </w:r>
      <w: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une déclaration officielle.</w:t>
      </w:r>
    </w:p>
    <w:p>
      <w:pPr>
        <w:pStyle w:val="Compact"/>
        <w:numPr>
          <w:ilvl w:val="0"/>
          <w:numId w:val="1001"/>
        </w:numPr>
      </w:pPr>
      <w:r>
        <w:t xml:space="preserve">L’usager joint des documents d’essai puis reçoit un résultat de précontrôle « dossier incomplet : justificatif à vérifier ».</w:t>
      </w:r>
    </w:p>
    <w:p>
      <w:pPr>
        <w:pStyle w:val="Compact"/>
        <w:numPr>
          <w:ilvl w:val="0"/>
          <w:numId w:val="1001"/>
        </w:numPr>
      </w:pPr>
      <w:r>
        <w:t xml:space="preserve">L’usager corrige ; l’agent de démonstration accuse réception et passe « En instruction (simulation) ».</w:t>
      </w:r>
    </w:p>
    <w:p>
      <w:pPr>
        <w:pStyle w:val="Compact"/>
        <w:numPr>
          <w:ilvl w:val="0"/>
          <w:numId w:val="1001"/>
        </w:numPr>
      </w:pPr>
      <w:r>
        <w:t xml:space="preserve">L’usager suit « Complément demandé » puis « Étape terminée (simulation) ».</w:t>
      </w:r>
    </w:p>
    <w:p>
      <w:pPr>
        <w:pStyle w:val="Compact"/>
        <w:numPr>
          <w:ilvl w:val="0"/>
          <w:numId w:val="1001"/>
        </w:numPr>
      </w:pPr>
      <w:r>
        <w:t xml:space="preserve">L’écran suivant donne une checklist indicative de formalités postérieures sans transfert automatique à des tiers.</w:t>
      </w:r>
    </w:p>
    <w:p>
      <w:pPr>
        <w:pStyle w:val="FirstParagraph"/>
      </w:pPr>
      <w:r>
        <w:rPr>
          <w:b/>
          <w:bCs/>
        </w:rPr>
        <w:t xml:space="preserve">Cas à tester :</w:t>
      </w:r>
      <w:r>
        <w:t xml:space="preserve"> </w:t>
      </w:r>
      <w:r>
        <w:t xml:space="preserve">pièce illisible ; représentant non habilité ; nom divergent ; usager sans Internet ; interruption de session ; suppression d’un document ; doublon d’une demande.</w:t>
      </w:r>
    </w:p>
    <w:bookmarkEnd w:id="22"/>
    <w:bookmarkEnd w:id="23"/>
    <w:bookmarkStart w:id="25" w:name="parcours-as-is-to-be-naissance"/>
    <w:p>
      <w:pPr>
        <w:pStyle w:val="Heading2"/>
      </w:pPr>
      <w:r>
        <w:t xml:space="preserve">3. Parcours AS-IS / TO-BE : naissance</w:t>
      </w:r>
    </w:p>
    <w:bookmarkStart w:id="24" w:name="scénario-de-démonstration-n-01"/>
    <w:p>
      <w:pPr>
        <w:pStyle w:val="Heading3"/>
      </w:pPr>
      <w:r>
        <w:t xml:space="preserve">Scénario de démonstration N-01</w:t>
      </w:r>
    </w:p>
    <w:p>
      <w:pPr>
        <w:pStyle w:val="Compact"/>
        <w:numPr>
          <w:ilvl w:val="0"/>
          <w:numId w:val="1002"/>
        </w:numPr>
      </w:pPr>
      <w:r>
        <w:t xml:space="preserve">Parent ou agent habilité ouvre « Enregistrer une naissance ».</w:t>
      </w:r>
    </w:p>
    <w:p>
      <w:pPr>
        <w:pStyle w:val="Compact"/>
        <w:numPr>
          <w:ilvl w:val="0"/>
          <w:numId w:val="1002"/>
        </w:numPr>
      </w:pPr>
      <w:r>
        <w:t xml:space="preserve">Passoria indique les éléments attendus ; il ne prétend pas remplacer le système officiel de déclaration.</w:t>
      </w:r>
    </w:p>
    <w:p>
      <w:pPr>
        <w:pStyle w:val="Compact"/>
        <w:numPr>
          <w:ilvl w:val="0"/>
          <w:numId w:val="1002"/>
        </w:numPr>
      </w:pPr>
      <w:r>
        <w:t xml:space="preserve">Les informations fictives sont saisies ; une règle détecte par exemple une date de naissance incohérente avec la date de déclaration.</w:t>
      </w:r>
    </w:p>
    <w:p>
      <w:pPr>
        <w:pStyle w:val="Compact"/>
        <w:numPr>
          <w:ilvl w:val="0"/>
          <w:numId w:val="1002"/>
        </w:numPr>
      </w:pPr>
      <w:r>
        <w:t xml:space="preserve">L’usager rectifie la saisie ou explique la discordance.</w:t>
      </w:r>
    </w:p>
    <w:p>
      <w:pPr>
        <w:pStyle w:val="Compact"/>
        <w:numPr>
          <w:ilvl w:val="0"/>
          <w:numId w:val="1002"/>
        </w:numPr>
      </w:pPr>
      <w:r>
        <w:t xml:space="preserve">Le dossier reçoit un identifiant</w:t>
      </w:r>
      <w:r>
        <w:t xml:space="preserve"> </w:t>
      </w:r>
      <w:r>
        <w:rPr>
          <w:b/>
          <w:bCs/>
        </w:rPr>
        <w:t xml:space="preserve">de démonstration</w:t>
      </w:r>
      <w:r>
        <w:t xml:space="preserve"> </w:t>
      </w:r>
      <w:r>
        <w:t xml:space="preserve">et une fiche récapitulative à présenter au service compétent.</w:t>
      </w:r>
    </w:p>
    <w:p>
      <w:pPr>
        <w:pStyle w:val="Compact"/>
        <w:numPr>
          <w:ilvl w:val="0"/>
          <w:numId w:val="1002"/>
        </w:numPr>
      </w:pPr>
      <w:r>
        <w:t xml:space="preserve">Une notification simulée indique la prochaine étape, puis la disponibilité d’un document fictif.</w:t>
      </w:r>
    </w:p>
    <w:p>
      <w:pPr>
        <w:pStyle w:val="FirstParagraph"/>
      </w:pPr>
      <w:r>
        <w:rPr>
          <w:b/>
          <w:bCs/>
        </w:rPr>
        <w:t xml:space="preserve">Point juridique à valider :</w:t>
      </w:r>
      <w:r>
        <w:t xml:space="preserve"> </w:t>
      </w:r>
      <w:r>
        <w:t xml:space="preserve">le délai réglementaire, les autorités responsables et les règles relatives aux déclarations en maternité, en mairie et à l’étranger varient selon la situation. Le système doit distinguer ces cas à partir de sources officielles [B03].</w:t>
      </w:r>
    </w:p>
    <w:bookmarkEnd w:id="24"/>
    <w:bookmarkEnd w:id="25"/>
    <w:bookmarkStart w:id="26" w:name="parcours-accès-universel"/>
    <w:p>
      <w:pPr>
        <w:pStyle w:val="Heading2"/>
      </w:pPr>
      <w:r>
        <w:t xml:space="preserve">4. Parcours accès universel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Canal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Fonctions minimales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Restrictions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Navigateur/PWA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Préparer dossier, documents, historique, notifications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Authentification renforcée pour données sensibles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SMS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Informations publiques, rappel générique, consultation statut peu sensible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Pas de détails médicaux ou documents d’identité en SMS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USSD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Arbre d’orientation, référence, prochaine étape générique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Contrôle de session et confidentialité limités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Guichet assisté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Agent aide à renseigner la demande au nom de l’usager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Mandat, preuve d’accord, rôles et journalisation</w:t>
            </w:r>
          </w:p>
        </w:tc>
      </w:tr>
    </w:tbl>
    <w:bookmarkEnd w:id="26"/>
    <w:bookmarkStart w:id="27" w:name="X73fb908d98cae5f9533d6bb63c36a80eff2cedd"/>
    <w:p>
      <w:pPr>
        <w:pStyle w:val="Heading2"/>
      </w:pPr>
      <w:r>
        <w:t xml:space="preserve">5. Mesure avant/après : protocole reproductible</w:t>
      </w:r>
    </w:p>
    <w:p>
      <w:pPr>
        <w:pStyle w:val="FirstParagraph"/>
      </w:pPr>
      <w:r>
        <w:rPr>
          <w:b/>
          <w:bCs/>
        </w:rPr>
        <w:t xml:space="preserve">Échantillon initial proposé :</w:t>
      </w:r>
      <w:r>
        <w:t xml:space="preserve"> </w:t>
      </w:r>
      <w:r>
        <w:t xml:space="preserve">5 à 10 entretiens exploratoires par scénario, puis échantillon élargi à définir avec une administration partenaire. L’échantillon exploratoire ne permet pas d’inférer des résultats nationaux.</w:t>
      </w:r>
    </w:p>
    <w:p>
      <w:pPr>
        <w:pStyle w:val="Compact"/>
        <w:numPr>
          <w:ilvl w:val="0"/>
          <w:numId w:val="1003"/>
        </w:numPr>
      </w:pPr>
      <w:r>
        <w:t xml:space="preserve">Relever le nombre de démarches / visites réellement exigées, et le temps passé par cas.</w:t>
      </w:r>
    </w:p>
    <w:p>
      <w:pPr>
        <w:pStyle w:val="Compact"/>
        <w:numPr>
          <w:ilvl w:val="0"/>
          <w:numId w:val="1003"/>
        </w:numPr>
      </w:pPr>
      <w:r>
        <w:t xml:space="preserve">Observer la préparation du même dossier avec consignes habituelles puis avec Passoria sur des cas fictifs comparables.</w:t>
      </w:r>
    </w:p>
    <w:p>
      <w:pPr>
        <w:pStyle w:val="Compact"/>
        <w:numPr>
          <w:ilvl w:val="0"/>
          <w:numId w:val="1003"/>
        </w:numPr>
      </w:pPr>
      <w:r>
        <w:t xml:space="preserve">Mesurer temps d’orientation, complétude, erreurs, compréhension et satisfaction.</w:t>
      </w:r>
    </w:p>
    <w:p>
      <w:pPr>
        <w:pStyle w:val="Compact"/>
        <w:numPr>
          <w:ilvl w:val="0"/>
          <w:numId w:val="1003"/>
        </w:numPr>
      </w:pPr>
      <w:r>
        <w:t xml:space="preserve">En pilote officiel, comparer les flux et délais réels avant/après sur des groupes raisonnablement équivalents.</w:t>
      </w:r>
    </w:p>
    <w:p>
      <w:pPr>
        <w:pStyle w:val="Compact"/>
        <w:numPr>
          <w:ilvl w:val="0"/>
          <w:numId w:val="1003"/>
        </w:numPr>
      </w:pPr>
      <w:r>
        <w:t xml:space="preserve">Noter systématiquement les exceptions et abandons ; ne pas retenir uniquement les cas réussis.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KPI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Formule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Source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Fréquence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Complétude initiale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Dossiers complets / dossiers commencés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Journal de précontrôle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Taux de correction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Anomalies résolues / anomalies signalées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Historique dossier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Faux positifs de contrôle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Alertes infondées / alertes examinées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Revue agent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Temps de constitution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Médiane minutes début-fin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Instrumentation consentie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Hebdomadaire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Déplacements évités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Visites avant - visites après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Entretiens + traces de guichet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Mensuelle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Abandon du parcours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Dossiers abandonnés / commencés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Analytics respectueux de la vie privée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Mensuelle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Accessibilité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Parcours réussis par canal/handicap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Tests utilisateurs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Trimestrielle</w:t>
            </w:r>
          </w:p>
        </w:tc>
      </w:tr>
    </w:tbl>
    <w:bookmarkEnd w:id="27"/>
    <w:bookmarkStart w:id="28" w:name="questions-dentretien-usagers-et-agents"/>
    <w:p>
      <w:pPr>
        <w:pStyle w:val="Heading2"/>
      </w:pPr>
      <w:r>
        <w:t xml:space="preserve">6. Questions d’entretien — usagers et agents</w:t>
      </w:r>
    </w:p>
    <w:p>
      <w:pPr>
        <w:pStyle w:val="FirstParagraph"/>
      </w:pPr>
      <w:r>
        <w:rPr>
          <w:b/>
          <w:bCs/>
        </w:rPr>
        <w:t xml:space="preserve">Usagers :</w:t>
      </w:r>
      <w:r>
        <w:t xml:space="preserve"> </w:t>
      </w:r>
      <w:r>
        <w:t xml:space="preserve">Quelle démarche avez-vous réellement effectuée ? Quel service ? Combien de visites ? Quelles pièces non prévues ? À quelle étape avez-vous dû demander de l’aide ? Comment avez-vous connu le statut ? Quel a été le coût des déplacements ?</w:t>
      </w:r>
    </w:p>
    <w:p>
      <w:pPr>
        <w:pStyle w:val="BodyText"/>
      </w:pPr>
      <w:r>
        <w:rPr>
          <w:b/>
          <w:bCs/>
        </w:rPr>
        <w:t xml:space="preserve">Agents :</w:t>
      </w:r>
      <w:r>
        <w:t xml:space="preserve"> </w:t>
      </w:r>
      <w:r>
        <w:t xml:space="preserve">À quelles étapes des dossiers sont-ils fréquemment incomplets ? Quelles pièces peuvent être récupérées légalement ? Quel statut peut être communiqué ? Quelles exceptions requièrent un arbitrage humain ? Quel système existant fait autorité ?</w:t>
      </w:r>
    </w:p>
    <w:bookmarkEnd w:id="28"/>
    <w:bookmarkStart w:id="29" w:name="résultats-non-encore-établis"/>
    <w:p>
      <w:pPr>
        <w:pStyle w:val="Heading2"/>
      </w:pPr>
      <w:r>
        <w:t xml:space="preserve">7. Résultats non encore établis</w:t>
      </w:r>
    </w:p>
    <w:p>
      <w:pPr>
        <w:pStyle w:val="FirstParagraph"/>
      </w:pPr>
      <w:r>
        <w:t xml:space="preserve">Aucun chiffre de gain, aucune intégration partenaire et aucune preuve d’amélioration sur données réelles n’est revendiqué à la date du 22 octobre 2026. Les objectifs indiqués dans le dossier principal sont des hypothèses destinées à être éprouvées en pilote.</w:t>
      </w:r>
    </w:p>
    <w:p>
      <w:pPr>
        <w:pStyle w:val="BodyText"/>
      </w:pPr>
      <w:r>
        <w:rPr>
          <w:b/>
          <w:bCs/>
        </w:rPr>
        <w:t xml:space="preserve">Sources :</w:t>
      </w:r>
      <w:r>
        <w:t xml:space="preserve"> </w:t>
      </w:r>
      <w:r>
        <w:t xml:space="preserve">[B01] [B02] [B03] [F02].</w:t>
      </w:r>
    </w:p>
    <w:bookmarkEnd w:id="29"/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077" w:footer="720" w:gutter="0" w:header="720" w:left="1162" w:right="1162" w:top="110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PASSORIA · Toutes vos démarches, un seul espace.  |  Non officiel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PASSORIA  |  DOCUMENT DE TRAVAIL  •  22 OCTOBRE 2026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ptos" w:hAnsi="Aptos"/>
      <w:color w:val="223032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" w:asciiTheme="majorHAnsi" w:cstheme="majorBidi" w:eastAsiaTheme="majorEastAsia" w:hAnsi="Aptos" w:hAnsiTheme="majorHAnsi"/>
      <w:b/>
      <w:bCs/>
      <w:color w:val="1165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Aptos" w:asciiTheme="majorHAnsi" w:cstheme="majorBidi" w:eastAsiaTheme="majorEastAsia" w:hAnsi="Aptos" w:hAnsiTheme="majorHAnsi"/>
      <w:b/>
      <w:bCs/>
      <w:color w:val="195B57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Aptos" w:asciiTheme="majorHAnsi" w:cstheme="majorBidi" w:eastAsiaTheme="majorEastAsia" w:hAnsi="Aptos" w:hAnsiTheme="majorHAnsi"/>
      <w:b/>
      <w:bCs/>
      <w:color w:val="2D5F62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28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2524B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Annexe parcours et impact</dc:title>
  <dc:creator>Passoria — document de conception</dc:creator>
  <cp:keywords/>
  <dcterms:created xsi:type="dcterms:W3CDTF">2026-10-22T20:25:32Z</dcterms:created>
  <dcterms:modified xsi:type="dcterms:W3CDTF">2026-10-22T20:25:32Z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