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ssoria-annexe-2"/>
    <w:p>
      <w:pPr>
        <w:pStyle w:val="Heading1"/>
      </w:pPr>
      <w:r>
        <w:t xml:space="preserve">PASSORIA — Annexe 2</w:t>
      </w:r>
    </w:p>
    <w:bookmarkStart w:id="20" w:name="X703bccab9370d4a2a8ca3400703ceff8bf406d4"/>
    <w:p>
      <w:pPr>
        <w:pStyle w:val="Heading2"/>
      </w:pPr>
      <w:r>
        <w:t xml:space="preserve">Prototype, faisabilité, sécurité et plan d’expérimentation</w:t>
      </w:r>
    </w:p>
    <w:p>
      <w:pPr>
        <w:pStyle w:val="FirstParagraph"/>
      </w:pPr>
      <w:r>
        <w:rPr>
          <w:b/>
          <w:bCs/>
        </w:rPr>
        <w:t xml:space="preserve">Objet :</w:t>
      </w:r>
      <w:r>
        <w:t xml:space="preserve"> </w:t>
      </w:r>
      <w:r>
        <w:t xml:space="preserve">montrer comment réaliser une démonstration crédible sans accès aux systèmes officiels ni traitement de vraies données d’identité.</w:t>
      </w:r>
    </w:p>
    <w:bookmarkEnd w:id="20"/>
    <w:bookmarkStart w:id="21" w:name="démonstration-de-5-à-7-minutes"/>
    <w:p>
      <w:pPr>
        <w:pStyle w:val="Heading2"/>
      </w:pPr>
      <w:r>
        <w:t xml:space="preserve">1. Démonstration de 5 à 7 minutes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Accueil</w:t>
      </w:r>
      <w:r>
        <w:t xml:space="preserve"> </w:t>
      </w:r>
      <w:r>
        <w:t xml:space="preserve">— bénéfice immédiat, choix de la démarche.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Dossier unique</w:t>
      </w:r>
      <w:r>
        <w:t xml:space="preserve"> </w:t>
      </w:r>
      <w:r>
        <w:t xml:space="preserve">— pièces fictives réutilisables, état et consentements simulés.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Décès</w:t>
      </w:r>
      <w:r>
        <w:t xml:space="preserve"> </w:t>
      </w:r>
      <w:r>
        <w:t xml:space="preserve">— parcours guidé, contrôle documentaire, demande de complément.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Naissance</w:t>
      </w:r>
      <w:r>
        <w:t xml:space="preserve"> </w:t>
      </w:r>
      <w:r>
        <w:t xml:space="preserve">— vérification de cohérence, correction,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Espace agent</w:t>
      </w:r>
      <w:r>
        <w:t xml:space="preserve"> </w:t>
      </w:r>
      <w:r>
        <w:t xml:space="preserve">— réception et changement d’état du dossier de démonstration.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SMS/USSD</w:t>
      </w:r>
      <w:r>
        <w:t xml:space="preserve"> </w:t>
      </w:r>
      <w:r>
        <w:t xml:space="preserve">— simulation d’accès sur téléphone basique.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Statistiques</w:t>
      </w:r>
      <w:r>
        <w:t xml:space="preserve"> </w:t>
      </w:r>
      <w:r>
        <w:t xml:space="preserve">— indicateurs de démonstration étiquetés « données simulées ».</w:t>
      </w:r>
    </w:p>
    <w:bookmarkEnd w:id="21"/>
    <w:bookmarkStart w:id="22" w:name="écrans-à-maquetter"/>
    <w:p>
      <w:pPr>
        <w:pStyle w:val="Heading2"/>
      </w:pPr>
      <w:r>
        <w:t xml:space="preserve">2. Écrans à maquetter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Code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Écran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Fonction clé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Critère de démonstration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Accueil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Choix d’une démarche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Parcours accessible en 2 clics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Connexion/démonstration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Compte test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Aucune donnée réelle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Tableau de bord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Dossiers et prochaines étapes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Statuts intelligibles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Dossier documentaire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Ajouter/remplacer pièces fictives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Version et contrôle d’accès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Naissance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Formulaire progressif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Détection d’une incohérence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UX-06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Décès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Formalités guidées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Pièce manquante identifiée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UX-07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Détails dossier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Historique de traitement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Trace complète du parcours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File d’instruction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Demande de complément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UX-09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Conseils sourcés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Limites et renvoi au service officiel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UX-10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Simulateur USSD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Menu texte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Consultation d’un statut générique</w:t>
            </w:r>
          </w:p>
        </w:tc>
      </w:tr>
    </w:tbl>
    <w:bookmarkEnd w:id="22"/>
    <w:bookmarkStart w:id="23" w:name="architecture-de-principe"/>
    <w:p>
      <w:pPr>
        <w:pStyle w:val="Heading2"/>
      </w:pPr>
      <w:r>
        <w:t xml:space="preserve">3. Architecture de principe</w:t>
      </w:r>
    </w:p>
    <w:p>
      <w:pPr>
        <w:pStyle w:val="SourceCode"/>
      </w:pPr>
      <w:r>
        <w:rPr>
          <w:rStyle w:val="VerbatimChar"/>
        </w:rPr>
        <w:t xml:space="preserve">Citoyen Web/PWA ─┐</w:t>
      </w:r>
      <w:r>
        <w:br/>
      </w:r>
      <w:r>
        <w:rPr>
          <w:rStyle w:val="VerbatimChar"/>
        </w:rPr>
        <w:t xml:space="preserve">USSD/SMS simulé ─┼─&gt; API Passoria ─&gt; Moteur de parcours</w:t>
      </w:r>
      <w:r>
        <w:br/>
      </w:r>
      <w:r>
        <w:rPr>
          <w:rStyle w:val="VerbatimChar"/>
        </w:rPr>
        <w:t xml:space="preserve">Guichet assisté ─┘           │         ├─&gt; Règles de précontrôle</w:t>
      </w:r>
      <w:r>
        <w:br/>
      </w:r>
      <w:r>
        <w:rPr>
          <w:rStyle w:val="VerbatimChar"/>
        </w:rPr>
        <w:t xml:space="preserve">                             │         ├─&gt; Dossier et versions</w:t>
      </w:r>
      <w:r>
        <w:br/>
      </w:r>
      <w:r>
        <w:rPr>
          <w:rStyle w:val="VerbatimChar"/>
        </w:rPr>
        <w:t xml:space="preserve">                             │         └─&gt; Chronologie / notifications</w:t>
      </w:r>
      <w:r>
        <w:br/>
      </w:r>
      <w:r>
        <w:rPr>
          <w:rStyle w:val="VerbatimChar"/>
        </w:rPr>
        <w:t xml:space="preserve">                             └─&gt; Adaptateurs institutionnels (désactivés au MVP)</w:t>
      </w:r>
      <w:r>
        <w:br/>
      </w:r>
      <w:r>
        <w:rPr>
          <w:rStyle w:val="VerbatimChar"/>
        </w:rPr>
        <w:t xml:space="preserve">                                    ANIP / ARCH / opérateurs / X-Road [sous convention]</w:t>
      </w:r>
    </w:p>
    <w:bookmarkEnd w:id="23"/>
    <w:bookmarkStart w:id="24" w:name="répartition-des-responsabilités"/>
    <w:p>
      <w:pPr>
        <w:pStyle w:val="Heading2"/>
      </w:pPr>
      <w:r>
        <w:t xml:space="preserve">4. Répartition des responsabilités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Acteur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Responsabilité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Citoyen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Prépare, contrôle, autorise les usages du dossier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Agent habilité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Vérifie les exceptions, instruit selon les compétences du service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Administration source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Détient le registre de référence et prend la décision officielle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Équipe Passoria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Fournit outils de parcours, sécurité, journalisation et support technique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Responsable protection des données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Examine finalités, bases légales, risques et habilitations</w:t>
            </w:r>
          </w:p>
        </w:tc>
      </w:tr>
    </w:tbl>
    <w:bookmarkEnd w:id="24"/>
    <w:bookmarkStart w:id="25" w:name="conditions-de-faisabilité"/>
    <w:p>
      <w:pPr>
        <w:pStyle w:val="Heading2"/>
      </w:pPr>
      <w:r>
        <w:t xml:space="preserve">5. Conditions de faisabilité</w:t>
      </w:r>
    </w:p>
    <w:p>
      <w:pPr>
        <w:pStyle w:val="FirstParagraph"/>
      </w:pPr>
      <w:r>
        <w:rPr>
          <w:b/>
          <w:bCs/>
        </w:rPr>
        <w:t xml:space="preserve">Préconditions bloquantes pour un pilote réel :</w:t>
      </w:r>
      <w:r>
        <w:t xml:space="preserve"> </w:t>
      </w:r>
      <w:r>
        <w:t xml:space="preserve">service partenaire formellement identifié ; description validée du processus ; accord de partage de données le cas échéant ; revue juridique ; sécurité et journalisation ; gouvernance des changements ; budget de maintenance.</w:t>
      </w:r>
    </w:p>
    <w:p>
      <w:pPr>
        <w:pStyle w:val="BodyText"/>
      </w:pPr>
      <w:r>
        <w:rPr>
          <w:b/>
          <w:bCs/>
        </w:rPr>
        <w:t xml:space="preserve">Ce que le MVP peut faire seul :</w:t>
      </w:r>
      <w:r>
        <w:t xml:space="preserve"> </w:t>
      </w:r>
      <w:r>
        <w:t xml:space="preserve">orientation, prototypes de formulaires, création de dossiers fictifs, règles de complétude, suivi simulé, notifications en environnement de test, mesures de parcours fictif.</w:t>
      </w:r>
    </w:p>
    <w:p>
      <w:pPr>
        <w:pStyle w:val="BodyText"/>
      </w:pPr>
      <w:r>
        <w:rPr>
          <w:b/>
          <w:bCs/>
        </w:rPr>
        <w:t xml:space="preserve">Ce qu’il ne peut pas prétendre faire seul :</w:t>
      </w:r>
      <w:r>
        <w:t xml:space="preserve"> </w:t>
      </w:r>
      <w:r>
        <w:t xml:space="preserve">émettre un acte ANIP ; modifier une fiche dans un registre public ; lire une couverture ARCH ; activer une SIM ; envoyer une notification officielle ; garantir l’éligibilité d’un usager.</w:t>
      </w:r>
    </w:p>
    <w:bookmarkEnd w:id="25"/>
    <w:bookmarkStart w:id="26" w:name="confidentialité-et-sécurité"/>
    <w:p>
      <w:pPr>
        <w:pStyle w:val="Heading2"/>
      </w:pPr>
      <w:r>
        <w:t xml:space="preserve">6. Confidentialité et sécurité</w:t>
      </w:r>
    </w:p>
    <w:p>
      <w:pPr>
        <w:pStyle w:val="Compact"/>
        <w:numPr>
          <w:ilvl w:val="0"/>
          <w:numId w:val="1002"/>
        </w:numPr>
      </w:pPr>
      <w:r>
        <w:t xml:space="preserve">Minimisation des informations et conservation limitée par finalité.</w:t>
      </w:r>
    </w:p>
    <w:p>
      <w:pPr>
        <w:pStyle w:val="Compact"/>
        <w:numPr>
          <w:ilvl w:val="0"/>
          <w:numId w:val="1002"/>
        </w:numPr>
      </w:pPr>
      <w:r>
        <w:t xml:space="preserve">Pas de vrais NPI, actes, données de santé ou documents SIM dans la démonstration.</w:t>
      </w:r>
    </w:p>
    <w:p>
      <w:pPr>
        <w:pStyle w:val="Compact"/>
        <w:numPr>
          <w:ilvl w:val="0"/>
          <w:numId w:val="1002"/>
        </w:numPr>
      </w:pPr>
      <w:r>
        <w:t xml:space="preserve">Contrôle d’accès par rôle et par dossier, comptes agent séparés, MFA pour agents.</w:t>
      </w:r>
    </w:p>
    <w:p>
      <w:pPr>
        <w:pStyle w:val="Compact"/>
        <w:numPr>
          <w:ilvl w:val="0"/>
          <w:numId w:val="1002"/>
        </w:numPr>
      </w:pPr>
      <w:r>
        <w:t xml:space="preserve">Chiffrement transport et au repos, sauvegarde, rotation des secrets et journal d’audit.</w:t>
      </w:r>
    </w:p>
    <w:p>
      <w:pPr>
        <w:pStyle w:val="Compact"/>
        <w:numPr>
          <w:ilvl w:val="0"/>
          <w:numId w:val="1002"/>
        </w:numPr>
      </w:pPr>
      <w:r>
        <w:t xml:space="preserve">Toute action « agent » en prototype porte le libellé « simulation ».</w:t>
      </w:r>
    </w:p>
    <w:p>
      <w:pPr>
        <w:pStyle w:val="Compact"/>
        <w:numPr>
          <w:ilvl w:val="0"/>
          <w:numId w:val="1002"/>
        </w:numPr>
      </w:pPr>
      <w:r>
        <w:t xml:space="preserve">Test de sécurité et analyse d’impact avant introduction de données réelles.</w:t>
      </w:r>
    </w:p>
    <w:p>
      <w:pPr>
        <w:pStyle w:val="Compact"/>
        <w:numPr>
          <w:ilvl w:val="0"/>
          <w:numId w:val="1002"/>
        </w:numPr>
      </w:pPr>
      <w:r>
        <w:t xml:space="preserve">Information claire : Passoria n’est pas un service gouvernemental habilité tant qu’aucun partenariat n’est conclu.</w:t>
      </w:r>
    </w:p>
    <w:bookmarkEnd w:id="26"/>
    <w:bookmarkStart w:id="27" w:name="plan-de-réalisation-indicatif"/>
    <w:p>
      <w:pPr>
        <w:pStyle w:val="Heading2"/>
      </w:pPr>
      <w:r>
        <w:t xml:space="preserve">7. Plan de réalisation indicatif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Étape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Livrable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Condition de passage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Cadrage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Hypothèses, parcours et références juridiques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Procédure pilote sélectionnée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Maquettes mobile + bureau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Tests rapides auprès d’usagers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Web/PWA + données fictives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Scénarios naissance/décès fonctionnels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Tests fonctionnels, accessibilité, sécurité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Aucun point bloquant majeur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Candidature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Texte officiel + 3 annexes max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Déposant et expérience validés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Pilote institutionnel ultérieur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Convention + adaptation processus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Accord et budget approuvés</w:t>
            </w:r>
          </w:p>
        </w:tc>
      </w:tr>
    </w:tbl>
    <w:bookmarkEnd w:id="27"/>
    <w:bookmarkStart w:id="28" w:name="X344b5943696d3a4fd0db51eb2f1d69dd243c6e5"/>
    <w:p>
      <w:pPr>
        <w:pStyle w:val="Heading2"/>
      </w:pPr>
      <w:r>
        <w:t xml:space="preserve">8. Estimation budgétaire — structure, non devis</w:t>
      </w:r>
    </w:p>
    <w:p>
      <w:pPr>
        <w:pStyle w:val="FirstParagraph"/>
      </w:pPr>
      <w:r>
        <w:t xml:space="preserve">Chiffrer séparément conception, développement, hébergement, sécurité, gestion des demandes, SMS/USSD, formation, assistance, supervision et conformité. Le budget réel dépendra des volumes, des partenaires, des tarifs des canaux télécoms et du niveau de sécurité exigé.</w:t>
      </w:r>
      <w:r>
        <w:t xml:space="preserve"> </w:t>
      </w:r>
      <w:r>
        <w:rPr>
          <w:b/>
          <w:bCs/>
        </w:rPr>
        <w:t xml:space="preserve">Aucun montant n’est validé.</w:t>
      </w:r>
    </w:p>
    <w:p>
      <w:pPr>
        <w:pStyle w:val="BodyText"/>
      </w:pPr>
      <w:r>
        <w:rPr>
          <w:b/>
          <w:bCs/>
        </w:rPr>
        <w:t xml:space="preserve">Sources :</w:t>
      </w:r>
      <w:r>
        <w:t xml:space="preserve"> </w:t>
      </w:r>
      <w:r>
        <w:t xml:space="preserve">[F02] [F03] [B04] [B05] [B06].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5840" w:w="12240"/>
      <w:pgMar w:bottom="1077" w:footer="720" w:gutter="0" w:header="720" w:left="1162" w:right="1162" w:top="110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PASSORIA · Toutes vos démarches, un seul espace.  |  Non officiel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PASSORIA  |  DOCUMENT DE TRAVAIL  •  22 OCTOBRE 2026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color w:val="223032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" w:asciiTheme="majorHAnsi" w:cstheme="majorBidi" w:eastAsiaTheme="majorEastAsia" w:hAnsi="Aptos" w:hAnsiTheme="majorHAnsi"/>
      <w:b/>
      <w:bCs/>
      <w:color w:val="1165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" w:asciiTheme="majorHAnsi" w:cstheme="majorBidi" w:eastAsiaTheme="majorEastAsia" w:hAnsi="Aptos" w:hAnsiTheme="majorHAnsi"/>
      <w:b/>
      <w:bCs/>
      <w:color w:val="195B5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Aptos" w:asciiTheme="majorHAnsi" w:cstheme="majorBidi" w:eastAsiaTheme="majorEastAsia" w:hAnsi="Aptos" w:hAnsiTheme="majorHAnsi"/>
      <w:b/>
      <w:bCs/>
      <w:color w:val="2D5F6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2524B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Annexe prototype et faisabilite</dc:title>
  <dc:creator>Passoria — document de conception</dc:creator>
  <cp:keywords/>
  <dcterms:created xsi:type="dcterms:W3CDTF">2026-10-22T20:25:33Z</dcterms:created>
  <dcterms:modified xsi:type="dcterms:W3CDTF">2026-10-22T20:25:33Z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