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bc514fbbda78d3aef9aee50f6f8dba8fbe9d1a"/>
    <w:p>
      <w:pPr>
        <w:pStyle w:val="Heading1"/>
      </w:pPr>
      <w:r>
        <w:t xml:space="preserve">PASSORIA — Parcours utilisateurs et expérience produit</w:t>
      </w:r>
    </w:p>
    <w:bookmarkStart w:id="20" w:name="X8eb5269362cca84fc466346ca6b449d85407db6"/>
    <w:p>
      <w:pPr>
        <w:pStyle w:val="Heading2"/>
      </w:pPr>
      <w:r>
        <w:t xml:space="preserve">UX, navigation, scénarios, exceptions et accessibilité</w:t>
      </w:r>
    </w:p>
    <w:p>
      <w:pPr>
        <w:pStyle w:val="FirstParagraph"/>
      </w:pPr>
      <w:r>
        <w:rPr>
          <w:b/>
          <w:bCs/>
        </w:rPr>
        <w:t xml:space="preserve">Date :</w:t>
      </w:r>
      <w:r>
        <w:t xml:space="preserve"> </w:t>
      </w:r>
      <w:r>
        <w:t xml:space="preserve">22 octobre 2026.</w:t>
      </w:r>
      <w:r>
        <w:t xml:space="preserve"> </w:t>
      </w:r>
      <w:r>
        <w:rPr>
          <w:b/>
          <w:bCs/>
        </w:rPr>
        <w:t xml:space="preserve">Périmètre :</w:t>
      </w:r>
      <w:r>
        <w:t xml:space="preserve"> </w:t>
      </w:r>
      <w:r>
        <w:t xml:space="preserve">MVP démonstration avec données fictives, vision des six modules conservée.</w:t>
      </w:r>
    </w:p>
    <w:bookmarkEnd w:id="20"/>
    <w:bookmarkStart w:id="21" w:name="navigation"/>
    <w:p>
      <w:pPr>
        <w:pStyle w:val="Heading2"/>
      </w:pPr>
      <w:r>
        <w:t xml:space="preserve">1. Navigation</w:t>
      </w:r>
    </w:p>
    <w:p>
      <w:pPr>
        <w:pStyle w:val="FirstParagraph"/>
      </w:pPr>
      <w:r>
        <w:rPr>
          <w:b/>
          <w:bCs/>
        </w:rPr>
        <w:t xml:space="preserve">Citoyen :</w:t>
      </w:r>
      <w:r>
        <w:t xml:space="preserve"> </w:t>
      </w:r>
      <w:r>
        <w:t xml:space="preserve">Accueil | Démarches | Mes dossiers | Mes documents | Aide ; Profil dans l’en-tête.</w:t>
      </w:r>
      <w:r>
        <w:t xml:space="preserve"> </w:t>
      </w:r>
      <w:r>
        <w:rPr>
          <w:b/>
          <w:bCs/>
        </w:rPr>
        <w:t xml:space="preserve">Agent :</w:t>
      </w:r>
      <w:r>
        <w:t xml:space="preserve"> </w:t>
      </w:r>
      <w:r>
        <w:t xml:space="preserve">À traiter | Dossiers | Événements | Paramètres. Sur mobile, navigation courte, boutons accessibles au pouce, fil d’étapes et aide contextualisée.</w:t>
      </w:r>
    </w:p>
    <w:bookmarkEnd w:id="21"/>
    <w:bookmarkStart w:id="22" w:name="parcours-commun-en-cinq-étapes"/>
    <w:p>
      <w:pPr>
        <w:pStyle w:val="Heading2"/>
      </w:pPr>
      <w:r>
        <w:t xml:space="preserve">2. Parcours commun en cinq étapes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Comprendre :</w:t>
      </w:r>
      <w:r>
        <w:t xml:space="preserve"> </w:t>
      </w:r>
      <w:r>
        <w:t xml:space="preserve">le système pose seulement les questions nécessaires pour orienter vers la bonne démarche.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Préparer :</w:t>
      </w:r>
      <w:r>
        <w:t xml:space="preserve"> </w:t>
      </w:r>
      <w:r>
        <w:t xml:space="preserve">liste de justificatifs et formulaires adaptés à la situation, version des consignes et lien officiel.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Vérifier :</w:t>
      </w:r>
      <w:r>
        <w:t xml:space="preserve"> </w:t>
      </w:r>
      <w:r>
        <w:t xml:space="preserve">contrôles de présence et de cohérence ; les pièces restent fictives au prototype.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Suivre :</w:t>
      </w:r>
      <w:r>
        <w:t xml:space="preserve"> </w:t>
      </w:r>
      <w:r>
        <w:t xml:space="preserve">état lisible, dernière action, prochaine étape, historique daté, aide et annulation possible.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Continuer :</w:t>
      </w:r>
      <w:r>
        <w:t xml:space="preserve"> </w:t>
      </w:r>
      <w:r>
        <w:t xml:space="preserve">démarches liées pertinentes ; rien n’est déclenché chez un tiers sans autorisation.</w:t>
      </w:r>
    </w:p>
    <w:bookmarkEnd w:id="22"/>
    <w:bookmarkStart w:id="23" w:name="parcours-n-01-naissance"/>
    <w:p>
      <w:pPr>
        <w:pStyle w:val="Heading2"/>
      </w:pPr>
      <w:r>
        <w:t xml:space="preserve">3. Parcours N-01 — naissance</w:t>
      </w:r>
    </w:p>
    <w:p>
      <w:pPr>
        <w:pStyle w:val="FirstParagraph"/>
      </w:pPr>
      <w:r>
        <w:rPr>
          <w:b/>
          <w:bCs/>
        </w:rPr>
        <w:t xml:space="preserve">Acteur :</w:t>
      </w:r>
      <w:r>
        <w:t xml:space="preserve"> </w:t>
      </w:r>
      <w:r>
        <w:t xml:space="preserve">parent ou agent de démonstration.</w:t>
      </w:r>
      <w:r>
        <w:t xml:space="preserve"> </w:t>
      </w:r>
      <w:r>
        <w:rPr>
          <w:b/>
          <w:bCs/>
        </w:rPr>
        <w:t xml:space="preserve">Déclencheur :</w:t>
      </w:r>
      <w:r>
        <w:t xml:space="preserve"> </w:t>
      </w:r>
      <w:r>
        <w:t xml:space="preserve">besoin d’une démarche d’état civil relative à une naissance.</w:t>
      </w:r>
      <w:r>
        <w:t xml:space="preserve"> </w:t>
      </w:r>
      <w:r>
        <w:rPr>
          <w:b/>
          <w:bCs/>
        </w:rPr>
        <w:t xml:space="preserve">Résultat :</w:t>
      </w:r>
      <w:r>
        <w:t xml:space="preserve"> </w:t>
      </w:r>
      <w:r>
        <w:t xml:space="preserve">dossier de préparation et indication du service compétent ; aucun acte réel.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Écran</w:t>
            </w:r>
          </w:p>
        </w:tc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Action</w:t>
            </w:r>
          </w:p>
        </w:tc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Réaction attendue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Orientation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Sélectionner naissance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Affiche contexte et limites officielles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Formulaire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Saisir des données fictives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Sauvegarde en brouillon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Pièces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Ajouter justificatifs fictifs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Checklist et contrôle de format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Vérification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Saisir une date incohérente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Bloc d’alerte explicite, correction possible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Récapitulatif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Confirmer préparation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Référence de démonstration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Suivi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Consulter état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Chronologie et indication « non officiel »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Exceptions :</w:t>
      </w:r>
      <w:r>
        <w:t xml:space="preserve"> </w:t>
      </w:r>
      <w:r>
        <w:t xml:space="preserve">personne agissant pour autrui sans habilitation, conflit de date, pièce insuffisante, connexion perdue, doublon, données contradictoires. À chaque fois : solution de récupération sans disparition silencieuse des données.</w:t>
      </w:r>
    </w:p>
    <w:bookmarkEnd w:id="23"/>
    <w:bookmarkStart w:id="24" w:name="parcours-d-01-formalités-après-un-décès"/>
    <w:p>
      <w:pPr>
        <w:pStyle w:val="Heading2"/>
      </w:pPr>
      <w:r>
        <w:t xml:space="preserve">4. Parcours D-01 — formalités après un décès</w:t>
      </w:r>
    </w:p>
    <w:p>
      <w:pPr>
        <w:pStyle w:val="FirstParagraph"/>
      </w:pPr>
      <w:r>
        <w:t xml:space="preserve">Le ton est sobre et respectueux, sans formulations commerciales. L’utilisateur voit d’abord « Nous vous aidons à préparer les démarches » et la liste des limites, puis indique son lien avec le défunt. Les informations demandées sont minimisées.</w:t>
      </w:r>
    </w:p>
    <w:p>
      <w:pPr>
        <w:pStyle w:val="BodyText"/>
      </w:pPr>
      <w:r>
        <w:rPr>
          <w:b/>
          <w:bCs/>
        </w:rPr>
        <w:t xml:space="preserve">Étapes :</w:t>
      </w:r>
      <w:r>
        <w:t xml:space="preserve"> </w:t>
      </w:r>
      <w:r>
        <w:t xml:space="preserve">situation et qualité du demandeur → checklist adaptée → pièces fictives → précontrôle → récapitulatif → traitement agent simulé → orientation vers les autres formalités utiles. Ne jamais suggérer qu’une déclaration saisie ici suffit juridiquement.</w:t>
      </w:r>
    </w:p>
    <w:p>
      <w:pPr>
        <w:pStyle w:val="BodyText"/>
      </w:pPr>
      <w:r>
        <w:rPr>
          <w:b/>
          <w:bCs/>
        </w:rPr>
        <w:t xml:space="preserve">Exceptions :</w:t>
      </w:r>
      <w:r>
        <w:t xml:space="preserve"> </w:t>
      </w:r>
      <w:r>
        <w:t xml:space="preserve">demandeur non habilité, acte introuvable, identité divergente, document non lisible, démarche déjà effectuée, retrait d’une demande ; chaque état possède une prochaine action explicite.</w:t>
      </w:r>
    </w:p>
    <w:bookmarkEnd w:id="24"/>
    <w:bookmarkStart w:id="25" w:name="dossier-administratif-réutilisable"/>
    <w:p>
      <w:pPr>
        <w:pStyle w:val="Heading2"/>
      </w:pPr>
      <w:r>
        <w:t xml:space="preserve">5. Dossier administratif réutilisable</w:t>
      </w:r>
    </w:p>
    <w:p>
      <w:pPr>
        <w:pStyle w:val="FirstParagraph"/>
      </w:pPr>
      <w:r>
        <w:t xml:space="preserve">L’usager peut déposer une pièce, donner un titre, indiquer son type, visualiser sa version, la remplacer, en limiter l’utilisation ou la supprimer selon les règles du produit. Les mentions « vérifié officiellement » ne sont pas utilisées tant qu’aucun organisme habilité n’a effectué cette vérification.</w:t>
      </w:r>
    </w:p>
    <w:bookmarkEnd w:id="25"/>
    <w:bookmarkStart w:id="26" w:name="mode-sms-ussd-et-guichet"/>
    <w:p>
      <w:pPr>
        <w:pStyle w:val="Heading2"/>
      </w:pPr>
      <w:r>
        <w:t xml:space="preserve">6. Mode SMS / USSD et guichet</w:t>
      </w:r>
    </w:p>
    <w:p>
      <w:pPr>
        <w:pStyle w:val="FirstParagraph"/>
      </w:pPr>
      <w:r>
        <w:rPr>
          <w:b/>
          <w:bCs/>
        </w:rPr>
        <w:t xml:space="preserve">USSD de démonstration :</w:t>
      </w:r>
      <w:r>
        <w:t xml:space="preserve"> </w:t>
      </w:r>
      <w:r>
        <w:t xml:space="preserve">1. Choisir la démarche ; 2. Pièces nécessaires ; 3. Suivi par référence fictive ; 4. Assistance. Ne jamais afficher les identifiants complets ni l’état d’une prestation de santé.</w:t>
      </w:r>
      <w:r>
        <w:t xml:space="preserve"> </w:t>
      </w:r>
      <w:r>
        <w:rPr>
          <w:b/>
          <w:bCs/>
        </w:rPr>
        <w:t xml:space="preserve">Guichet :</w:t>
      </w:r>
      <w:r>
        <w:t xml:space="preserve"> </w:t>
      </w:r>
      <w:r>
        <w:t xml:space="preserve">l’agent identifie la personne selon une procédure adaptée et journalise toute action déléguée.</w:t>
      </w:r>
    </w:p>
    <w:bookmarkEnd w:id="26"/>
    <w:bookmarkStart w:id="27" w:name="états-ui-obligatoires"/>
    <w:p>
      <w:pPr>
        <w:pStyle w:val="Heading2"/>
      </w:pPr>
      <w:r>
        <w:t xml:space="preserve">7. États UI obligatoires</w:t>
      </w:r>
    </w:p>
    <w:tbl>
      <w:tblPr>
        <w:tblStyle w:val="Table"/>
        <w:tblW w:type="pct" w:w="5000"/>
        <w:jc w:val="left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État</w:t>
            </w:r>
          </w:p>
        </w:tc>
        <w:tc>
          <w:tcPr>
            <w:vAlign w:val="center"/>
            <w:shd w:fill="E5F2EF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Comportement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Chargement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Squelette, message d’attente accessible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Aucun dossier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Invitation à débuter une démarche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Erreur réseau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Réessayer sans perdre saisie locale autorisée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Dossier incomplet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Liste actionnable des corrections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Agent demande complément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Motif compréhensible, échéance si officielle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Information non vérifiée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Affichage explicite de la source et de la limite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Service partenaire indisponible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Ne pas prétendre à une transmission réussie</w:t>
            </w:r>
          </w:p>
        </w:tc>
      </w:tr>
      <w:tr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Accès refusé</w:t>
            </w:r>
          </w:p>
        </w:tc>
        <w:tc>
          <w:tcPr>
            <w:vAlign w:val="center"/>
          </w:tcPr>
          <w:p>
            <w:pPr>
              <w:pStyle w:val="Compact"/>
              <w:jc w:val="left"/>
            </w:pPr>
            <w:r>
              <w:t xml:space="preserve">Message discret sans exposer l’existence du dossier</w:t>
            </w:r>
          </w:p>
        </w:tc>
      </w:tr>
    </w:tbl>
    <w:bookmarkEnd w:id="27"/>
    <w:bookmarkStart w:id="28" w:name="design-et-langage"/>
    <w:p>
      <w:pPr>
        <w:pStyle w:val="Heading2"/>
      </w:pPr>
      <w:r>
        <w:t xml:space="preserve">8. Design et langage</w:t>
      </w:r>
    </w:p>
    <w:p>
      <w:pPr>
        <w:pStyle w:val="FirstParagraph"/>
      </w:pPr>
      <w:r>
        <w:t xml:space="preserve">Interfaces épurées, beaucoup d’espace, typographie lisible, boutons distincts, messages en langage clair. Éviter « dossier rejeté » lorsqu’il s’agit d’un simple contrôle de pièce manquante. Pas de promesse « 100 % en ligne » pour une étape légalement physique. Accessibilité : navigation clavier, focus, labels, erreurs en texte, contraste, temps de session adapté.</w:t>
      </w:r>
    </w:p>
    <w:bookmarkEnd w:id="28"/>
    <w:bookmarkStart w:id="29" w:name="tests-ux-prioritaires"/>
    <w:p>
      <w:pPr>
        <w:pStyle w:val="Heading2"/>
      </w:pPr>
      <w:r>
        <w:t xml:space="preserve">9. Tests UX prioritaires</w:t>
      </w:r>
    </w:p>
    <w:p>
      <w:pPr>
        <w:pStyle w:val="FirstParagraph"/>
      </w:pPr>
      <w:r>
        <w:t xml:space="preserve">Tester avec 5 à 10 participants exploratoires de niveaux numériques variés : trouvent-ils la bonne formalité ? Comprennent-ils que le service n’est pas officiel ? Repèrent-ils la pièce manquante ? Peuvent-ils reprendre après perte de réseau ? Sauront-ils où se rendre ensuite ? Mesurer erreurs, hésitations et temps de compréhension.</w:t>
      </w:r>
    </w:p>
    <w:bookmarkEnd w:id="29"/>
    <w:bookmarkEnd w:id="30"/>
    <w:sectPr w:rsidR="00FC693F" w:rsidRPr="0006063C" w:rsidSect="00034616">
      <w:headerReference r:id="rId9" w:type="default"/>
      <w:footerReference r:id="rId10" w:type="default"/>
      <w:pgSz w:h="15840" w:w="12240"/>
      <w:pgMar w:bottom="1077" w:footer="720" w:gutter="0" w:header="720" w:left="1162" w:right="1162" w:top="110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PASSORIA · Toutes vos démarches, un seul espace.  |  Non officiel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PASSORIA  |  DOCUMENT DE TRAVAIL  •  22 OCTOBRE 2026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/>
    </w:pPr>
    <w:rPr>
      <w:rFonts w:ascii="Aptos" w:hAnsi="Aptos"/>
      <w:color w:val="223032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Aptos" w:asciiTheme="majorHAnsi" w:cstheme="majorBidi" w:eastAsiaTheme="majorEastAsia" w:hAnsi="Aptos" w:hAnsiTheme="majorHAnsi"/>
      <w:b/>
      <w:bCs/>
      <w:color w:val="11655B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/>
      <w:outlineLvl w:val="1"/>
    </w:pPr>
    <w:rPr>
      <w:rFonts w:ascii="Aptos" w:asciiTheme="majorHAnsi" w:cstheme="majorBidi" w:eastAsiaTheme="majorEastAsia" w:hAnsi="Aptos" w:hAnsiTheme="majorHAnsi"/>
      <w:b/>
      <w:bCs/>
      <w:color w:val="195B57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80"/>
      <w:outlineLvl w:val="2"/>
    </w:pPr>
    <w:rPr>
      <w:rFonts w:ascii="Aptos" w:asciiTheme="majorHAnsi" w:cstheme="majorBidi" w:eastAsiaTheme="majorEastAsia" w:hAnsi="Aptos" w:hAnsiTheme="majorHAnsi"/>
      <w:b/>
      <w:bCs/>
      <w:color w:val="2D5F62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20" w:before="28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2524B"/>
      <w:spacing w:val="5"/>
      <w:kern w:val="28"/>
      <w:sz w:val="4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 Parcours Utilisateurs Passoria</dc:title>
  <dc:creator>Passoria — document de conception</dc:creator>
  <cp:keywords/>
  <dcterms:created xsi:type="dcterms:W3CDTF">2026-10-22T20:25:34Z</dcterms:created>
  <dcterms:modified xsi:type="dcterms:W3CDTF">2026-10-22T20:25:34Z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