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5ebee4efca18f4faeb4f7b51d2bdad9034edf6"/>
    <w:p>
      <w:pPr>
        <w:pStyle w:val="Heading1"/>
      </w:pPr>
      <w:r>
        <w:t xml:space="preserve">PASSORIA — Plan de réalisation, pilotage et présentation au jury</w:t>
      </w:r>
    </w:p>
    <w:p>
      <w:pPr>
        <w:pStyle w:val="FirstParagraph"/>
      </w:pPr>
      <w:r>
        <w:rPr>
          <w:b/>
          <w:bCs/>
        </w:rPr>
        <w:t xml:space="preserve">Version :</w:t>
      </w:r>
      <w:r>
        <w:t xml:space="preserve"> </w:t>
      </w:r>
      <w:r>
        <w:t xml:space="preserve">1.0 — 22 octobre 2026.</w:t>
      </w:r>
      <w:r>
        <w:t xml:space="preserve"> </w:t>
      </w:r>
      <w:r>
        <w:rPr>
          <w:b/>
          <w:bCs/>
        </w:rPr>
        <w:t xml:space="preserve">Cible :</w:t>
      </w:r>
      <w:r>
        <w:t xml:space="preserve"> </w:t>
      </w:r>
      <w:r>
        <w:t xml:space="preserve">prototype de démonstration, non opérationnel pour les services publics réels.</w:t>
      </w:r>
    </w:p>
    <w:bookmarkStart w:id="20" w:name="livrables"/>
    <w:p>
      <w:pPr>
        <w:pStyle w:val="Heading2"/>
      </w:pPr>
      <w:r>
        <w:t xml:space="preserve">1. Livrables</w:t>
      </w:r>
    </w:p>
    <w:p>
      <w:pPr>
        <w:pStyle w:val="Compact"/>
        <w:numPr>
          <w:ilvl w:val="0"/>
          <w:numId w:val="1001"/>
        </w:numPr>
      </w:pPr>
      <w:r>
        <w:rPr>
          <w:b/>
          <w:bCs/>
        </w:rPr>
        <w:t xml:space="preserve">Concours :</w:t>
      </w:r>
      <w:r>
        <w:t xml:space="preserve"> </w:t>
      </w:r>
      <w:r>
        <w:t xml:space="preserve">dossier principal, annexe parcours/impact, annexe faisabilité/prototype ; trois PDF indépendants.</w:t>
      </w:r>
    </w:p>
    <w:p>
      <w:pPr>
        <w:pStyle w:val="Compact"/>
        <w:numPr>
          <w:ilvl w:val="0"/>
          <w:numId w:val="1001"/>
        </w:numPr>
      </w:pPr>
      <w:r>
        <w:rPr>
          <w:b/>
          <w:bCs/>
        </w:rPr>
        <w:t xml:space="preserve">Produit :</w:t>
      </w:r>
      <w:r>
        <w:t xml:space="preserve"> </w:t>
      </w:r>
      <w:r>
        <w:t xml:space="preserve">PRD, parcours UX, architecture/sécurité, modèle de données, backlog priorisé.</w:t>
      </w:r>
    </w:p>
    <w:p>
      <w:pPr>
        <w:pStyle w:val="Compact"/>
        <w:numPr>
          <w:ilvl w:val="0"/>
          <w:numId w:val="1001"/>
        </w:numPr>
      </w:pPr>
      <w:r>
        <w:rPr>
          <w:b/>
          <w:bCs/>
        </w:rPr>
        <w:t xml:space="preserve">Démonstration :</w:t>
      </w:r>
      <w:r>
        <w:t xml:space="preserve"> </w:t>
      </w:r>
      <w:r>
        <w:t xml:space="preserve">parcours naissance, parcours décès, dossier fictif, suivi, espace agent, simulation d’accès universel.</w:t>
      </w:r>
    </w:p>
    <w:bookmarkEnd w:id="20"/>
    <w:bookmarkStart w:id="21" w:name="étapes-de-travail"/>
    <w:p>
      <w:pPr>
        <w:pStyle w:val="Heading2"/>
      </w:pPr>
      <w:r>
        <w:t xml:space="preserve">2. Étapes de travail</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E5F2EF"/>
          </w:tcPr>
          <w:p>
            <w:pPr>
              <w:pStyle w:val="Compact"/>
              <w:jc w:val="left"/>
            </w:pPr>
            <w:r>
              <w:rPr>
                <w:b/>
              </w:rPr>
              <w:t xml:space="preserve">Séquence</w:t>
            </w:r>
          </w:p>
        </w:tc>
        <w:tc>
          <w:tcPr>
            <w:vAlign w:val="center"/>
            <w:shd w:fill="E5F2EF"/>
          </w:tcPr>
          <w:p>
            <w:pPr>
              <w:pStyle w:val="Compact"/>
              <w:jc w:val="left"/>
            </w:pPr>
            <w:r>
              <w:rPr>
                <w:b/>
              </w:rPr>
              <w:t xml:space="preserve">Travail</w:t>
            </w:r>
          </w:p>
        </w:tc>
        <w:tc>
          <w:tcPr>
            <w:vAlign w:val="center"/>
            <w:shd w:fill="E5F2EF"/>
          </w:tcPr>
          <w:p>
            <w:pPr>
              <w:pStyle w:val="Compact"/>
              <w:jc w:val="left"/>
            </w:pPr>
            <w:r>
              <w:rPr>
                <w:b/>
              </w:rPr>
              <w:t xml:space="preserve">Livrable vérifiable</w:t>
            </w:r>
          </w:p>
        </w:tc>
        <w:tc>
          <w:tcPr>
            <w:vAlign w:val="center"/>
            <w:shd w:fill="E5F2EF"/>
          </w:tcPr>
          <w:p>
            <w:pPr>
              <w:pStyle w:val="Compact"/>
              <w:jc w:val="left"/>
            </w:pPr>
            <w:r>
              <w:rPr>
                <w:b/>
              </w:rPr>
              <w:t xml:space="preserve">Point de contrôle</w:t>
            </w:r>
          </w:p>
        </w:tc>
      </w:tr>
      <w:tr>
        <w:tc>
          <w:tcPr>
            <w:vAlign w:val="center"/>
          </w:tcPr>
          <w:p>
            <w:pPr>
              <w:pStyle w:val="Compact"/>
              <w:jc w:val="left"/>
            </w:pPr>
            <w:r>
              <w:t xml:space="preserve">S0 — Recherche</w:t>
            </w:r>
          </w:p>
        </w:tc>
        <w:tc>
          <w:tcPr>
            <w:vAlign w:val="center"/>
          </w:tcPr>
          <w:p>
            <w:pPr>
              <w:pStyle w:val="Compact"/>
              <w:jc w:val="left"/>
            </w:pPr>
            <w:r>
              <w:t xml:space="preserve">Entretiens et validation procédures réelles</w:t>
            </w:r>
          </w:p>
        </w:tc>
        <w:tc>
          <w:tcPr>
            <w:vAlign w:val="center"/>
          </w:tcPr>
          <w:p>
            <w:pPr>
              <w:pStyle w:val="Compact"/>
              <w:jc w:val="left"/>
            </w:pPr>
            <w:r>
              <w:t xml:space="preserve">Notes sourcées et hypothèses qualifiées</w:t>
            </w:r>
          </w:p>
        </w:tc>
        <w:tc>
          <w:tcPr>
            <w:vAlign w:val="center"/>
          </w:tcPr>
          <w:p>
            <w:pPr>
              <w:pStyle w:val="Compact"/>
              <w:jc w:val="left"/>
            </w:pPr>
            <w:r>
              <w:t xml:space="preserve">Au moins 5 usagers, idéalement 1 agent</w:t>
            </w:r>
          </w:p>
        </w:tc>
      </w:tr>
      <w:tr>
        <w:tc>
          <w:tcPr>
            <w:vAlign w:val="center"/>
          </w:tcPr>
          <w:p>
            <w:pPr>
              <w:pStyle w:val="Compact"/>
              <w:jc w:val="left"/>
            </w:pPr>
            <w:r>
              <w:t xml:space="preserve">S1 — Cadrage</w:t>
            </w:r>
          </w:p>
        </w:tc>
        <w:tc>
          <w:tcPr>
            <w:vAlign w:val="center"/>
          </w:tcPr>
          <w:p>
            <w:pPr>
              <w:pStyle w:val="Compact"/>
              <w:jc w:val="left"/>
            </w:pPr>
            <w:r>
              <w:t xml:space="preserve">Sélection du cas de référence pour le concours</w:t>
            </w:r>
          </w:p>
        </w:tc>
        <w:tc>
          <w:tcPr>
            <w:vAlign w:val="center"/>
          </w:tcPr>
          <w:p>
            <w:pPr>
              <w:pStyle w:val="Compact"/>
              <w:jc w:val="left"/>
            </w:pPr>
            <w:r>
              <w:t xml:space="preserve">Procédure AS-IS/TO-BE</w:t>
            </w:r>
          </w:p>
        </w:tc>
        <w:tc>
          <w:tcPr>
            <w:vAlign w:val="center"/>
          </w:tcPr>
          <w:p>
            <w:pPr>
              <w:pStyle w:val="Compact"/>
              <w:jc w:val="left"/>
            </w:pPr>
            <w:r>
              <w:t xml:space="preserve">Simplicité démontrée</w:t>
            </w:r>
          </w:p>
        </w:tc>
      </w:tr>
      <w:tr>
        <w:tc>
          <w:tcPr>
            <w:vAlign w:val="center"/>
          </w:tcPr>
          <w:p>
            <w:pPr>
              <w:pStyle w:val="Compact"/>
              <w:jc w:val="left"/>
            </w:pPr>
            <w:r>
              <w:t xml:space="preserve">S2 — UX</w:t>
            </w:r>
          </w:p>
        </w:tc>
        <w:tc>
          <w:tcPr>
            <w:vAlign w:val="center"/>
          </w:tcPr>
          <w:p>
            <w:pPr>
              <w:pStyle w:val="Compact"/>
              <w:jc w:val="left"/>
            </w:pPr>
            <w:r>
              <w:t xml:space="preserve">Maquettes mobile et bureau</w:t>
            </w:r>
          </w:p>
        </w:tc>
        <w:tc>
          <w:tcPr>
            <w:vAlign w:val="center"/>
          </w:tcPr>
          <w:p>
            <w:pPr>
              <w:pStyle w:val="Compact"/>
              <w:jc w:val="left"/>
            </w:pPr>
            <w:r>
              <w:t xml:space="preserve">10 écrans testables</w:t>
            </w:r>
          </w:p>
        </w:tc>
        <w:tc>
          <w:tcPr>
            <w:vAlign w:val="center"/>
          </w:tcPr>
          <w:p>
            <w:pPr>
              <w:pStyle w:val="Compact"/>
              <w:jc w:val="left"/>
            </w:pPr>
            <w:r>
              <w:t xml:space="preserve">Compréhension sans aide</w:t>
            </w:r>
          </w:p>
        </w:tc>
      </w:tr>
      <w:tr>
        <w:tc>
          <w:tcPr>
            <w:vAlign w:val="center"/>
          </w:tcPr>
          <w:p>
            <w:pPr>
              <w:pStyle w:val="Compact"/>
              <w:jc w:val="left"/>
            </w:pPr>
            <w:r>
              <w:t xml:space="preserve">S3 — Socle</w:t>
            </w:r>
          </w:p>
        </w:tc>
        <w:tc>
          <w:tcPr>
            <w:vAlign w:val="center"/>
          </w:tcPr>
          <w:p>
            <w:pPr>
              <w:pStyle w:val="Compact"/>
              <w:jc w:val="left"/>
            </w:pPr>
            <w:r>
              <w:t xml:space="preserve">Auth, rôles, dossiers fictifs</w:t>
            </w:r>
          </w:p>
        </w:tc>
        <w:tc>
          <w:tcPr>
            <w:vAlign w:val="center"/>
          </w:tcPr>
          <w:p>
            <w:pPr>
              <w:pStyle w:val="Compact"/>
              <w:jc w:val="left"/>
            </w:pPr>
            <w:r>
              <w:t xml:space="preserve">Sessions isolées</w:t>
            </w:r>
          </w:p>
        </w:tc>
        <w:tc>
          <w:tcPr>
            <w:vAlign w:val="center"/>
          </w:tcPr>
          <w:p>
            <w:pPr>
              <w:pStyle w:val="Compact"/>
              <w:jc w:val="left"/>
            </w:pPr>
            <w:r>
              <w:t xml:space="preserve">Aucune fuite entre comptes</w:t>
            </w:r>
          </w:p>
        </w:tc>
      </w:tr>
      <w:tr>
        <w:tc>
          <w:tcPr>
            <w:vAlign w:val="center"/>
          </w:tcPr>
          <w:p>
            <w:pPr>
              <w:pStyle w:val="Compact"/>
              <w:jc w:val="left"/>
            </w:pPr>
            <w:r>
              <w:t xml:space="preserve">S4 — Parcours</w:t>
            </w:r>
          </w:p>
        </w:tc>
        <w:tc>
          <w:tcPr>
            <w:vAlign w:val="center"/>
          </w:tcPr>
          <w:p>
            <w:pPr>
              <w:pStyle w:val="Compact"/>
              <w:jc w:val="left"/>
            </w:pPr>
            <w:r>
              <w:t xml:space="preserve">Naissance + décès</w:t>
            </w:r>
          </w:p>
        </w:tc>
        <w:tc>
          <w:tcPr>
            <w:vAlign w:val="center"/>
          </w:tcPr>
          <w:p>
            <w:pPr>
              <w:pStyle w:val="Compact"/>
              <w:jc w:val="left"/>
            </w:pPr>
            <w:r>
              <w:t xml:space="preserve">Scénarios N-01 et D-01</w:t>
            </w:r>
          </w:p>
        </w:tc>
        <w:tc>
          <w:tcPr>
            <w:vAlign w:val="center"/>
          </w:tcPr>
          <w:p>
            <w:pPr>
              <w:pStyle w:val="Compact"/>
              <w:jc w:val="left"/>
            </w:pPr>
            <w:r>
              <w:t xml:space="preserve">Contrôles de pièces</w:t>
            </w:r>
          </w:p>
        </w:tc>
      </w:tr>
      <w:tr>
        <w:tc>
          <w:tcPr>
            <w:vAlign w:val="center"/>
          </w:tcPr>
          <w:p>
            <w:pPr>
              <w:pStyle w:val="Compact"/>
              <w:jc w:val="left"/>
            </w:pPr>
            <w:r>
              <w:t xml:space="preserve">S5 — Agents</w:t>
            </w:r>
          </w:p>
        </w:tc>
        <w:tc>
          <w:tcPr>
            <w:vAlign w:val="center"/>
          </w:tcPr>
          <w:p>
            <w:pPr>
              <w:pStyle w:val="Compact"/>
              <w:jc w:val="left"/>
            </w:pPr>
            <w:r>
              <w:t xml:space="preserve">File, contrôle, demande de complément</w:t>
            </w:r>
          </w:p>
        </w:tc>
        <w:tc>
          <w:tcPr>
            <w:vAlign w:val="center"/>
          </w:tcPr>
          <w:p>
            <w:pPr>
              <w:pStyle w:val="Compact"/>
              <w:jc w:val="left"/>
            </w:pPr>
            <w:r>
              <w:t xml:space="preserve">Flux complet citoyen-agent</w:t>
            </w:r>
          </w:p>
        </w:tc>
        <w:tc>
          <w:tcPr>
            <w:vAlign w:val="center"/>
          </w:tcPr>
          <w:p>
            <w:pPr>
              <w:pStyle w:val="Compact"/>
              <w:jc w:val="left"/>
            </w:pPr>
            <w:r>
              <w:t xml:space="preserve">Audit visible</w:t>
            </w:r>
          </w:p>
        </w:tc>
      </w:tr>
      <w:tr>
        <w:tc>
          <w:tcPr>
            <w:vAlign w:val="center"/>
          </w:tcPr>
          <w:p>
            <w:pPr>
              <w:pStyle w:val="Compact"/>
              <w:jc w:val="left"/>
            </w:pPr>
            <w:r>
              <w:t xml:space="preserve">S6 — Inclusion</w:t>
            </w:r>
          </w:p>
        </w:tc>
        <w:tc>
          <w:tcPr>
            <w:vAlign w:val="center"/>
          </w:tcPr>
          <w:p>
            <w:pPr>
              <w:pStyle w:val="Compact"/>
              <w:jc w:val="left"/>
            </w:pPr>
            <w:r>
              <w:t xml:space="preserve">SMS/USSD simulé, accessibilité</w:t>
            </w:r>
          </w:p>
        </w:tc>
        <w:tc>
          <w:tcPr>
            <w:vAlign w:val="center"/>
          </w:tcPr>
          <w:p>
            <w:pPr>
              <w:pStyle w:val="Compact"/>
              <w:jc w:val="left"/>
            </w:pPr>
            <w:r>
              <w:t xml:space="preserve">Démonstration hors smartphone</w:t>
            </w:r>
          </w:p>
        </w:tc>
        <w:tc>
          <w:tcPr>
            <w:vAlign w:val="center"/>
          </w:tcPr>
          <w:p>
            <w:pPr>
              <w:pStyle w:val="Compact"/>
              <w:jc w:val="left"/>
            </w:pPr>
            <w:r>
              <w:t xml:space="preserve">Confidentialité préservée</w:t>
            </w:r>
          </w:p>
        </w:tc>
      </w:tr>
      <w:tr>
        <w:tc>
          <w:tcPr>
            <w:vAlign w:val="center"/>
          </w:tcPr>
          <w:p>
            <w:pPr>
              <w:pStyle w:val="Compact"/>
              <w:jc w:val="left"/>
            </w:pPr>
            <w:r>
              <w:t xml:space="preserve">S7 — Qualité</w:t>
            </w:r>
          </w:p>
        </w:tc>
        <w:tc>
          <w:tcPr>
            <w:vAlign w:val="center"/>
          </w:tcPr>
          <w:p>
            <w:pPr>
              <w:pStyle w:val="Compact"/>
              <w:jc w:val="left"/>
            </w:pPr>
            <w:r>
              <w:t xml:space="preserve">Tests, revue juridique, vidéo démo</w:t>
            </w:r>
          </w:p>
        </w:tc>
        <w:tc>
          <w:tcPr>
            <w:vAlign w:val="center"/>
          </w:tcPr>
          <w:p>
            <w:pPr>
              <w:pStyle w:val="Compact"/>
              <w:jc w:val="left"/>
            </w:pPr>
            <w:r>
              <w:t xml:space="preserve">Rapport de tests et preuves</w:t>
            </w:r>
          </w:p>
        </w:tc>
        <w:tc>
          <w:tcPr>
            <w:vAlign w:val="center"/>
          </w:tcPr>
          <w:p>
            <w:pPr>
              <w:pStyle w:val="Compact"/>
              <w:jc w:val="left"/>
            </w:pPr>
            <w:r>
              <w:t xml:space="preserve">Pas de faux statut officiel</w:t>
            </w:r>
          </w:p>
        </w:tc>
      </w:tr>
      <w:tr>
        <w:tc>
          <w:tcPr>
            <w:vAlign w:val="center"/>
          </w:tcPr>
          <w:p>
            <w:pPr>
              <w:pStyle w:val="Compact"/>
              <w:jc w:val="left"/>
            </w:pPr>
            <w:r>
              <w:t xml:space="preserve">S8 — Candidature</w:t>
            </w:r>
          </w:p>
        </w:tc>
        <w:tc>
          <w:tcPr>
            <w:vAlign w:val="center"/>
          </w:tcPr>
          <w:p>
            <w:pPr>
              <w:pStyle w:val="Compact"/>
              <w:jc w:val="left"/>
            </w:pPr>
            <w:r>
              <w:t xml:space="preserve">Formulaire officiel et 3 PDF</w:t>
            </w:r>
          </w:p>
        </w:tc>
        <w:tc>
          <w:tcPr>
            <w:vAlign w:val="center"/>
          </w:tcPr>
          <w:p>
            <w:pPr>
              <w:pStyle w:val="Compact"/>
              <w:jc w:val="left"/>
            </w:pPr>
            <w:r>
              <w:t xml:space="preserve">Dépôt vérifiable et référence</w:t>
            </w:r>
          </w:p>
        </w:tc>
        <w:tc>
          <w:tcPr>
            <w:vAlign w:val="center"/>
          </w:tcPr>
          <w:p>
            <w:pPr>
              <w:pStyle w:val="Compact"/>
              <w:jc w:val="left"/>
            </w:pPr>
            <w:r>
              <w:t xml:space="preserve">Dates et limites confirmées</w:t>
            </w:r>
          </w:p>
        </w:tc>
      </w:tr>
    </w:tbl>
    <w:p>
      <w:pPr>
        <w:pStyle w:val="BodyText"/>
      </w:pPr>
      <w:r>
        <w:t xml:space="preserve">Cette séquence n’est pas une promesse de réalisation avant une date précise. Le calendrier dépend de l’effort réel et des arbitrages ; utiliser le dossier pour soumettre la proposition même sans produit développé.</w:t>
      </w:r>
    </w:p>
    <w:bookmarkEnd w:id="21"/>
    <w:bookmarkStart w:id="22" w:name="répartition-des-périmètres"/>
    <w:p>
      <w:pPr>
        <w:pStyle w:val="Heading2"/>
      </w:pPr>
      <w:r>
        <w:t xml:space="preserve">3. Répartition des périmètres</w:t>
      </w:r>
    </w:p>
    <w:p>
      <w:pPr>
        <w:pStyle w:val="FirstParagraph"/>
      </w:pPr>
      <w:r>
        <w:rPr>
          <w:b/>
          <w:bCs/>
        </w:rPr>
        <w:t xml:space="preserve">Dans la vision :</w:t>
      </w:r>
      <w:r>
        <w:t xml:space="preserve"> </w:t>
      </w:r>
      <w:r>
        <w:t xml:space="preserve">naissances, décès, dossier réutilisable, ARCH, SIMIdentité, accès universel.</w:t>
      </w:r>
      <w:r>
        <w:t xml:space="preserve"> </w:t>
      </w:r>
      <w:r>
        <w:rPr>
          <w:b/>
          <w:bCs/>
        </w:rPr>
        <w:t xml:space="preserve">Dans la démonstration :</w:t>
      </w:r>
      <w:r>
        <w:t xml:space="preserve"> </w:t>
      </w:r>
      <w:r>
        <w:t xml:space="preserve">naissances et décès + fondations transversales.</w:t>
      </w:r>
      <w:r>
        <w:t xml:space="preserve"> </w:t>
      </w:r>
      <w:r>
        <w:rPr>
          <w:b/>
          <w:bCs/>
        </w:rPr>
        <w:t xml:space="preserve">Plus tard après conventions :</w:t>
      </w:r>
      <w:r>
        <w:t xml:space="preserve"> </w:t>
      </w:r>
      <w:r>
        <w:t xml:space="preserve">systèmes officiels, accès ARCH, opérateurs, X-Road et délivrances réelles.</w:t>
      </w:r>
    </w:p>
    <w:bookmarkEnd w:id="22"/>
    <w:bookmarkStart w:id="23" w:name="checklist-de-dépôt"/>
    <w:p>
      <w:pPr>
        <w:pStyle w:val="Heading2"/>
      </w:pPr>
      <w:r>
        <w:t xml:space="preserve">4. Checklist de dépôt</w:t>
      </w:r>
    </w:p>
    <w:p>
      <w:pPr>
        <w:pStyle w:val="Compact"/>
        <w:numPr>
          <w:ilvl w:val="0"/>
          <w:numId w:val="1002"/>
        </w:numPr>
      </w:pPr>
      <w:r>
        <w:t xml:space="preserve">☐ Identité et type de participant exacts ; aucune expérience citoyenne inventée.</w:t>
      </w:r>
    </w:p>
    <w:p>
      <w:pPr>
        <w:pStyle w:val="Compact"/>
        <w:numPr>
          <w:ilvl w:val="0"/>
          <w:numId w:val="1002"/>
        </w:numPr>
      </w:pPr>
      <w:r>
        <w:t xml:space="preserve">☐ Secteur officiel adapté sélectionné : État civil, Identité et Voyages (si confirmé dans le formulaire).</w:t>
      </w:r>
    </w:p>
    <w:p>
      <w:pPr>
        <w:pStyle w:val="Compact"/>
        <w:numPr>
          <w:ilvl w:val="0"/>
          <w:numId w:val="1002"/>
        </w:numPr>
      </w:pPr>
      <w:r>
        <w:t xml:space="preserve">☐ Procédure concrète explicitée, au-delà du concept de plateforme.</w:t>
      </w:r>
    </w:p>
    <w:p>
      <w:pPr>
        <w:pStyle w:val="Compact"/>
        <w:numPr>
          <w:ilvl w:val="0"/>
          <w:numId w:val="1002"/>
        </w:numPr>
      </w:pPr>
      <w:r>
        <w:t xml:space="preserve">☐ Obstacles appuyés sur témoignages ou procédures vérifiées.</w:t>
      </w:r>
    </w:p>
    <w:p>
      <w:pPr>
        <w:pStyle w:val="Compact"/>
        <w:numPr>
          <w:ilvl w:val="0"/>
          <w:numId w:val="1002"/>
        </w:numPr>
      </w:pPr>
      <w:r>
        <w:t xml:space="preserve">☐ Solution de simplification expliquée en langage accessible.</w:t>
      </w:r>
    </w:p>
    <w:p>
      <w:pPr>
        <w:pStyle w:val="Compact"/>
        <w:numPr>
          <w:ilvl w:val="0"/>
          <w:numId w:val="1002"/>
        </w:numPr>
      </w:pPr>
      <w:r>
        <w:t xml:space="preserve">☐ Distinguer services existants, proposition Passoria et future intégration.</w:t>
      </w:r>
    </w:p>
    <w:p>
      <w:pPr>
        <w:pStyle w:val="Compact"/>
        <w:numPr>
          <w:ilvl w:val="0"/>
          <w:numId w:val="1002"/>
        </w:numPr>
      </w:pPr>
      <w:r>
        <w:t xml:space="preserve">☐ Dates du concours revérifiées : site/FAQ 29/10–12/11 ; fiche 28/10–11/11 au 22/10.</w:t>
      </w:r>
    </w:p>
    <w:p>
      <w:pPr>
        <w:pStyle w:val="Compact"/>
        <w:numPr>
          <w:ilvl w:val="0"/>
          <w:numId w:val="1002"/>
        </w:numPr>
      </w:pPr>
      <w:r>
        <w:t xml:space="preserve">☐ Maximum 3 pièces de 5 Mo chacune (FAQ).</w:t>
      </w:r>
    </w:p>
    <w:p>
      <w:pPr>
        <w:pStyle w:val="Compact"/>
        <w:numPr>
          <w:ilvl w:val="0"/>
          <w:numId w:val="1002"/>
        </w:numPr>
      </w:pPr>
      <w:r>
        <w:t xml:space="preserve">☐ Relecture des données et des engagements ; pas de partenaires présumés.</w:t>
      </w:r>
    </w:p>
    <w:p>
      <w:pPr>
        <w:pStyle w:val="Compact"/>
        <w:numPr>
          <w:ilvl w:val="0"/>
          <w:numId w:val="1002"/>
        </w:numPr>
      </w:pPr>
      <w:r>
        <w:t xml:space="preserve">☐ Conserver la référence de dépôt et la confirmation.</w:t>
      </w:r>
    </w:p>
    <w:bookmarkEnd w:id="23"/>
    <w:bookmarkStart w:id="24" w:name="pitch-de-90-secondes-texte-de-travail"/>
    <w:p>
      <w:pPr>
        <w:pStyle w:val="Heading2"/>
      </w:pPr>
      <w:r>
        <w:t xml:space="preserve">5. Pitch de 90 secondes — texte de travail</w:t>
      </w:r>
    </w:p>
    <w:p>
      <w:pPr>
        <w:pStyle w:val="FirstParagraph"/>
      </w:pPr>
      <w:r>
        <w:t xml:space="preserve">« Aujourd’hui, une démarche administrative peut obliger un citoyen à chercher les bonnes pièces, saisir plusieurs fois ses informations et se déplacer pour connaître la suite. Passoria simplifie ce parcours sans remplacer les administrations qui détiennent les registres et prennent les décisions. Notre solution propose un dossier documentaire réutilisable, une vérification préalable des pièces et un suivi clair des étapes. Nous démontrons ce mécanisme à travers deux moments de vie : la naissance et les formalités après un décès. Et parce qu’un service public ne doit pas exclure ceux qui n’ont pas Internet, Passoria prévoit aussi un accès par SMS, USSD et guichet assisté. Notre objectif est mesurable : moins de dossiers incomplets, une meilleure compréhension des procédures, et à terme moins de déplacements inutiles. Nous commencerons par une procédure pilote, avec l’administration compétente, avant d’étendre ce modèle à d’autres domaines. »</w:t>
      </w:r>
    </w:p>
    <w:bookmarkEnd w:id="24"/>
    <w:bookmarkStart w:id="25" w:name="questions-possibles-du-jury"/>
    <w:p>
      <w:pPr>
        <w:pStyle w:val="Heading2"/>
      </w:pPr>
      <w:r>
        <w:t xml:space="preserve">6. Questions possibles du jury</w:t>
      </w:r>
    </w:p>
    <w:p>
      <w:pPr>
        <w:pStyle w:val="FirstParagraph"/>
      </w:pPr>
      <w:r>
        <w:rPr>
          <w:b/>
          <w:bCs/>
        </w:rPr>
        <w:t xml:space="preserve">N’est-ce pas déjà service-public.bj ?</w:t>
      </w:r>
      <w:r>
        <w:t xml:space="preserve"> </w:t>
      </w:r>
      <w:r>
        <w:t xml:space="preserve">Non : il existe des services numériques ; Passoria cible la préparation, la continuité de suivi, la réutilisation autorisée et l’accès multicanal, en appui des outils existants.</w:t>
      </w:r>
    </w:p>
    <w:p>
      <w:pPr>
        <w:pStyle w:val="BodyText"/>
      </w:pPr>
      <w:r>
        <w:rPr>
          <w:b/>
          <w:bCs/>
        </w:rPr>
        <w:t xml:space="preserve">Avez-vous accès à l’ANIP ?</w:t>
      </w:r>
      <w:r>
        <w:t xml:space="preserve"> </w:t>
      </w:r>
      <w:r>
        <w:t xml:space="preserve">Non. Le prototype utilise des données fictives. Une connexion effective exige accord, habilitations et intégration sécurisée.</w:t>
      </w:r>
    </w:p>
    <w:p>
      <w:pPr>
        <w:pStyle w:val="BodyText"/>
      </w:pPr>
      <w:r>
        <w:rPr>
          <w:b/>
          <w:bCs/>
        </w:rPr>
        <w:t xml:space="preserve">Pourquoi six domaines ?</w:t>
      </w:r>
      <w:r>
        <w:t xml:space="preserve"> </w:t>
      </w:r>
      <w:r>
        <w:t xml:space="preserve">Pour démontrer la réutilisabilité de l’architecture ; la candidature repose sur une procédure précise et deux démonstrations état civil.</w:t>
      </w:r>
    </w:p>
    <w:p>
      <w:pPr>
        <w:pStyle w:val="BodyText"/>
      </w:pPr>
      <w:r>
        <w:rPr>
          <w:b/>
          <w:bCs/>
        </w:rPr>
        <w:t xml:space="preserve">Quels résultats ?</w:t>
      </w:r>
      <w:r>
        <w:t xml:space="preserve"> </w:t>
      </w:r>
      <w:r>
        <w:t xml:space="preserve">Les gains n’ont pas encore été mesurés. Nous proposons un protocole avant/après, avec indicateurs d’erreurs, de délais et de déplacements.</w:t>
      </w:r>
    </w:p>
    <w:p>
      <w:pPr>
        <w:pStyle w:val="BodyText"/>
      </w:pPr>
      <w:r>
        <w:rPr>
          <w:b/>
          <w:bCs/>
        </w:rPr>
        <w:t xml:space="preserve">Pourquoi l’IA ?</w:t>
      </w:r>
      <w:r>
        <w:t xml:space="preserve"> </w:t>
      </w:r>
      <w:r>
        <w:t xml:space="preserve">Uniquement pour assistance et précontrôle explicables là où elle améliore effectivement les résultats ; décision officielle toujours humaine ou conforme au cadre légal applicable.</w:t>
      </w:r>
    </w:p>
    <w:bookmarkEnd w:id="25"/>
    <w:bookmarkStart w:id="26" w:name="risques-de-livraison"/>
    <w:p>
      <w:pPr>
        <w:pStyle w:val="Heading2"/>
      </w:pPr>
      <w:r>
        <w:t xml:space="preserve">7. Risques de livraison</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shd w:fill="E5F2EF"/>
          </w:tcPr>
          <w:p>
            <w:pPr>
              <w:pStyle w:val="Compact"/>
              <w:jc w:val="left"/>
            </w:pPr>
            <w:r>
              <w:rPr>
                <w:b/>
              </w:rPr>
              <w:t xml:space="preserve">Risque</w:t>
            </w:r>
          </w:p>
        </w:tc>
        <w:tc>
          <w:tcPr>
            <w:vAlign w:val="center"/>
            <w:shd w:fill="E5F2EF"/>
          </w:tcPr>
          <w:p>
            <w:pPr>
              <w:pStyle w:val="Compact"/>
              <w:jc w:val="left"/>
            </w:pPr>
            <w:r>
              <w:rPr>
                <w:b/>
              </w:rPr>
              <w:t xml:space="preserve">Maîtrise</w:t>
            </w:r>
          </w:p>
        </w:tc>
        <w:tc>
          <w:tcPr>
            <w:vAlign w:val="center"/>
            <w:shd w:fill="E5F2EF"/>
          </w:tcPr>
          <w:p>
            <w:pPr>
              <w:pStyle w:val="Compact"/>
              <w:jc w:val="left"/>
            </w:pPr>
            <w:r>
              <w:rPr>
                <w:b/>
              </w:rPr>
              <w:t xml:space="preserve">Décision à prendre</w:t>
            </w:r>
          </w:p>
        </w:tc>
      </w:tr>
      <w:tr>
        <w:tc>
          <w:tcPr>
            <w:vAlign w:val="center"/>
          </w:tcPr>
          <w:p>
            <w:pPr>
              <w:pStyle w:val="Compact"/>
              <w:jc w:val="left"/>
            </w:pPr>
            <w:r>
              <w:t xml:space="preserve">Périmètre excessif</w:t>
            </w:r>
          </w:p>
        </w:tc>
        <w:tc>
          <w:tcPr>
            <w:vAlign w:val="center"/>
          </w:tcPr>
          <w:p>
            <w:pPr>
              <w:pStyle w:val="Compact"/>
              <w:jc w:val="left"/>
            </w:pPr>
            <w:r>
              <w:t xml:space="preserve">Geler MVP sur 2 parcours</w:t>
            </w:r>
          </w:p>
        </w:tc>
        <w:tc>
          <w:tcPr>
            <w:vAlign w:val="center"/>
          </w:tcPr>
          <w:p>
            <w:pPr>
              <w:pStyle w:val="Compact"/>
              <w:jc w:val="left"/>
            </w:pPr>
            <w:r>
              <w:t xml:space="preserve">Accepter la vision progressive</w:t>
            </w:r>
          </w:p>
        </w:tc>
      </w:tr>
      <w:tr>
        <w:tc>
          <w:tcPr>
            <w:vAlign w:val="center"/>
          </w:tcPr>
          <w:p>
            <w:pPr>
              <w:pStyle w:val="Compact"/>
              <w:jc w:val="left"/>
            </w:pPr>
            <w:r>
              <w:t xml:space="preserve">Documentation officielle incomplète</w:t>
            </w:r>
          </w:p>
        </w:tc>
        <w:tc>
          <w:tcPr>
            <w:vAlign w:val="center"/>
          </w:tcPr>
          <w:p>
            <w:pPr>
              <w:pStyle w:val="Compact"/>
              <w:jc w:val="left"/>
            </w:pPr>
            <w:r>
              <w:t xml:space="preserve">Vérifier avec service compétent</w:t>
            </w:r>
          </w:p>
        </w:tc>
        <w:tc>
          <w:tcPr>
            <w:vAlign w:val="center"/>
          </w:tcPr>
          <w:p>
            <w:pPr>
              <w:pStyle w:val="Compact"/>
              <w:jc w:val="left"/>
            </w:pPr>
            <w:r>
              <w:t xml:space="preserve">Ne pas figer les pièces sans source</w:t>
            </w:r>
          </w:p>
        </w:tc>
      </w:tr>
      <w:tr>
        <w:tc>
          <w:tcPr>
            <w:vAlign w:val="center"/>
          </w:tcPr>
          <w:p>
            <w:pPr>
              <w:pStyle w:val="Compact"/>
              <w:jc w:val="left"/>
            </w:pPr>
            <w:r>
              <w:t xml:space="preserve">Données sensibles</w:t>
            </w:r>
          </w:p>
        </w:tc>
        <w:tc>
          <w:tcPr>
            <w:vAlign w:val="center"/>
          </w:tcPr>
          <w:p>
            <w:pPr>
              <w:pStyle w:val="Compact"/>
              <w:jc w:val="left"/>
            </w:pPr>
            <w:r>
              <w:t xml:space="preserve">Faux noms, fausses pièces, simulation</w:t>
            </w:r>
          </w:p>
        </w:tc>
        <w:tc>
          <w:tcPr>
            <w:vAlign w:val="center"/>
          </w:tcPr>
          <w:p>
            <w:pPr>
              <w:pStyle w:val="Compact"/>
              <w:jc w:val="left"/>
            </w:pPr>
            <w:r>
              <w:t xml:space="preserve">Aucun import de vraies données</w:t>
            </w:r>
          </w:p>
        </w:tc>
      </w:tr>
      <w:tr>
        <w:tc>
          <w:tcPr>
            <w:vAlign w:val="center"/>
          </w:tcPr>
          <w:p>
            <w:pPr>
              <w:pStyle w:val="Compact"/>
              <w:jc w:val="left"/>
            </w:pPr>
            <w:r>
              <w:t xml:space="preserve">Accès partenaires absent</w:t>
            </w:r>
          </w:p>
        </w:tc>
        <w:tc>
          <w:tcPr>
            <w:vAlign w:val="center"/>
          </w:tcPr>
          <w:p>
            <w:pPr>
              <w:pStyle w:val="Compact"/>
              <w:jc w:val="left"/>
            </w:pPr>
            <w:r>
              <w:t xml:space="preserve">Adaptateurs désactivés</w:t>
            </w:r>
          </w:p>
        </w:tc>
        <w:tc>
          <w:tcPr>
            <w:vAlign w:val="center"/>
          </w:tcPr>
          <w:p>
            <w:pPr>
              <w:pStyle w:val="Compact"/>
              <w:jc w:val="left"/>
            </w:pPr>
            <w:r>
              <w:t xml:space="preserve">Candidature sans intégration réelle</w:t>
            </w:r>
          </w:p>
        </w:tc>
      </w:tr>
      <w:tr>
        <w:tc>
          <w:tcPr>
            <w:vAlign w:val="center"/>
          </w:tcPr>
          <w:p>
            <w:pPr>
              <w:pStyle w:val="Compact"/>
              <w:jc w:val="left"/>
            </w:pPr>
            <w:r>
              <w:t xml:space="preserve">Problème de marque</w:t>
            </w:r>
          </w:p>
        </w:tc>
        <w:tc>
          <w:tcPr>
            <w:vAlign w:val="center"/>
          </w:tcPr>
          <w:p>
            <w:pPr>
              <w:pStyle w:val="Compact"/>
              <w:jc w:val="left"/>
            </w:pPr>
            <w:r>
              <w:t xml:space="preserve">Vérification juridique/domaines</w:t>
            </w:r>
          </w:p>
        </w:tc>
        <w:tc>
          <w:tcPr>
            <w:vAlign w:val="center"/>
          </w:tcPr>
          <w:p>
            <w:pPr>
              <w:pStyle w:val="Compact"/>
              <w:jc w:val="left"/>
            </w:pPr>
            <w:r>
              <w:t xml:space="preserve">Nom de travail seulement</w:t>
            </w:r>
          </w:p>
        </w:tc>
      </w:tr>
      <w:tr>
        <w:tc>
          <w:tcPr>
            <w:vAlign w:val="center"/>
          </w:tcPr>
          <w:p>
            <w:pPr>
              <w:pStyle w:val="Compact"/>
              <w:jc w:val="left"/>
            </w:pPr>
            <w:r>
              <w:t xml:space="preserve">Dépôt tardif</w:t>
            </w:r>
          </w:p>
        </w:tc>
        <w:tc>
          <w:tcPr>
            <w:vAlign w:val="center"/>
          </w:tcPr>
          <w:p>
            <w:pPr>
              <w:pStyle w:val="Compact"/>
              <w:jc w:val="left"/>
            </w:pPr>
            <w:r>
              <w:t xml:space="preserve">Préparer pour fermeture la plus précoce</w:t>
            </w:r>
          </w:p>
        </w:tc>
        <w:tc>
          <w:tcPr>
            <w:vAlign w:val="center"/>
          </w:tcPr>
          <w:p>
            <w:pPr>
              <w:pStyle w:val="Compact"/>
              <w:jc w:val="left"/>
            </w:pPr>
            <w:r>
              <w:t xml:space="preserve">Revérifier calendrier le jour du dépôt</w:t>
            </w:r>
          </w:p>
        </w:tc>
      </w:tr>
    </w:tbl>
    <w:bookmarkEnd w:id="26"/>
    <w:bookmarkStart w:id="27" w:name="livrables-de-preuve"/>
    <w:p>
      <w:pPr>
        <w:pStyle w:val="Heading2"/>
      </w:pPr>
      <w:r>
        <w:t xml:space="preserve">8. Livrables de preuve</w:t>
      </w:r>
    </w:p>
    <w:p>
      <w:pPr>
        <w:pStyle w:val="FirstParagraph"/>
      </w:pPr>
      <w:r>
        <w:t xml:space="preserve">Captures annotées, vidéo de démonstration courte, tableau AS-IS/TO-BE, protocole d’évaluation et liens vers les sources officielles. Aucun chiffre ou résultat d’usager ne sera présenté comme observé avant collecte réelle.</w:t>
      </w:r>
    </w:p>
    <w:bookmarkEnd w:id="27"/>
    <w:bookmarkEnd w:id="28"/>
    <w:sectPr w:rsidR="00FC693F" w:rsidRPr="0006063C" w:rsidSect="00034616">
      <w:headerReference r:id="rId9" w:type="default"/>
      <w:footerReference r:id="rId10" w:type="default"/>
      <w:pgSz w:h="15840" w:w="12240"/>
      <w:pgMar w:bottom="1077" w:footer="720" w:gutter="0" w:header="720" w:left="1162" w:right="1162" w:top="110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PASSORIA · Toutes vos démarches, un seul espace.  |  Non officiel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PASSORIA  |  DOCUMENT DE TRAVAIL  •  22 OCTOBRE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2303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w:asciiTheme="majorHAnsi" w:cstheme="majorBidi" w:eastAsiaTheme="majorEastAsia" w:hAnsi="Aptos" w:hAnsiTheme="majorHAnsi"/>
      <w:b/>
      <w:bCs/>
      <w:color w:val="11655B"/>
      <w:sz w:val="32"/>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w:asciiTheme="majorHAnsi" w:cstheme="majorBidi" w:eastAsiaTheme="majorEastAsia" w:hAnsi="Aptos" w:hAnsiTheme="majorHAnsi"/>
      <w:b/>
      <w:bCs/>
      <w:color w:val="195B57"/>
      <w:sz w:val="25"/>
      <w:szCs w:val="26"/>
    </w:rPr>
  </w:style>
  <w:style w:styleId="Heading3" w:type="paragraph">
    <w:name w:val="heading 3"/>
    <w:basedOn w:val="Normal"/>
    <w:next w:val="Normal"/>
    <w:link w:val="Heading3Char"/>
    <w:uiPriority w:val="9"/>
    <w:unhideWhenUsed/>
    <w:qFormat/>
    <w:rsid w:val="00FC693F"/>
    <w:pPr>
      <w:keepNext/>
      <w:keepLines/>
      <w:spacing w:after="120" w:before="280"/>
      <w:outlineLvl w:val="2"/>
    </w:pPr>
    <w:rPr>
      <w:rFonts w:ascii="Aptos" w:asciiTheme="majorHAnsi" w:cstheme="majorBidi" w:eastAsiaTheme="majorEastAsia" w:hAnsi="Aptos" w:hAnsiTheme="majorHAnsi"/>
      <w:b/>
      <w:bCs/>
      <w:color w:val="2D5F62"/>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280" w:line="240" w:lineRule="auto"/>
      <w:contextualSpacing/>
    </w:pPr>
    <w:rPr>
      <w:rFonts w:ascii="Aptos Display" w:asciiTheme="majorHAnsi" w:cstheme="majorBidi" w:eastAsiaTheme="majorEastAsia" w:hAnsi="Aptos Display" w:hAnsiTheme="majorHAnsi"/>
      <w:b/>
      <w:color w:val="12524B"/>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Plan de Realisation et Pitch Passoria</dc:title>
  <dc:creator>Passoria — document de conception</dc:creator>
  <cp:keywords/>
  <dcterms:created xsi:type="dcterms:W3CDTF">2026-10-22T20:25:35Z</dcterms:created>
  <dcterms:modified xsi:type="dcterms:W3CDTF">2026-10-22T20:25:35Z</dcterms:modified>
</cp:coreProperties>
</file>

<file path=docProps/custom.xml><?xml version="1.0" encoding="utf-8"?>
<Properties xmlns="http://schemas.openxmlformats.org/officeDocument/2006/custom-properties" xmlns:vt="http://schemas.openxmlformats.org/officeDocument/2006/docPropsVTypes"/>
</file>