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D9D9D9"/>
  <w:body>
    <w:p>
      <w:r>
        <w:drawing>
          <wp:anchor distT="0" distB="0" distL="0" distR="0" simplePos="0" allowOverlap="1" behindDoc="0" locked="0" layoutInCell="1" relativeHeight="952500">
            <wp:simplePos x="0" y="0"/>
            <wp:positionH relativeFrom="leftMargin">
              <wp:posOffset>814400</wp:posOffset>
            </wp:positionH>
            <wp:positionV relativeFrom="topMargin">
              <wp:posOffset>1014400</wp:posOffset>
            </wp:positionV>
            <wp:extent cx="952500" cy="9525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50000" w:h="1000" w:x="300" w:y="400" w:hAnchor="margin" w:vAnchor="margin"/>
        <w:jc w:val="center"/>
      </w:pPr>
      <w:r>
        <w:rPr>
          <w:color w:val="000000"/>
          <w:sz w:val="24pt"/>
          <w:szCs w:val="24pt"/>
          <w:rFonts w:ascii="Calibri Light" w:cs="Calibri Light" w:eastAsia="Calibri Light" w:hAnsi="Calibri Light"/>
        </w:rPr>
        <w:t xml:space="preserve">Geospatial Intelligence Block Report</w:t>
      </w:r>
      <w:r>
        <w:rPr>
          <w:color w:val="595959"/>
          <w:sz w:val="28pt"/>
          <w:szCs w:val="28pt"/>
          <w:rFonts w:ascii="Verdana" w:cs="Verdana" w:eastAsia="Verdana" w:hAnsi="Verdana"/>
        </w:rPr>
        <w:br/>
        <w:br/>
        <w:t xml:space="preserve">ACTION AREA I</w:t>
      </w:r>
      <w:r>
        <w:rPr>
          <w:b/>
          <w:bCs/>
          <w:color w:val="4A442A"/>
          <w:sz w:val="54pt"/>
          <w:szCs w:val="54pt"/>
          <w:rFonts w:ascii="Arial" w:cs="Arial" w:eastAsia="Arial" w:hAnsi="Arial"/>
        </w:rPr>
        <w:br/>
        <w:t xml:space="preserve">BLOCK AC</w:t>
      </w:r>
    </w:p>
    <w:p>
      <w:r>
        <w:drawing>
          <wp:anchor distT="0" distB="0" distL="0" distR="0" simplePos="0" allowOverlap="1" behindDoc="0" locked="0" layoutInCell="1" relativeHeight="952500">
            <wp:simplePos x="0" y="0"/>
            <wp:positionH relativeFrom="rightMargin">
              <wp:posOffset>-814400</wp:posOffset>
            </wp:positionH>
            <wp:positionV relativeFrom="topMargin">
              <wp:posOffset>1014400</wp:posOffset>
            </wp:positionV>
            <wp:extent cx="1047750" cy="9525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3476625">
            <wp:simplePos x="0" y="0"/>
            <wp:positionH relativeFrom="leftMargin">
              <wp:posOffset>814400</wp:posOffset>
            </wp:positionH>
            <wp:positionV relativeFrom="topMargin">
              <wp:posOffset>3160000</wp:posOffset>
            </wp:positionV>
            <wp:extent cx="4762500" cy="34766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tblpX="14cm" w:tblpY="7.9cm"/>
        <w:tblW w:type="auto" w:w="11.74cm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2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BLOCK/AC</w:t>
            </w:r>
          </w:p>
        </w:tc>
        <w:tc>
          <w:tcPr>
            <w:tcW w:type="auto" w:w="75%"/>
            <w:gridSpan w:val="2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Akash Adhikary &amp; Subhendu Kumar Panja</w:t>
            </w:r>
          </w:p>
        </w:tc>
      </w:tr>
      <w:tr>
        <w:trPr>
          <w:trHeight w:val="3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Date: 12/01/2023</w:t>
            </w:r>
          </w:p>
        </w:tc>
        <w:tc>
          <w:tcPr>
            <w:tcW w:type="auto" w:w="35%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P: +91 9163827816</w:t>
            </w:r>
          </w:p>
        </w:tc>
        <w:tc>
          <w:tcPr>
            <w:tcW w:type="auto" w:w="40%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Y: akash.adhikary@shanta.in
  &amp;
  subhendu.panja@shanta.in</w:t>
            </w:r>
          </w:p>
        </w:tc>
      </w:tr>
      <w:tr>
        <w:trPr>
          <w:trHeight w:val="4.6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STATEMENT OF CONFIDENTIALITY</w:t>
            </w:r>
          </w:p>
        </w:tc>
        <w:tc>
          <w:tcPr>
            <w:tcW w:type="auto" w:w="75%"/>
            <w:gridSpan w:val="2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This report is a part of an ongoing contract with Newtown Kolkata Development Authority and is issued for parties  under contract only. Terms and Conditions of contract preside over all parties and their actors.</w:t>
            </w:r>
          </w:p>
        </w:tc>
      </w:tr>
    </w:tbl>
    <w:p>
      <w:pPr>
        <w:framePr w:w="2250" w:h="1000" w:x="12500" w:y="2700" w:hAnchor="margin" w:vAnchor="margin"/>
      </w:pPr>
      <w:r>
        <w:rPr>
          <w:color w:val="7E7E7E"/>
          <w:sz w:val="12pt"/>
          <w:szCs w:val="12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6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tbl>
      <w:tblPr>
        <w:tblpPr w:tblpX="0cm" w:tblpY="0.5cm"/>
        <w:tblW w:type="auto" w:w="13.97cm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0.6cm" w:hRule="exact"/>
        </w:trPr>
        <w:tc>
          <w:tcPr>
            <w:tcW w:type="auto" w:w="40%"/>
            <w:gridSpan w:val="2"/>
            <w:vMerge w:val="restart"/>
            <w:tcBorders>
              <w:bottom w:val="thick" w:color="000000" w:sz="15"/>
            </w:tcBorders>
            <w:vAlign w:val="center"/>
          </w:tcPr>
          <w:p>
            <w:r>
              <w:rPr>
                <w:b/>
                <w:bCs/>
              </w:rPr>
              <w:t xml:space="preserve">Total Area of Block</w:t>
            </w:r>
          </w:p>
        </w:tc>
        <w:tc>
          <w:tcPr>
            <w:tcW w:type="auto" w:w="20%"/>
          </w:tcPr>
          <w:p>
            <w:r>
              <w:t xml:space="preserve">Area in Sq. Km.</w:t>
            </w:r>
          </w:p>
        </w:tc>
        <w:tc>
          <w:tcPr>
            <w:tcW w:type="auto" w:w="20%"/>
          </w:tcPr>
          <w:p>
            <w:r>
              <w:t xml:space="preserve">Area in Sq. Mt.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Area in Acres.</w:t>
            </w:r>
          </w:p>
        </w:tc>
      </w:tr>
      <w:tr>
        <w:trPr>
          <w:trHeight w:val="0.6cm" w:hRule="exact"/>
        </w:trPr>
        <w:tc>
          <w:tcPr>
            <w:gridSpan w:val="2"/>
            <w:vMerge w:val="continue"/>
            <w:tcBorders>
              <w:bottom w:val="thick" w:color="000000" w:sz="15"/>
            </w:tcBorders>
          </w:tcPr>
          <w:p/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0.14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142129.41</w:t>
            </w:r>
          </w:p>
        </w:tc>
        <w:tc>
          <w:tcPr>
            <w:tcW w:type="auto" w:w="20%"/>
            <w:tcBorders>
              <w:bottom w:val="thick" w:color="000000" w:sz="15"/>
              <w:right w:val="thick" w:color="000000" w:sz="15"/>
            </w:tcBorders>
          </w:tcPr>
          <w:p>
            <w:r>
              <w:t xml:space="preserve">35.12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</w:tcPr>
          <w:p>
            <w:r>
              <w:rPr>
                <w:b/>
                <w:bCs/>
              </w:rPr>
              <w:t xml:space="preserve">Structure of Block</w:t>
            </w:r>
          </w:p>
        </w:tc>
        <w:tc>
          <w:tcPr>
            <w:tcW w:type="auto" w:w="40%"/>
            <w:gridSpan w:val="2"/>
          </w:tcPr>
          <w:p>
            <w:r>
              <w:rPr>
                <w:b/>
                <w:bCs/>
              </w:rPr>
              <w:t xml:space="preserve">Boundary Area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rPr>
                <w:b/>
                <w:bCs/>
              </w:rPr>
              <w:t xml:space="preserve">Total % Area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</w:tcPr>
          <w:p/>
        </w:tc>
        <w:tc>
          <w:tcPr>
            <w:tcW w:type="auto" w:w="20%"/>
          </w:tcPr>
          <w:p>
            <w:r>
              <w:t xml:space="preserve">In Sq. Mt.</w:t>
            </w:r>
          </w:p>
        </w:tc>
        <w:tc>
          <w:tcPr>
            <w:tcW w:type="auto" w:w="20%"/>
          </w:tcPr>
          <w:p>
            <w:r>
              <w:t xml:space="preserve">In Acres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100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  <w:vAlign w:val="center"/>
          </w:tcPr>
          <w:p>
            <w:r>
              <w:t xml:space="preserve">Private Space</w:t>
            </w:r>
          </w:p>
        </w:tc>
        <w:tc>
          <w:tcPr>
            <w:tcW w:type="auto" w:w="20%"/>
          </w:tcPr>
          <w:p/>
        </w:tc>
        <w:tc>
          <w:tcPr>
            <w:tcW w:type="auto" w:w="20%"/>
          </w:tcPr>
          <w:p/>
        </w:tc>
        <w:tc>
          <w:tcPr>
            <w:tcW w:type="auto" w:w="20%"/>
            <w:tcBorders>
              <w:right w:val="thick" w:color="000000" w:sz="15"/>
            </w:tcBorders>
          </w:tcPr>
          <w:p/>
        </w:tc>
      </w:tr>
      <w:tr>
        <w:trPr>
          <w:trHeight w:val="0.6cm" w:hRule="exact"/>
        </w:trPr>
        <w:tc>
          <w:tcPr>
            <w:tcW w:type="auto" w:w="10%"/>
            <w:vMerge w:val="restart"/>
          </w:tcPr>
          <w:p/>
        </w:tc>
        <w:tc>
          <w:tcPr>
            <w:tcW w:type="auto" w:w="30%"/>
            <w:vAlign w:val="center"/>
          </w:tcPr>
          <w:p>
            <w:r>
              <w:t xml:space="preserve">Private Commercial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0.00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0.00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Residential</w:t>
            </w:r>
          </w:p>
        </w:tc>
        <w:tc>
          <w:tcPr>
            <w:tcW w:type="auto" w:w="20%"/>
          </w:tcPr>
          <w:p>
            <w:r>
              <w:t xml:space="preserve">76473.75</w:t>
            </w:r>
          </w:p>
        </w:tc>
        <w:tc>
          <w:tcPr>
            <w:tcW w:type="auto" w:w="20%"/>
          </w:tcPr>
          <w:p>
            <w:r>
              <w:t xml:space="preserve">18.90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53.81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Govt. Commercial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0.00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0.00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Housing Complex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0.00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0.00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  <w:vAlign w:val="center"/>
          </w:tcPr>
          <w:p>
            <w:r>
              <w:t xml:space="preserve">Public Space</w:t>
            </w:r>
          </w:p>
        </w:tc>
        <w:tc>
          <w:tcPr>
            <w:tcW w:type="auto" w:w="20%"/>
          </w:tcPr>
          <w:p/>
        </w:tc>
        <w:tc>
          <w:tcPr>
            <w:tcW w:type="auto" w:w="20%"/>
          </w:tcPr>
          <w:p/>
        </w:tc>
        <w:tc>
          <w:tcPr>
            <w:tcW w:type="auto" w:w="20%"/>
            <w:tcBorders>
              <w:right w:val="thick" w:color="000000" w:sz="15"/>
            </w:tcBorders>
          </w:tcPr>
          <w:p/>
        </w:tc>
      </w:tr>
      <w:tr>
        <w:trPr>
          <w:trHeight w:val="0.6cm" w:hRule="exact"/>
        </w:trPr>
        <w:tc>
          <w:tcPr>
            <w:tcW w:type="auto" w:w="10%"/>
            <w:vMerge w:val="restart"/>
          </w:tcPr>
          <w:p/>
        </w:tc>
        <w:tc>
          <w:tcPr>
            <w:tcW w:type="auto" w:w="30%"/>
            <w:vAlign w:val="center"/>
          </w:tcPr>
          <w:p>
            <w:r>
              <w:t xml:space="preserve">Government</w:t>
            </w:r>
          </w:p>
        </w:tc>
        <w:tc>
          <w:tcPr>
            <w:tcW w:type="auto" w:w="20%"/>
          </w:tcPr>
          <w:p>
            <w:r>
              <w:t xml:space="preserve">14259.07</w:t>
            </w:r>
          </w:p>
        </w:tc>
        <w:tc>
          <w:tcPr>
            <w:tcW w:type="auto" w:w="20%"/>
          </w:tcPr>
          <w:p>
            <w:r>
              <w:t xml:space="preserve">3.52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10.03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Motorable Roads</w:t>
            </w:r>
          </w:p>
        </w:tc>
        <w:tc>
          <w:tcPr>
            <w:tcW w:type="auto" w:w="20%"/>
          </w:tcPr>
          <w:p>
            <w:r>
              <w:t xml:space="preserve">19495.55</w:t>
            </w:r>
          </w:p>
        </w:tc>
        <w:tc>
          <w:tcPr>
            <w:tcW w:type="auto" w:w="20%"/>
          </w:tcPr>
          <w:p>
            <w:r>
              <w:t xml:space="preserve">4.82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13.72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Footpath</w:t>
            </w:r>
          </w:p>
        </w:tc>
        <w:tc>
          <w:tcPr>
            <w:tcW w:type="auto" w:w="20%"/>
          </w:tcPr>
          <w:p>
            <w:r>
              <w:t xml:space="preserve">4873.41</w:t>
            </w:r>
          </w:p>
        </w:tc>
        <w:tc>
          <w:tcPr>
            <w:tcW w:type="auto" w:w="20%"/>
          </w:tcPr>
          <w:p>
            <w:r>
              <w:t xml:space="preserve">1.20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3.43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Cycle Track</w:t>
            </w:r>
          </w:p>
        </w:tc>
        <w:tc>
          <w:tcPr>
            <w:tcW w:type="auto" w:w="20%"/>
          </w:tcPr>
          <w:p>
            <w:r>
              <w:t xml:space="preserve">584.46</w:t>
            </w:r>
          </w:p>
        </w:tc>
        <w:tc>
          <w:tcPr>
            <w:tcW w:type="auto" w:w="20%"/>
          </w:tcPr>
          <w:p>
            <w:r>
              <w:t xml:space="preserve">0.14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0.41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Parks and Green</w:t>
            </w:r>
          </w:p>
        </w:tc>
        <w:tc>
          <w:tcPr>
            <w:tcW w:type="auto" w:w="20%"/>
          </w:tcPr>
          <w:p>
            <w:r>
              <w:t xml:space="preserve">14430.05</w:t>
            </w:r>
          </w:p>
        </w:tc>
        <w:tc>
          <w:tcPr>
            <w:tcW w:type="auto" w:w="20%"/>
          </w:tcPr>
          <w:p>
            <w:r>
              <w:t xml:space="preserve">3.57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10.15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Waterbody</w:t>
            </w:r>
          </w:p>
        </w:tc>
        <w:tc>
          <w:tcPr>
            <w:tcW w:type="auto" w:w="20%"/>
          </w:tcPr>
          <w:p>
            <w:r>
              <w:t xml:space="preserve">701.82</w:t>
            </w:r>
          </w:p>
        </w:tc>
        <w:tc>
          <w:tcPr>
            <w:tcW w:type="auto" w:w="20%"/>
          </w:tcPr>
          <w:p>
            <w:r>
              <w:t xml:space="preserve">0.17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0.49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</w:tcPr>
          <w:p/>
        </w:tc>
        <w:tc>
          <w:tcPr>
            <w:tcW w:type="auto" w:w="20%"/>
          </w:tcPr>
          <w:p/>
        </w:tc>
        <w:tc>
          <w:tcPr>
            <w:tcW w:type="auto" w:w="20%"/>
          </w:tcPr>
          <w:p/>
        </w:tc>
        <w:tc>
          <w:tcPr>
            <w:tcW w:type="auto" w:w="20%"/>
            <w:tcBorders>
              <w:right w:val="thick" w:color="000000" w:sz="15"/>
            </w:tcBorders>
          </w:tcPr>
          <w:p/>
        </w:tc>
      </w:tr>
      <w:tr>
        <w:trPr>
          <w:trHeight w:val="0.6cm" w:hRule="exact"/>
        </w:trPr>
        <w:tc>
          <w:tcPr>
            <w:tcW w:type="auto" w:w="40%"/>
            <w:gridSpan w:val="2"/>
            <w:tcBorders>
              <w:bottom w:val="thick" w:color="000000" w:sz="15"/>
            </w:tcBorders>
            <w:vAlign w:val="center"/>
          </w:tcPr>
          <w:p>
            <w:r>
              <w:t xml:space="preserve">Other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11311.3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2.80</w:t>
            </w:r>
          </w:p>
        </w:tc>
        <w:tc>
          <w:tcPr>
            <w:tcW w:type="auto" w:w="20%"/>
            <w:tcBorders>
              <w:bottom w:val="thick" w:color="000000" w:sz="15"/>
              <w:right w:val="thick" w:color="000000" w:sz="15"/>
            </w:tcBorders>
          </w:tcPr>
          <w:p>
            <w:r>
              <w:t xml:space="preserve">7.96</w:t>
            </w:r>
          </w:p>
        </w:tc>
      </w:tr>
    </w:tbl>
    <w:tbl>
      <w:tblPr>
        <w:tblpPr w:tblpX="0cm" w:tblpY="12cm"/>
        <w:tblW w:type="auto" w:w="13.97cm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0.9cm" w:hRule="exact"/>
        </w:trPr>
        <w:tc>
          <w:tcPr>
            <w:tcW w:type="auto" w:w="100%"/>
            <w:gridSpan w:val="5"/>
            <w:tcBorders>
              <w:bottom w:val="thick" w:color="000000" w:sz="15"/>
              <w:right w:val="thick" w:color="000000" w:sz="15"/>
            </w:tcBorders>
            <w:vAlign w:val="center"/>
          </w:tcPr>
          <w:p>
            <w:r>
              <w:rPr>
                <w:b/>
                <w:bCs/>
              </w:rPr>
              <w:t xml:space="preserve">Occupancy</w:t>
            </w:r>
          </w:p>
        </w:tc>
      </w:tr>
      <w:tr>
        <w:trPr>
          <w:trHeight w:val="0.9cm" w:hRule="exact"/>
        </w:trPr>
        <w:tc>
          <w:tcPr>
            <w:tcW w:type="auto" w:w="20%"/>
          </w:tcPr>
          <w:p/>
        </w:tc>
        <w:tc>
          <w:tcPr>
            <w:tcW w:type="auto" w:w="20%"/>
          </w:tcPr>
          <w:p>
            <w:r>
              <w:t xml:space="preserve">Visibly Occupied</w:t>
            </w:r>
          </w:p>
        </w:tc>
        <w:tc>
          <w:tcPr>
            <w:tcW w:type="auto" w:w="20%"/>
          </w:tcPr>
          <w:p>
            <w:r>
              <w:t xml:space="preserve">Visibly Under Cons.</w:t>
            </w:r>
          </w:p>
        </w:tc>
        <w:tc>
          <w:tcPr>
            <w:tcW w:type="auto" w:w="20%"/>
          </w:tcPr>
          <w:p>
            <w:r>
              <w:t xml:space="preserve">Visibly Vacant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Total No. of Plots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Private Commercial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Residential</w:t>
            </w:r>
          </w:p>
        </w:tc>
        <w:tc>
          <w:tcPr>
            <w:tcW w:type="auto" w:w="20%"/>
          </w:tcPr>
          <w:p>
            <w:r>
              <w:t xml:space="preserve">157</w:t>
            </w:r>
          </w:p>
        </w:tc>
        <w:tc>
          <w:tcPr>
            <w:tcW w:type="auto" w:w="20%"/>
          </w:tcPr>
          <w:p>
            <w:r>
              <w:t xml:space="preserve">22</w:t>
            </w:r>
          </w:p>
        </w:tc>
        <w:tc>
          <w:tcPr>
            <w:tcW w:type="auto" w:w="20%"/>
          </w:tcPr>
          <w:p>
            <w:r>
              <w:t xml:space="preserve">50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229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Govt. Commercial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Housing Complex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</w:t>
            </w:r>
          </w:p>
        </w:tc>
      </w:tr>
      <w:tr>
        <w:trPr>
          <w:trHeight w:val="0.45cm" w:hRule="exact"/>
        </w:trPr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Government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3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1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7</w:t>
            </w:r>
          </w:p>
        </w:tc>
        <w:tc>
          <w:tcPr>
            <w:tcW w:type="auto" w:w="20%"/>
            <w:tcBorders>
              <w:bottom w:val="thick" w:color="000000" w:sz="15"/>
              <w:right w:val="thick" w:color="000000" w:sz="15"/>
            </w:tcBorders>
          </w:tcPr>
          <w:p>
            <w:r>
              <w:t xml:space="preserve">11</w:t>
            </w:r>
          </w:p>
        </w:tc>
      </w:tr>
    </w:tbl>
    <w:p>
      <w:pPr>
        <w:framePr w:w="7850" w:h="1000" w:x="50" w:y="9500" w:hAnchor="margin" w:vAnchor="margin"/>
        <w:pBdr>
          <w:top w:val="single" w:sz="7"/>
          <w:bottom w:val="single" w:sz="7"/>
          <w:left w:val="single" w:sz="7"/>
          <w:right w:val="single" w:sz="7"/>
        </w:pBdr>
      </w:pPr>
      <w:r>
        <w:t xml:space="preserve">**(Building Occupied: Sanctioned Plot, Which Have Received Completion Certificate, Plot Availing Construction Power, Plot Availing Permanent Water Connection, Per Plot Revenue Tax, Trade License Data Not Integrated)</w:t>
      </w:r>
    </w:p>
    <w:p>
      <w:r>
        <w:drawing>
          <wp:anchor distT="0" distB="0" distL="0" distR="0" simplePos="0" allowOverlap="1" behindDoc="0" locked="0" layoutInCell="1" relativeHeight="2381250">
            <wp:simplePos x="0" y="0"/>
            <wp:positionH relativeFrom="leftMargin">
              <wp:posOffset>6650000</wp:posOffset>
            </wp:positionH>
            <wp:positionV relativeFrom="topMargin">
              <wp:posOffset>2250000</wp:posOffset>
            </wp:positionV>
            <wp:extent cx="3333750" cy="2381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3800" w:h="500" w:x="9700" w:y="8000" w:hAnchor="margin" w:vAnchor="margin" w:xAlign="center" w:yAlign="top"/>
        <w:shd w:color="69C7E9" w:val="solid"/>
        <w:jc w:val="center"/>
      </w:pPr>
      <w:r>
        <w:rPr>
          <w:b/>
          <w:bCs/>
          <w:sz w:val="11pt"/>
          <w:szCs w:val="11pt"/>
        </w:rPr>
        <w:t xml:space="preserve">ACTION AREA - 01</w:t>
      </w:r>
      <w:r>
        <w:rPr>
          <w:b/>
          <w:bCs/>
          <w:sz w:val="11pt"/>
          <w:szCs w:val="11pt"/>
        </w:rPr>
        <w:br/>
        <w:t xml:space="preserve">AC Block</w:t>
      </w:r>
    </w:p>
    <w:p>
      <w:pPr>
        <w:framePr w:w="4200" w:h="1600" w:x="9600" w:y="400" w:hAnchor="margin" w:vAnchor="margin" w:xAlign="center" w:yAlign="top"/>
        <w:pBdr>
          <w:top w:val="single" w:color="FFFFFF" w:sz="20"/>
          <w:bottom w:val="single" w:color="FFFFFF" w:sz="20"/>
          <w:left w:val="single" w:color="FFFFFF" w:sz="20"/>
          <w:right w:val="single" w:color="FFFFFF" w:sz="20"/>
        </w:pBdr>
        <w:jc w:val="center"/>
      </w:pPr>
      <w:r>
        <w:rPr>
          <w:b/>
          <w:bCs/>
          <w:color w:val="4A442A"/>
          <w:sz w:val="30pt"/>
          <w:szCs w:val="30pt"/>
          <w:rFonts w:ascii="Arial" w:cs="Arial" w:eastAsia="Arial" w:hAnsi="Arial"/>
        </w:rPr>
        <w:t xml:space="preserve">Summary</w:t>
      </w:r>
      <w:r>
        <w:rPr>
          <w:b/>
          <w:bCs/>
          <w:color w:val="4A442A"/>
          <w:sz w:val="30pt"/>
          <w:szCs w:val="30pt"/>
          <w:rFonts w:ascii="Arial" w:cs="Arial" w:eastAsia="Arial" w:hAnsi="Arial"/>
        </w:rPr>
        <w:br/>
        <w:t xml:space="preserve">Report</w:t>
      </w:r>
    </w:p>
    <w:p>
      <w:pPr>
        <w:framePr w:w="2000" w:h="1500" w:x="12100" w:y="0" w:hAnchor="margin" w:vAnchor="margin"/>
      </w:pPr>
      <w:r>
        <w:rPr>
          <w:color w:val="7E7E7E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framePr w:w="2100" w:h="800" w:x="11750" w:y="1300" w:hAnchor="margin" w:vAnchor="margin"/>
        <w:pBdr>
          <w:bottom w:val="single" w:color="69C7E9" w:sz="40"/>
          <w:right w:val="single" w:color="69C7E9" w:sz="40"/>
        </w:pBdr>
      </w:pPr>
    </w:p>
    <w:sectPr>
      <w:footerReference w:type="default" r:id="rId7"/>
      <w:pgSz w:w="16838" w:h="11906" w:orient="landscape"/>
      <w:pgMar w:top="500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s349cre6zi7izdqabhu6f.png"/><Relationship Id="rId9" Type="http://schemas.openxmlformats.org/officeDocument/2006/relationships/image" Target="media/iieacqbn12vhb4jt4dbw8.png"/><Relationship Id="rId10" Type="http://schemas.openxmlformats.org/officeDocument/2006/relationships/image" Target="media/-lb7j-w529p8htj3keqdq.png"/><Relationship Id="rId11" Type="http://schemas.openxmlformats.org/officeDocument/2006/relationships/image" Target="media/y0czmd_447l63rsd1w9w_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2023-06-19T20:39:40.689Z</dcterms:created>
  <dcterms:modified xsi:type="dcterms:W3CDTF">2023-06-19T20:39:40.689Z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