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40"/>
          <w:szCs w:val="40"/>
        </w:rPr>
        <w:t xml:space="preserve">DORA Compliance in Third-Party Risk Management</w:t>
      </w:r>
    </w:p>
    <w:p>
      <w:pPr>
        <w:spacing w:after="400" w:before="120"/>
        <w:jc w:val="center"/>
      </w:pPr>
      <w:r>
        <w:rPr>
          <w:color w:val="2E6DA4"/>
          <w:sz w:val="28"/>
          <w:szCs w:val="28"/>
        </w:rPr>
        <w:t xml:space="preserve">A GRC Framework for Outsourced IT Contractors</w:t>
      </w:r>
    </w:p>
    <w:p>
      <w:pPr>
        <w:spacing w:before="100"/>
        <w:jc w:val="center"/>
      </w:pPr>
      <w:r>
        <w:rPr>
          <w:color w:val="666666"/>
          <w:sz w:val="22"/>
          <w:szCs w:val="22"/>
        </w:rPr>
        <w:t xml:space="preserve">Aligned with DORA (Regulation (EU) 2022/2554), Articles 28–30</w:t>
      </w:r>
    </w:p>
    <w:p>
      <w:pPr>
        <w:spacing w:after="600"/>
        <w:jc w:val="center"/>
      </w:pPr>
      <w:r>
        <w:rPr>
          <w:color w:val="666666"/>
          <w:sz w:val="22"/>
          <w:szCs w:val="22"/>
        </w:rPr>
        <w:t xml:space="preserve">and ISO/IEC 27001:2022 Annex A</w:t>
      </w:r>
    </w:p>
    <w:p>
      <w:pPr>
        <w:spacing w:before="800"/>
        <w:jc w:val="center"/>
      </w:pPr>
      <w:r>
        <w:rPr>
          <w:i/>
          <w:iCs/>
          <w:sz w:val="22"/>
          <w:szCs w:val="22"/>
        </w:rPr>
        <w:t xml:space="preserve">Role: GRC / Third-Party Risk Management Analyst (Student Project)</w:t>
      </w:r>
    </w:p>
    <w:p>
      <w:pPr>
        <w:spacing w:before="200"/>
        <w:jc w:val="center"/>
      </w:pPr>
      <w:r>
        <w:rPr>
          <w:color w:val="666666"/>
          <w:sz w:val="20"/>
          <w:szCs w:val="20"/>
        </w:rPr>
        <w:t xml:space="preserve">Prepared by Rahul — MSc Digital Security, EURECOM</w:t>
      </w:r>
    </w:p>
    <w:p>
      <w:pPr>
        <w:spacing w:before="1600"/>
        <w:jc w:val="center"/>
      </w:pPr>
      <w:r>
        <w:rPr>
          <w:i/>
          <w:iCs/>
          <w:color w:val="666666"/>
          <w:sz w:val="18"/>
          <w:szCs w:val="18"/>
        </w:rPr>
        <w:t xml:space="preserve">Simulated enterprise project — for portfolio and demonstration purposes only</w:t>
      </w:r>
    </w:p>
    <w:p>
      <w:r>
        <w:br w:type="page"/>
      </w:r>
    </w:p>
    <w:p>
      <w:pPr>
        <w:pStyle w:val="Heading1"/>
        <w:spacing w:after="16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t xml:space="preserve">1. Executive Summary</w:t>
      </w:r>
    </w:p>
    <w:p>
      <w:pPr>
        <w:spacing w:after="160"/>
      </w:pPr>
      <w:r>
        <w:rPr>
          <w:b w:val="false"/>
          <w:bCs w:val="false"/>
          <w:i w:val="false"/>
          <w:iCs w:val="false"/>
          <w:sz w:val="22"/>
          <w:szCs w:val="22"/>
        </w:rPr>
        <w:t xml:space="preserve">Financial entities routinely outsource software development and IT support to external vendors. This transfers day-to-day technical work off the books, but not the risk: under the Digital Operational Resilience Act (DORA) and ISO/IEC 27001, the financial entity remains fully accountable for cybersecurity and operational risks introduced by that outsourced personnel.</w:t>
      </w:r>
    </w:p>
    <w:p>
      <w:pPr>
        <w:spacing w:after="160"/>
      </w:pPr>
      <w:r>
        <w:rPr>
          <w:b w:val="false"/>
          <w:bCs w:val="false"/>
          <w:i w:val="false"/>
          <w:iCs w:val="false"/>
          <w:sz w:val="22"/>
          <w:szCs w:val="22"/>
        </w:rPr>
        <w:t xml:space="preserve">This project builds a working Third-Party Risk Management (TPRM) framework focused specifically on third-party people risk — the risk that comes from external staff being granted access to internal systems, source code, and sensitive data, rather than from the vendor's technology itself.</w:t>
      </w:r>
    </w:p>
    <w:p>
      <w:pPr>
        <w:spacing w:after="160"/>
      </w:pPr>
      <w:r>
        <w:rPr>
          <w:b w:val="false"/>
          <w:bCs w:val="false"/>
          <w:i w:val="false"/>
          <w:iCs w:val="false"/>
          <w:sz w:val="22"/>
          <w:szCs w:val="22"/>
        </w:rPr>
        <w:t xml:space="preserve">It demonstrates, end to end, how a GRC/TPRM analyst would identify, assess, approve, monitor, and eventually offboard vendor-supplied personnel, while keeping a documented, audit-ready evidence trail mapped directly to DORA Articles 28–30 and ISO/IEC 27001 Annex A.</w:t>
      </w:r>
    </w:p>
    <w:p>
      <w:pPr>
        <w:pStyle w:val="Heading2"/>
        <w:spacing w:after="120" w:before="240"/>
      </w:pPr>
      <w:r>
        <w:t xml:space="preserve">What this report contains</w:t>
      </w:r>
    </w:p>
    <w:p>
      <w:pPr>
        <w:pStyle w:val="ListParagraph"/>
        <w:numPr>
          <w:ilvl w:val="0"/>
          <w:numId w:val="1"/>
        </w:numPr>
        <w:spacing w:after="80"/>
      </w:pPr>
      <w:r>
        <w:t xml:space="preserve">A realistic scenario with two vendors of different risk tiers (not a single idealized case)</w:t>
      </w:r>
    </w:p>
    <w:p>
      <w:pPr>
        <w:pStyle w:val="ListParagraph"/>
        <w:numPr>
          <w:ilvl w:val="0"/>
          <w:numId w:val="1"/>
        </w:numPr>
        <w:spacing w:after="80"/>
      </w:pPr>
      <w:r>
        <w:t xml:space="preserve">A defined risk-scoring methodology, not just unexplained High/Medium/Low labels</w:t>
      </w:r>
    </w:p>
    <w:p>
      <w:pPr>
        <w:pStyle w:val="ListParagraph"/>
        <w:numPr>
          <w:ilvl w:val="0"/>
          <w:numId w:val="1"/>
        </w:numPr>
        <w:spacing w:after="80"/>
      </w:pPr>
      <w:r>
        <w:t xml:space="preserve">Seven working registers, each with 10+ entries and a mix of open and closed items</w:t>
      </w:r>
    </w:p>
    <w:p>
      <w:pPr>
        <w:pStyle w:val="ListParagraph"/>
        <w:numPr>
          <w:ilvl w:val="0"/>
          <w:numId w:val="1"/>
        </w:numPr>
        <w:spacing w:after="80"/>
      </w:pPr>
      <w:r>
        <w:t xml:space="preserve">Explicit mapping to DORA Articles 28, 29, and 30, and to ISO/IEC 27001 Annex A controls</w:t>
      </w:r>
    </w:p>
    <w:p>
      <w:pPr>
        <w:pStyle w:val="ListParagraph"/>
        <w:numPr>
          <w:ilvl w:val="0"/>
          <w:numId w:val="1"/>
        </w:numPr>
        <w:spacing w:after="80"/>
      </w:pPr>
      <w:r>
        <w:t xml:space="preserve">A Joiner–Mover–Leaver (JML) process with visual process flow</w:t>
      </w:r>
    </w:p>
    <w:p>
      <w:pPr>
        <w:pStyle w:val="ListParagraph"/>
        <w:numPr>
          <w:ilvl w:val="0"/>
          <w:numId w:val="1"/>
        </w:numPr>
        <w:spacing w:after="80"/>
      </w:pPr>
      <w:r>
        <w:t xml:space="preserve">Honest findings: four open governance gaps that a first-pass TPRM assessment would realistically surface</w:t>
      </w:r>
    </w:p>
    <w:p>
      <w:pPr>
        <w:pStyle w:val="Heading1"/>
        <w:spacing w:after="160" w:before="300"/>
      </w:pPr>
      <w:r>
        <w:t xml:space="preserve">2. Project Objective, Assumptions &amp; Scope</w:t>
      </w:r>
    </w:p>
    <w:p>
      <w:pPr>
        <w:pStyle w:val="Heading2"/>
        <w:spacing w:after="120" w:before="240"/>
      </w:pPr>
      <w:r>
        <w:t xml:space="preserve">2.1 Objective</w:t>
      </w:r>
    </w:p>
    <w:p>
      <w:pPr>
        <w:spacing w:after="160"/>
      </w:pPr>
      <w:r>
        <w:rPr>
          <w:b w:val="false"/>
          <w:bCs w:val="false"/>
          <w:i w:val="false"/>
          <w:iCs w:val="false"/>
          <w:sz w:val="22"/>
          <w:szCs w:val="22"/>
        </w:rPr>
        <w:t xml:space="preserve">To design and operate an end-to-end framework for managing the risk of vendor-supplied IT personnel who have access to source code, CI/CD pipelines, test environments, and limited production systems — covering onboarding, ongoing monitoring, incident handling, and offboarding — in a way that is defensible in a DORA/ISO 27001 audit.</w:t>
      </w:r>
    </w:p>
    <w:p>
      <w:pPr>
        <w:pStyle w:val="Heading2"/>
        <w:spacing w:after="120" w:before="240"/>
      </w:pPr>
      <w:r>
        <w:t xml:space="preserve">2.2 Key Assumptions</w:t>
      </w:r>
    </w:p>
    <w:p>
      <w:pPr>
        <w:pStyle w:val="ListParagraph"/>
        <w:numPr>
          <w:ilvl w:val="0"/>
          <w:numId w:val="1"/>
        </w:numPr>
        <w:spacing w:after="80"/>
      </w:pPr>
      <w:r>
        <w:t xml:space="preserve">The organization is a European financial institution and a DORA in-scope “financial entity”</w:t>
      </w:r>
    </w:p>
    <w:p>
      <w:pPr>
        <w:pStyle w:val="ListParagraph"/>
        <w:numPr>
          <w:ilvl w:val="0"/>
          <w:numId w:val="1"/>
        </w:numPr>
        <w:spacing w:after="80"/>
      </w:pPr>
      <w:r>
        <w:t xml:space="preserve">IT services are partially outsourced to external vendors; vendor staff are embedded within internal teams rather than working purely offsite</w:t>
      </w:r>
    </w:p>
    <w:p>
      <w:pPr>
        <w:pStyle w:val="ListParagraph"/>
        <w:numPr>
          <w:ilvl w:val="0"/>
          <w:numId w:val="1"/>
        </w:numPr>
        <w:spacing w:after="80"/>
      </w:pPr>
      <w:r>
        <w:t xml:space="preserve">Vendor-provided staff require access to source code repositories, test environments, CI/CD pipelines, and limited production data</w:t>
      </w:r>
    </w:p>
    <w:p>
      <w:pPr>
        <w:pStyle w:val="ListParagraph"/>
        <w:numPr>
          <w:ilvl w:val="0"/>
          <w:numId w:val="1"/>
        </w:numPr>
        <w:spacing w:after="80"/>
      </w:pPr>
      <w:r>
        <w:t xml:space="preserve">Outsourced personnel introduce operational, security, and compliance risk that the organization cannot delegate away</w:t>
      </w:r>
    </w:p>
    <w:p>
      <w:pPr>
        <w:pStyle w:val="ListParagraph"/>
        <w:numPr>
          <w:ilvl w:val="0"/>
          <w:numId w:val="1"/>
        </w:numPr>
        <w:spacing w:after="80"/>
      </w:pPr>
      <w:r>
        <w:t xml:space="preserve">The organization remains accountable for third-party actions under DORA Article 28, regardless of contractual outsourcing</w:t>
      </w:r>
    </w:p>
    <w:p>
      <w:pPr>
        <w:pStyle w:val="ListParagraph"/>
        <w:numPr>
          <w:ilvl w:val="0"/>
          <w:numId w:val="1"/>
        </w:numPr>
        <w:spacing w:after="80"/>
      </w:pPr>
      <w:r>
        <w:t xml:space="preserve">This is a simulated enterprise project created for learning and portfolio demonstration; all names, IDs, and dates are fictional</w:t>
      </w:r>
    </w:p>
    <w:p>
      <w:pPr>
        <w:pStyle w:val="Heading2"/>
        <w:spacing w:after="120" w:before="240"/>
      </w:pPr>
      <w:r>
        <w:t xml:space="preserve">2.3 Scope and Deliverables</w:t>
      </w:r>
    </w:p>
    <w:p>
      <w:pPr>
        <w:spacing w:after="160"/>
      </w:pPr>
      <w:r>
        <w:rPr>
          <w:b w:val="false"/>
          <w:bCs w:val="false"/>
          <w:i w:val="false"/>
          <w:iCs w:val="false"/>
          <w:sz w:val="22"/>
          <w:szCs w:val="22"/>
        </w:rPr>
        <w:t xml:space="preserve">The project delivers the practical artifacts a GRC/TPRM team would maintain, rather than a policy narrative alone:</w:t>
      </w:r>
    </w:p>
    <w:p>
      <w:pPr>
        <w:pStyle w:val="ListParagraph"/>
        <w:numPr>
          <w:ilvl w:val="0"/>
          <w:numId w:val="1"/>
        </w:numPr>
        <w:spacing w:after="80"/>
      </w:pPr>
      <w:r>
        <w:t xml:space="preserve">Vendor and outsourced-resource registers for visibility of external staff</w:t>
      </w:r>
    </w:p>
    <w:p>
      <w:pPr>
        <w:pStyle w:val="ListParagraph"/>
        <w:numPr>
          <w:ilvl w:val="0"/>
          <w:numId w:val="1"/>
        </w:numPr>
        <w:spacing w:after="80"/>
      </w:pPr>
      <w:r>
        <w:t xml:space="preserve">A risk register identifying people-related third-party risks and mitigation actions</w:t>
      </w:r>
    </w:p>
    <w:p>
      <w:pPr>
        <w:pStyle w:val="ListParagraph"/>
        <w:numPr>
          <w:ilvl w:val="0"/>
          <w:numId w:val="1"/>
        </w:numPr>
        <w:spacing w:after="80"/>
      </w:pPr>
      <w:r>
        <w:t xml:space="preserve">Access control and due-diligence records governing approvals and reviews</w:t>
      </w:r>
    </w:p>
    <w:p>
      <w:pPr>
        <w:pStyle w:val="ListParagraph"/>
        <w:numPr>
          <w:ilvl w:val="0"/>
          <w:numId w:val="1"/>
        </w:numPr>
        <w:spacing w:after="80"/>
      </w:pPr>
      <w:r>
        <w:t xml:space="preserve">Training, incident, and monitoring registers supporting ongoing oversight</w:t>
      </w:r>
    </w:p>
    <w:p>
      <w:pPr>
        <w:pStyle w:val="ListParagraph"/>
        <w:numPr>
          <w:ilvl w:val="0"/>
          <w:numId w:val="1"/>
        </w:numPr>
        <w:spacing w:after="80"/>
      </w:pPr>
      <w:r>
        <w:t xml:space="preserve">An exit-strategy register defining triggers and actions for vendor termination</w:t>
      </w:r>
    </w:p>
    <w:p>
      <w:pPr>
        <w:pStyle w:val="ListParagraph"/>
        <w:numPr>
          <w:ilvl w:val="0"/>
          <w:numId w:val="1"/>
        </w:numPr>
        <w:spacing w:after="80"/>
      </w:pPr>
      <w:r>
        <w:t xml:space="preserve">Control mappings demonstrating alignment with DORA (Art. 28–30) and ISO/IEC 27001 Annex A</w:t>
      </w:r>
    </w:p>
    <w:p>
      <w:pPr>
        <w:pStyle w:val="Heading2"/>
        <w:spacing w:after="120" w:before="240"/>
      </w:pPr>
      <w:r>
        <w:t xml:space="preserve">2.4 Role Performed</w:t>
      </w:r>
    </w:p>
    <w:p>
      <w:pPr>
        <w:spacing w:after="160"/>
      </w:pPr>
      <w:r>
        <w:rPr>
          <w:b w:val="false"/>
          <w:bCs w:val="false"/>
          <w:i w:val="false"/>
          <w:iCs w:val="false"/>
          <w:sz w:val="22"/>
          <w:szCs w:val="22"/>
        </w:rPr>
        <w:t xml:space="preserve">GRC / Third-Party Risk Management Analyst (Student Project) — responsible for identifying third-party people risks, maintaining governance registers, reviewing access controls, and supporting regulatory alignment.</w:t>
      </w:r>
    </w:p>
    <w:p>
      <w:r>
        <w:br w:type="page"/>
      </w:r>
    </w:p>
    <w:p>
      <w:pPr>
        <w:pStyle w:val="Heading1"/>
        <w:spacing w:after="160" w:before="300"/>
      </w:pPr>
      <w:r>
        <w:t xml:space="preserve">3. Vendor Overview</w:t>
      </w:r>
    </w:p>
    <w:p>
      <w:pPr>
        <w:spacing w:after="160"/>
      </w:pPr>
      <w:r>
        <w:rPr>
          <w:b w:val="false"/>
          <w:bCs w:val="false"/>
          <w:i w:val="false"/>
          <w:iCs w:val="false"/>
          <w:sz w:val="22"/>
          <w:szCs w:val="22"/>
        </w:rPr>
        <w:t xml:space="preserve">Two vendors are modelled with deliberately different risk profiles, to show that TPRM controls scale with risk tier rather than being applied uniformly to every engagement.</w:t>
      </w:r>
    </w:p>
    <w:p>
      <w:pPr>
        <w:pStyle w:val="Heading2"/>
        <w:spacing w:after="120" w:before="240"/>
      </w:pPr>
      <w:r>
        <w:t xml:space="preserve">3.1 Vendor A — ABC Technologies (High / Critical tier)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4E79" w:val="clear"/>
            <w:tcMar>
              <w:top w:type="dxa" w:w="60"/>
              <w:left w:type="dxa" w:w="80"/>
              <w:bottom w:type="dxa" w:w="60"/>
              <w:right w:type="dxa" w:w="80"/>
            </w:tcMar>
            <w:vAlign w:val="center"/>
          </w:tcPr>
          <w:p>
            <w:r>
              <w:rPr>
                <w:b/>
                <w:bCs/>
                <w:color w:val="FFFFFF"/>
                <w:sz w:val="18"/>
                <w:szCs w:val="18"/>
              </w:rPr>
              <w:t xml:space="preserve">Field</w:t>
            </w:r>
          </w:p>
        </w:tc>
        <w:tc>
          <w:tcPr>
            <w:tcW w:type="dxa" w:w="7680"/>
            <w:shd w:fill="1F4E79" w:val="clear"/>
            <w:tcMar>
              <w:top w:type="dxa" w:w="60"/>
              <w:left w:type="dxa" w:w="80"/>
              <w:bottom w:type="dxa" w:w="60"/>
              <w:right w:type="dxa" w:w="80"/>
            </w:tcMar>
            <w:vAlign w:val="center"/>
          </w:tcPr>
          <w:p>
            <w:r>
              <w:rPr>
                <w:b/>
                <w:bCs/>
                <w:color w:val="FFFFFF"/>
                <w:sz w:val="18"/>
                <w:szCs w:val="18"/>
              </w:rPr>
              <w:t xml:space="preserve">Detail</w:t>
            </w:r>
          </w:p>
        </w:tc>
      </w:tr>
      <w:tr>
        <w:tc>
          <w:tcPr>
            <w:tcW w:type="dxa" w:w="2400"/>
            <w:shd w:fill="FFFFFF" w:val="clear"/>
            <w:tcMar>
              <w:top w:type="dxa" w:w="60"/>
              <w:left w:type="dxa" w:w="80"/>
              <w:bottom w:type="dxa" w:w="60"/>
              <w:right w:type="dxa" w:w="80"/>
            </w:tcMar>
            <w:vAlign w:val="center"/>
          </w:tcPr>
          <w:p>
            <w:r>
              <w:rPr>
                <w:b w:val="false"/>
                <w:bCs w:val="false"/>
                <w:sz w:val="18"/>
                <w:szCs w:val="18"/>
              </w:rPr>
              <w:t xml:space="preserve">Vendor profile</w:t>
            </w:r>
          </w:p>
        </w:tc>
        <w:tc>
          <w:tcPr>
            <w:tcW w:type="dxa" w:w="7680"/>
            <w:shd w:fill="FFFFFF" w:val="clear"/>
            <w:tcMar>
              <w:top w:type="dxa" w:w="60"/>
              <w:left w:type="dxa" w:w="80"/>
              <w:bottom w:type="dxa" w:w="60"/>
              <w:right w:type="dxa" w:w="80"/>
            </w:tcMar>
            <w:vAlign w:val="center"/>
          </w:tcPr>
          <w:p>
            <w:r>
              <w:rPr>
                <w:b w:val="false"/>
                <w:bCs w:val="false"/>
                <w:sz w:val="18"/>
                <w:szCs w:val="18"/>
              </w:rPr>
              <w:t xml:space="preserve">External IT staffing and software services provider supplying developers and application support engineers</w:t>
            </w:r>
          </w:p>
        </w:tc>
      </w:tr>
      <w:tr>
        <w:tc>
          <w:tcPr>
            <w:tcW w:type="dxa" w:w="2400"/>
            <w:shd w:fill="F2F2F2" w:val="clear"/>
            <w:tcMar>
              <w:top w:type="dxa" w:w="60"/>
              <w:left w:type="dxa" w:w="80"/>
              <w:bottom w:type="dxa" w:w="60"/>
              <w:right w:type="dxa" w:w="80"/>
            </w:tcMar>
            <w:vAlign w:val="center"/>
          </w:tcPr>
          <w:p>
            <w:r>
              <w:rPr>
                <w:b w:val="false"/>
                <w:bCs w:val="false"/>
                <w:sz w:val="18"/>
                <w:szCs w:val="18"/>
              </w:rPr>
              <w:t xml:space="preserve">Engagement type</w:t>
            </w:r>
          </w:p>
        </w:tc>
        <w:tc>
          <w:tcPr>
            <w:tcW w:type="dxa" w:w="7680"/>
            <w:shd w:fill="F2F2F2" w:val="clear"/>
            <w:tcMar>
              <w:top w:type="dxa" w:w="60"/>
              <w:left w:type="dxa" w:w="80"/>
              <w:bottom w:type="dxa" w:w="60"/>
              <w:right w:type="dxa" w:w="80"/>
            </w:tcMar>
            <w:vAlign w:val="center"/>
          </w:tcPr>
          <w:p>
            <w:r>
              <w:rPr>
                <w:b w:val="false"/>
                <w:bCs w:val="false"/>
                <w:sz w:val="18"/>
                <w:szCs w:val="18"/>
              </w:rPr>
              <w:t xml:space="preserve">Resource outsourcing — vendor staff embedded within internal teams, performing day-to-day operational and development work under organizational direction</w:t>
            </w:r>
          </w:p>
        </w:tc>
      </w:tr>
      <w:tr>
        <w:tc>
          <w:tcPr>
            <w:tcW w:type="dxa" w:w="2400"/>
            <w:shd w:fill="FFFFFF" w:val="clear"/>
            <w:tcMar>
              <w:top w:type="dxa" w:w="60"/>
              <w:left w:type="dxa" w:w="80"/>
              <w:bottom w:type="dxa" w:w="60"/>
              <w:right w:type="dxa" w:w="80"/>
            </w:tcMar>
            <w:vAlign w:val="center"/>
          </w:tcPr>
          <w:p>
            <w:r>
              <w:rPr>
                <w:b w:val="false"/>
                <w:bCs w:val="false"/>
                <w:sz w:val="18"/>
                <w:szCs w:val="18"/>
              </w:rPr>
              <w:t xml:space="preserve">Services provided</w:t>
            </w:r>
          </w:p>
        </w:tc>
        <w:tc>
          <w:tcPr>
            <w:tcW w:type="dxa" w:w="7680"/>
            <w:shd w:fill="FFFFFF" w:val="clear"/>
            <w:tcMar>
              <w:top w:type="dxa" w:w="60"/>
              <w:left w:type="dxa" w:w="80"/>
              <w:bottom w:type="dxa" w:w="60"/>
              <w:right w:type="dxa" w:w="80"/>
            </w:tcMar>
            <w:vAlign w:val="center"/>
          </w:tcPr>
          <w:p>
            <w:r>
              <w:rPr>
                <w:b w:val="false"/>
                <w:bCs w:val="false"/>
                <w:sz w:val="18"/>
                <w:szCs w:val="18"/>
              </w:rPr>
              <w:t xml:space="preserve">Software development support; application and system support services</w:t>
            </w:r>
          </w:p>
        </w:tc>
      </w:tr>
      <w:tr>
        <w:tc>
          <w:tcPr>
            <w:tcW w:type="dxa" w:w="2400"/>
            <w:shd w:fill="F2F2F2" w:val="clear"/>
            <w:tcMar>
              <w:top w:type="dxa" w:w="60"/>
              <w:left w:type="dxa" w:w="80"/>
              <w:bottom w:type="dxa" w:w="60"/>
              <w:right w:type="dxa" w:w="80"/>
            </w:tcMar>
            <w:vAlign w:val="center"/>
          </w:tcPr>
          <w:p>
            <w:r>
              <w:rPr>
                <w:b w:val="false"/>
                <w:bCs w:val="false"/>
                <w:sz w:val="18"/>
                <w:szCs w:val="18"/>
              </w:rPr>
              <w:t xml:space="preserve">Systems accessed</w:t>
            </w:r>
          </w:p>
        </w:tc>
        <w:tc>
          <w:tcPr>
            <w:tcW w:type="dxa" w:w="7680"/>
            <w:shd w:fill="F2F2F2" w:val="clear"/>
            <w:tcMar>
              <w:top w:type="dxa" w:w="60"/>
              <w:left w:type="dxa" w:w="80"/>
              <w:bottom w:type="dxa" w:w="60"/>
              <w:right w:type="dxa" w:w="80"/>
            </w:tcMar>
            <w:vAlign w:val="center"/>
          </w:tcPr>
          <w:p>
            <w:r>
              <w:rPr>
                <w:b w:val="false"/>
                <w:bCs w:val="false"/>
                <w:sz w:val="18"/>
                <w:szCs w:val="18"/>
              </w:rPr>
              <w:t xml:space="preserve">Source code repositories, CI/CD pipelines, test environments, limited production systems</w:t>
            </w:r>
          </w:p>
        </w:tc>
      </w:tr>
      <w:tr>
        <w:tc>
          <w:tcPr>
            <w:tcW w:type="dxa" w:w="2400"/>
            <w:shd w:fill="FFFFFF" w:val="clear"/>
            <w:tcMar>
              <w:top w:type="dxa" w:w="60"/>
              <w:left w:type="dxa" w:w="80"/>
              <w:bottom w:type="dxa" w:w="60"/>
              <w:right w:type="dxa" w:w="80"/>
            </w:tcMar>
            <w:vAlign w:val="center"/>
          </w:tcPr>
          <w:p>
            <w:r>
              <w:rPr>
                <w:b w:val="false"/>
                <w:bCs w:val="false"/>
                <w:sz w:val="18"/>
                <w:szCs w:val="18"/>
              </w:rPr>
              <w:t xml:space="preserve">Geographical location</w:t>
            </w:r>
          </w:p>
        </w:tc>
        <w:tc>
          <w:tcPr>
            <w:tcW w:type="dxa" w:w="7680"/>
            <w:shd w:fill="FFFFFF" w:val="clear"/>
            <w:tcMar>
              <w:top w:type="dxa" w:w="60"/>
              <w:left w:type="dxa" w:w="80"/>
              <w:bottom w:type="dxa" w:w="60"/>
              <w:right w:type="dxa" w:w="80"/>
            </w:tcMar>
            <w:vAlign w:val="center"/>
          </w:tcPr>
          <w:p>
            <w:r>
              <w:rPr>
                <w:b w:val="false"/>
                <w:bCs w:val="false"/>
                <w:sz w:val="18"/>
                <w:szCs w:val="18"/>
              </w:rPr>
              <w:t xml:space="preserve">EU and offshore locations — raises data residency, regulatory, and oversight considerations</w:t>
            </w:r>
          </w:p>
        </w:tc>
      </w:tr>
      <w:tr>
        <w:tc>
          <w:tcPr>
            <w:tcW w:type="dxa" w:w="2400"/>
            <w:shd w:fill="F2F2F2" w:val="clear"/>
            <w:tcMar>
              <w:top w:type="dxa" w:w="60"/>
              <w:left w:type="dxa" w:w="80"/>
              <w:bottom w:type="dxa" w:w="60"/>
              <w:right w:type="dxa" w:w="80"/>
            </w:tcMar>
            <w:vAlign w:val="center"/>
          </w:tcPr>
          <w:p>
            <w:r>
              <w:rPr>
                <w:b w:val="false"/>
                <w:bCs w:val="false"/>
                <w:sz w:val="18"/>
                <w:szCs w:val="18"/>
              </w:rPr>
              <w:t xml:space="preserve">Data sensitivity</w:t>
            </w:r>
          </w:p>
        </w:tc>
        <w:tc>
          <w:tcPr>
            <w:tcW w:type="dxa" w:w="7680"/>
            <w:shd w:fill="F2F2F2" w:val="clear"/>
            <w:tcMar>
              <w:top w:type="dxa" w:w="60"/>
              <w:left w:type="dxa" w:w="80"/>
              <w:bottom w:type="dxa" w:w="60"/>
              <w:right w:type="dxa" w:w="80"/>
            </w:tcMar>
            <w:vAlign w:val="center"/>
          </w:tcPr>
          <w:p>
            <w:r>
              <w:rPr>
                <w:b w:val="false"/>
                <w:bCs w:val="false"/>
                <w:sz w:val="18"/>
                <w:szCs w:val="18"/>
              </w:rPr>
              <w:t xml:space="preserve">Customer-related and financial information</w:t>
            </w:r>
          </w:p>
        </w:tc>
      </w:tr>
      <w:tr>
        <w:tc>
          <w:tcPr>
            <w:tcW w:type="dxa" w:w="2400"/>
            <w:shd w:fill="FFFFFF" w:val="clear"/>
            <w:tcMar>
              <w:top w:type="dxa" w:w="60"/>
              <w:left w:type="dxa" w:w="80"/>
              <w:bottom w:type="dxa" w:w="60"/>
              <w:right w:type="dxa" w:w="80"/>
            </w:tcMar>
            <w:vAlign w:val="center"/>
          </w:tcPr>
          <w:p>
            <w:r>
              <w:rPr>
                <w:b w:val="false"/>
                <w:bCs w:val="false"/>
                <w:sz w:val="18"/>
                <w:szCs w:val="18"/>
              </w:rPr>
              <w:t xml:space="preserve">Risk tier</w:t>
            </w:r>
          </w:p>
        </w:tc>
        <w:tc>
          <w:tcPr>
            <w:tcW w:type="dxa" w:w="7680"/>
            <w:shd w:fill="FFFFFF" w:val="clear"/>
            <w:tcMar>
              <w:top w:type="dxa" w:w="60"/>
              <w:left w:type="dxa" w:w="80"/>
              <w:bottom w:type="dxa" w:w="60"/>
              <w:right w:type="dxa" w:w="80"/>
            </w:tcMar>
            <w:vAlign w:val="center"/>
          </w:tcPr>
          <w:p>
            <w:r>
              <w:rPr>
                <w:b w:val="false"/>
                <w:bCs w:val="false"/>
                <w:sz w:val="18"/>
                <w:szCs w:val="18"/>
              </w:rPr>
              <w:t xml:space="preserve">High / Critical — due to direct access to sensitive systems, reliance on outsourced personnel for key activities, and non-transferable regulatory accountability under DORA</w:t>
            </w:r>
          </w:p>
        </w:tc>
      </w:tr>
    </w:tbl>
    <w:p>
      <w:pPr>
        <w:pStyle w:val="Heading2"/>
        <w:spacing w:after="120" w:before="240"/>
      </w:pPr>
      <w:r>
        <w:t xml:space="preserve">3.2 Vendor B — QA Solutions Ltd. (Low tier, for contrast)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4E79" w:val="clear"/>
            <w:tcMar>
              <w:top w:type="dxa" w:w="60"/>
              <w:left w:type="dxa" w:w="80"/>
              <w:bottom w:type="dxa" w:w="60"/>
              <w:right w:type="dxa" w:w="80"/>
            </w:tcMar>
            <w:vAlign w:val="center"/>
          </w:tcPr>
          <w:p>
            <w:r>
              <w:rPr>
                <w:b/>
                <w:bCs/>
                <w:color w:val="FFFFFF"/>
                <w:sz w:val="18"/>
                <w:szCs w:val="18"/>
              </w:rPr>
              <w:t xml:space="preserve">Field</w:t>
            </w:r>
          </w:p>
        </w:tc>
        <w:tc>
          <w:tcPr>
            <w:tcW w:type="dxa" w:w="7680"/>
            <w:shd w:fill="1F4E79" w:val="clear"/>
            <w:tcMar>
              <w:top w:type="dxa" w:w="60"/>
              <w:left w:type="dxa" w:w="80"/>
              <w:bottom w:type="dxa" w:w="60"/>
              <w:right w:type="dxa" w:w="80"/>
            </w:tcMar>
            <w:vAlign w:val="center"/>
          </w:tcPr>
          <w:p>
            <w:r>
              <w:rPr>
                <w:b/>
                <w:bCs/>
                <w:color w:val="FFFFFF"/>
                <w:sz w:val="18"/>
                <w:szCs w:val="18"/>
              </w:rPr>
              <w:t xml:space="preserve">Detail</w:t>
            </w:r>
          </w:p>
        </w:tc>
      </w:tr>
      <w:tr>
        <w:tc>
          <w:tcPr>
            <w:tcW w:type="dxa" w:w="2400"/>
            <w:shd w:fill="FFFFFF" w:val="clear"/>
            <w:tcMar>
              <w:top w:type="dxa" w:w="60"/>
              <w:left w:type="dxa" w:w="80"/>
              <w:bottom w:type="dxa" w:w="60"/>
              <w:right w:type="dxa" w:w="80"/>
            </w:tcMar>
            <w:vAlign w:val="center"/>
          </w:tcPr>
          <w:p>
            <w:r>
              <w:rPr>
                <w:b w:val="false"/>
                <w:bCs w:val="false"/>
                <w:sz w:val="18"/>
                <w:szCs w:val="18"/>
              </w:rPr>
              <w:t xml:space="preserve">Vendor profile</w:t>
            </w:r>
          </w:p>
        </w:tc>
        <w:tc>
          <w:tcPr>
            <w:tcW w:type="dxa" w:w="7680"/>
            <w:shd w:fill="FFFFFF" w:val="clear"/>
            <w:tcMar>
              <w:top w:type="dxa" w:w="60"/>
              <w:left w:type="dxa" w:w="80"/>
              <w:bottom w:type="dxa" w:w="60"/>
              <w:right w:type="dxa" w:w="80"/>
            </w:tcMar>
            <w:vAlign w:val="center"/>
          </w:tcPr>
          <w:p>
            <w:r>
              <w:rPr>
                <w:b w:val="false"/>
                <w:bCs w:val="false"/>
                <w:sz w:val="18"/>
                <w:szCs w:val="18"/>
              </w:rPr>
              <w:t xml:space="preserve">EU-only QA and testing services provider supplying test engineers</w:t>
            </w:r>
          </w:p>
        </w:tc>
      </w:tr>
      <w:tr>
        <w:tc>
          <w:tcPr>
            <w:tcW w:type="dxa" w:w="2400"/>
            <w:shd w:fill="F2F2F2" w:val="clear"/>
            <w:tcMar>
              <w:top w:type="dxa" w:w="60"/>
              <w:left w:type="dxa" w:w="80"/>
              <w:bottom w:type="dxa" w:w="60"/>
              <w:right w:type="dxa" w:w="80"/>
            </w:tcMar>
            <w:vAlign w:val="center"/>
          </w:tcPr>
          <w:p>
            <w:r>
              <w:rPr>
                <w:b w:val="false"/>
                <w:bCs w:val="false"/>
                <w:sz w:val="18"/>
                <w:szCs w:val="18"/>
              </w:rPr>
              <w:t xml:space="preserve">Engagement type</w:t>
            </w:r>
          </w:p>
        </w:tc>
        <w:tc>
          <w:tcPr>
            <w:tcW w:type="dxa" w:w="7680"/>
            <w:shd w:fill="F2F2F2" w:val="clear"/>
            <w:tcMar>
              <w:top w:type="dxa" w:w="60"/>
              <w:left w:type="dxa" w:w="80"/>
              <w:bottom w:type="dxa" w:w="60"/>
              <w:right w:type="dxa" w:w="80"/>
            </w:tcMar>
            <w:vAlign w:val="center"/>
          </w:tcPr>
          <w:p>
            <w:r>
              <w:rPr>
                <w:b w:val="false"/>
                <w:bCs w:val="false"/>
                <w:sz w:val="18"/>
                <w:szCs w:val="18"/>
              </w:rPr>
              <w:t xml:space="preserve">Task-based outsourcing — fixed-scope QA cycles, no embedded long-term staff</w:t>
            </w:r>
          </w:p>
        </w:tc>
      </w:tr>
      <w:tr>
        <w:tc>
          <w:tcPr>
            <w:tcW w:type="dxa" w:w="2400"/>
            <w:shd w:fill="FFFFFF" w:val="clear"/>
            <w:tcMar>
              <w:top w:type="dxa" w:w="60"/>
              <w:left w:type="dxa" w:w="80"/>
              <w:bottom w:type="dxa" w:w="60"/>
              <w:right w:type="dxa" w:w="80"/>
            </w:tcMar>
            <w:vAlign w:val="center"/>
          </w:tcPr>
          <w:p>
            <w:r>
              <w:rPr>
                <w:b w:val="false"/>
                <w:bCs w:val="false"/>
                <w:sz w:val="18"/>
                <w:szCs w:val="18"/>
              </w:rPr>
              <w:t xml:space="preserve">Services provided</w:t>
            </w:r>
          </w:p>
        </w:tc>
        <w:tc>
          <w:tcPr>
            <w:tcW w:type="dxa" w:w="7680"/>
            <w:shd w:fill="FFFFFF" w:val="clear"/>
            <w:tcMar>
              <w:top w:type="dxa" w:w="60"/>
              <w:left w:type="dxa" w:w="80"/>
              <w:bottom w:type="dxa" w:w="60"/>
              <w:right w:type="dxa" w:w="80"/>
            </w:tcMar>
            <w:vAlign w:val="center"/>
          </w:tcPr>
          <w:p>
            <w:r>
              <w:rPr>
                <w:b w:val="false"/>
                <w:bCs w:val="false"/>
                <w:sz w:val="18"/>
                <w:szCs w:val="18"/>
              </w:rPr>
              <w:t xml:space="preserve">Functional and regression testing in non-production test environments only</w:t>
            </w:r>
          </w:p>
        </w:tc>
      </w:tr>
      <w:tr>
        <w:tc>
          <w:tcPr>
            <w:tcW w:type="dxa" w:w="2400"/>
            <w:shd w:fill="F2F2F2" w:val="clear"/>
            <w:tcMar>
              <w:top w:type="dxa" w:w="60"/>
              <w:left w:type="dxa" w:w="80"/>
              <w:bottom w:type="dxa" w:w="60"/>
              <w:right w:type="dxa" w:w="80"/>
            </w:tcMar>
            <w:vAlign w:val="center"/>
          </w:tcPr>
          <w:p>
            <w:r>
              <w:rPr>
                <w:b w:val="false"/>
                <w:bCs w:val="false"/>
                <w:sz w:val="18"/>
                <w:szCs w:val="18"/>
              </w:rPr>
              <w:t xml:space="preserve">Systems accessed</w:t>
            </w:r>
          </w:p>
        </w:tc>
        <w:tc>
          <w:tcPr>
            <w:tcW w:type="dxa" w:w="7680"/>
            <w:shd w:fill="F2F2F2" w:val="clear"/>
            <w:tcMar>
              <w:top w:type="dxa" w:w="60"/>
              <w:left w:type="dxa" w:w="80"/>
              <w:bottom w:type="dxa" w:w="60"/>
              <w:right w:type="dxa" w:w="80"/>
            </w:tcMar>
            <w:vAlign w:val="center"/>
          </w:tcPr>
          <w:p>
            <w:r>
              <w:rPr>
                <w:b w:val="false"/>
                <w:bCs w:val="false"/>
                <w:sz w:val="18"/>
                <w:szCs w:val="18"/>
              </w:rPr>
              <w:t xml:space="preserve">Test environments only — no source code write access, no production access</w:t>
            </w:r>
          </w:p>
        </w:tc>
      </w:tr>
      <w:tr>
        <w:tc>
          <w:tcPr>
            <w:tcW w:type="dxa" w:w="2400"/>
            <w:shd w:fill="FFFFFF" w:val="clear"/>
            <w:tcMar>
              <w:top w:type="dxa" w:w="60"/>
              <w:left w:type="dxa" w:w="80"/>
              <w:bottom w:type="dxa" w:w="60"/>
              <w:right w:type="dxa" w:w="80"/>
            </w:tcMar>
            <w:vAlign w:val="center"/>
          </w:tcPr>
          <w:p>
            <w:r>
              <w:rPr>
                <w:b w:val="false"/>
                <w:bCs w:val="false"/>
                <w:sz w:val="18"/>
                <w:szCs w:val="18"/>
              </w:rPr>
              <w:t xml:space="preserve">Geographical location</w:t>
            </w:r>
          </w:p>
        </w:tc>
        <w:tc>
          <w:tcPr>
            <w:tcW w:type="dxa" w:w="7680"/>
            <w:shd w:fill="FFFFFF" w:val="clear"/>
            <w:tcMar>
              <w:top w:type="dxa" w:w="60"/>
              <w:left w:type="dxa" w:w="80"/>
              <w:bottom w:type="dxa" w:w="60"/>
              <w:right w:type="dxa" w:w="80"/>
            </w:tcMar>
            <w:vAlign w:val="center"/>
          </w:tcPr>
          <w:p>
            <w:r>
              <w:rPr>
                <w:b w:val="false"/>
                <w:bCs w:val="false"/>
                <w:sz w:val="18"/>
                <w:szCs w:val="18"/>
              </w:rPr>
              <w:t xml:space="preserve">EU only — no cross-border data residency concern</w:t>
            </w:r>
          </w:p>
        </w:tc>
      </w:tr>
      <w:tr>
        <w:tc>
          <w:tcPr>
            <w:tcW w:type="dxa" w:w="2400"/>
            <w:shd w:fill="F2F2F2" w:val="clear"/>
            <w:tcMar>
              <w:top w:type="dxa" w:w="60"/>
              <w:left w:type="dxa" w:w="80"/>
              <w:bottom w:type="dxa" w:w="60"/>
              <w:right w:type="dxa" w:w="80"/>
            </w:tcMar>
            <w:vAlign w:val="center"/>
          </w:tcPr>
          <w:p>
            <w:r>
              <w:rPr>
                <w:b w:val="false"/>
                <w:bCs w:val="false"/>
                <w:sz w:val="18"/>
                <w:szCs w:val="18"/>
              </w:rPr>
              <w:t xml:space="preserve">Data sensitivity</w:t>
            </w:r>
          </w:p>
        </w:tc>
        <w:tc>
          <w:tcPr>
            <w:tcW w:type="dxa" w:w="7680"/>
            <w:shd w:fill="F2F2F2" w:val="clear"/>
            <w:tcMar>
              <w:top w:type="dxa" w:w="60"/>
              <w:left w:type="dxa" w:w="80"/>
              <w:bottom w:type="dxa" w:w="60"/>
              <w:right w:type="dxa" w:w="80"/>
            </w:tcMar>
            <w:vAlign w:val="center"/>
          </w:tcPr>
          <w:p>
            <w:r>
              <w:rPr>
                <w:b w:val="false"/>
                <w:bCs w:val="false"/>
                <w:sz w:val="18"/>
                <w:szCs w:val="18"/>
              </w:rPr>
              <w:t xml:space="preserve">None — test environments use synthetic data only</w:t>
            </w:r>
          </w:p>
        </w:tc>
      </w:tr>
      <w:tr>
        <w:tc>
          <w:tcPr>
            <w:tcW w:type="dxa" w:w="2400"/>
            <w:shd w:fill="FFFFFF" w:val="clear"/>
            <w:tcMar>
              <w:top w:type="dxa" w:w="60"/>
              <w:left w:type="dxa" w:w="80"/>
              <w:bottom w:type="dxa" w:w="60"/>
              <w:right w:type="dxa" w:w="80"/>
            </w:tcMar>
            <w:vAlign w:val="center"/>
          </w:tcPr>
          <w:p>
            <w:r>
              <w:rPr>
                <w:b w:val="false"/>
                <w:bCs w:val="false"/>
                <w:sz w:val="18"/>
                <w:szCs w:val="18"/>
              </w:rPr>
              <w:t xml:space="preserve">Risk tier</w:t>
            </w:r>
          </w:p>
        </w:tc>
        <w:tc>
          <w:tcPr>
            <w:tcW w:type="dxa" w:w="7680"/>
            <w:shd w:fill="FFFFFF" w:val="clear"/>
            <w:tcMar>
              <w:top w:type="dxa" w:w="60"/>
              <w:left w:type="dxa" w:w="80"/>
              <w:bottom w:type="dxa" w:w="60"/>
              <w:right w:type="dxa" w:w="80"/>
            </w:tcMar>
            <w:vAlign w:val="center"/>
          </w:tcPr>
          <w:p>
            <w:r>
              <w:rPr>
                <w:b w:val="false"/>
                <w:bCs w:val="false"/>
                <w:sz w:val="18"/>
                <w:szCs w:val="18"/>
              </w:rPr>
              <w:t xml:space="preserve">Low — minimal access scope, single jurisdiction, no sensitive data exposure</w:t>
            </w:r>
          </w:p>
        </w:tc>
      </w:tr>
    </w:tbl>
    <w:p>
      <w:pPr>
        <w:pStyle w:val="Heading2"/>
        <w:spacing w:after="120" w:before="240"/>
      </w:pPr>
      <w:r>
        <w:t xml:space="preserve">3.3 Regulatory Context</w:t>
      </w:r>
    </w:p>
    <w:p>
      <w:pPr>
        <w:spacing w:after="160"/>
      </w:pPr>
      <w:r>
        <w:rPr>
          <w:b w:val="false"/>
          <w:bCs w:val="false"/>
          <w:i w:val="false"/>
          <w:iCs w:val="false"/>
          <w:sz w:val="22"/>
          <w:szCs w:val="22"/>
        </w:rPr>
        <w:t xml:space="preserve">Under DORA and ISO/IEC 27001, the organization remains responsible for managing risks introduced by third-party vendors regardless of risk tier. The vendor overview above supports regulatory expectations by documenting vendor criticality, risk exposure, and the differentiated level of continuous oversight each engagement requires.</w:t>
      </w:r>
    </w:p>
    <w:p>
      <w:r>
        <w:br w:type="page"/>
      </w:r>
    </w:p>
    <w:p>
      <w:pPr>
        <w:pStyle w:val="Heading1"/>
        <w:spacing w:after="160" w:before="300"/>
      </w:pPr>
      <w:r>
        <w:t xml:space="preserve">4. TPRM Lifecycle</w:t>
      </w:r>
    </w:p>
    <w:p>
      <w:pPr>
        <w:spacing w:after="160"/>
      </w:pPr>
      <w:r>
        <w:rPr>
          <w:b w:val="false"/>
          <w:bCs w:val="false"/>
          <w:i w:val="false"/>
          <w:iCs w:val="false"/>
          <w:sz w:val="22"/>
          <w:szCs w:val="22"/>
        </w:rPr>
        <w:t xml:space="preserve">The lifecycle below governs outsourced IT contractors end to end — from vendor identification through periodic reassessment and eventual exit. Stage 8 (re-assessment) feeds back into stage 2 (risk assessment) as an ongoing loop, not a one-time gate.</w:t>
      </w:r>
    </w:p>
    <w:p>
      <w:pPr>
        <w:spacing w:after="20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pStyle w:val="Heading2"/>
        <w:spacing w:after="120" w:before="240"/>
      </w:pPr>
      <w:r>
        <w:t xml:space="preserve">4.1 Stage Descriptions</w:t>
      </w:r>
    </w:p>
    <w:p>
      <w:pPr>
        <w:pStyle w:val="Heading3"/>
        <w:spacing w:after="100" w:before="180"/>
      </w:pPr>
      <w:r>
        <w:t xml:space="preserve">1. Vendor Identification</w:t>
      </w:r>
    </w:p>
    <w:p>
      <w:pPr>
        <w:pStyle w:val="ListParagraph"/>
        <w:numPr>
          <w:ilvl w:val="0"/>
          <w:numId w:val="1"/>
        </w:numPr>
        <w:spacing w:after="80"/>
      </w:pPr>
      <w:r>
        <w:t xml:space="preserve">Identify vendors providing IT human resources (developers, support engineers, QA, admin staff)</w:t>
      </w:r>
    </w:p>
    <w:p>
      <w:pPr>
        <w:pStyle w:val="ListParagraph"/>
        <w:numPr>
          <w:ilvl w:val="0"/>
          <w:numId w:val="1"/>
        </w:numPr>
        <w:spacing w:after="80"/>
      </w:pPr>
      <w:r>
        <w:t xml:space="preserve">Capture vendor profile, geographical location, and criticality in the Vendor Overview</w:t>
      </w:r>
    </w:p>
    <w:p>
      <w:pPr>
        <w:pStyle w:val="Heading3"/>
        <w:spacing w:after="100" w:before="180"/>
      </w:pPr>
      <w:r>
        <w:t xml:space="preserve">2. Vendor &amp; Resource Risk Assessment</w:t>
      </w:r>
    </w:p>
    <w:p>
      <w:pPr>
        <w:pStyle w:val="ListParagraph"/>
        <w:numPr>
          <w:ilvl w:val="0"/>
          <w:numId w:val="1"/>
        </w:numPr>
        <w:spacing w:after="80"/>
      </w:pPr>
      <w:r>
        <w:t xml:space="preserve">Assess risks tied to outsourced personnel: system access, sensitive data, operational impact, insider threat</w:t>
      </w:r>
    </w:p>
    <w:p>
      <w:pPr>
        <w:pStyle w:val="ListParagraph"/>
        <w:numPr>
          <w:ilvl w:val="0"/>
          <w:numId w:val="1"/>
        </w:numPr>
        <w:spacing w:after="80"/>
      </w:pPr>
      <w:r>
        <w:t xml:space="preserve">Record findings in the Vendor Risk Register and Outsourced Resource Register</w:t>
      </w:r>
    </w:p>
    <w:p>
      <w:pPr>
        <w:pStyle w:val="Heading3"/>
        <w:spacing w:after="100" w:before="180"/>
      </w:pPr>
      <w:r>
        <w:t xml:space="preserve">3. Due Diligence &amp; Compliance Checks</w:t>
      </w:r>
    </w:p>
    <w:p>
      <w:pPr>
        <w:pStyle w:val="ListParagraph"/>
        <w:numPr>
          <w:ilvl w:val="0"/>
          <w:numId w:val="1"/>
        </w:numPr>
        <w:spacing w:after="80"/>
      </w:pPr>
      <w:r>
        <w:t xml:space="preserve">Perform background checks; verify training programmes, regulatory awareness, and access governance</w:t>
      </w:r>
    </w:p>
    <w:p>
      <w:pPr>
        <w:pStyle w:val="ListParagraph"/>
        <w:numPr>
          <w:ilvl w:val="0"/>
          <w:numId w:val="1"/>
        </w:numPr>
        <w:spacing w:after="80"/>
      </w:pPr>
      <w:r>
        <w:t xml:space="preserve">Track assessments in the Due Diligence Register and Training Register</w:t>
      </w:r>
    </w:p>
    <w:p>
      <w:pPr>
        <w:pStyle w:val="Heading3"/>
        <w:spacing w:after="100" w:before="180"/>
      </w:pPr>
      <w:r>
        <w:t xml:space="preserve">4. Risk Treatment Planning</w:t>
      </w:r>
    </w:p>
    <w:p>
      <w:pPr>
        <w:pStyle w:val="ListParagraph"/>
        <w:numPr>
          <w:ilvl w:val="0"/>
          <w:numId w:val="1"/>
        </w:numPr>
        <w:spacing w:after="80"/>
      </w:pPr>
      <w:r>
        <w:t xml:space="preserve">Define mitigation measures: access control, MFA, JML processes, security training, incident reporting, monitoring</w:t>
      </w:r>
    </w:p>
    <w:p>
      <w:pPr>
        <w:pStyle w:val="ListParagraph"/>
        <w:numPr>
          <w:ilvl w:val="0"/>
          <w:numId w:val="1"/>
        </w:numPr>
        <w:spacing w:after="80"/>
      </w:pPr>
      <w:r>
        <w:t xml:space="preserve">Document plans in the Access Control, Incident, and Monitoring Registers</w:t>
      </w:r>
    </w:p>
    <w:p>
      <w:pPr>
        <w:pStyle w:val="Heading3"/>
        <w:spacing w:after="100" w:before="180"/>
      </w:pPr>
      <w:r>
        <w:t xml:space="preserve">5. Management Approval</w:t>
      </w:r>
    </w:p>
    <w:p>
      <w:pPr>
        <w:pStyle w:val="ListParagraph"/>
        <w:numPr>
          <w:ilvl w:val="0"/>
          <w:numId w:val="1"/>
        </w:numPr>
        <w:spacing w:after="80"/>
      </w:pPr>
      <w:r>
        <w:t xml:space="preserve">Obtain sign-off from IT Security, GRC, and relevant managers for access grants and risk-mitigation plans</w:t>
      </w:r>
    </w:p>
    <w:p>
      <w:pPr>
        <w:pStyle w:val="Heading3"/>
        <w:spacing w:after="100" w:before="180"/>
      </w:pPr>
      <w:r>
        <w:t xml:space="preserve">6. Contractual Enforcement (DORA Art. 30)</w:t>
      </w:r>
    </w:p>
    <w:p>
      <w:pPr>
        <w:pStyle w:val="ListParagraph"/>
        <w:numPr>
          <w:ilvl w:val="0"/>
          <w:numId w:val="1"/>
        </w:numPr>
        <w:spacing w:after="80"/>
      </w:pPr>
      <w:r>
        <w:t xml:space="preserve">Ensure SLAs, exit triggers, audit rights, and subcontracting-notification clauses are written into vendor contracts</w:t>
      </w:r>
    </w:p>
    <w:p>
      <w:pPr>
        <w:pStyle w:val="Heading3"/>
        <w:spacing w:after="100" w:before="180"/>
      </w:pPr>
      <w:r>
        <w:t xml:space="preserve">7. Onboarding &amp; Ongoing Monitoring</w:t>
      </w:r>
    </w:p>
    <w:p>
      <w:pPr>
        <w:pStyle w:val="ListParagraph"/>
        <w:numPr>
          <w:ilvl w:val="0"/>
          <w:numId w:val="1"/>
        </w:numPr>
        <w:spacing w:after="80"/>
      </w:pPr>
      <w:r>
        <w:t xml:space="preserve">Implement the Joiner–Mover–Leaver process for vendor staff</w:t>
      </w:r>
    </w:p>
    <w:p>
      <w:pPr>
        <w:pStyle w:val="ListParagraph"/>
        <w:numPr>
          <w:ilvl w:val="0"/>
          <w:numId w:val="1"/>
        </w:numPr>
        <w:spacing w:after="80"/>
      </w:pPr>
      <w:r>
        <w:t xml:space="preserve">Monitor access, training completion, incidents, and compliance continuously via the Monitoring Register</w:t>
      </w:r>
    </w:p>
    <w:p>
      <w:pPr>
        <w:pStyle w:val="Heading3"/>
        <w:spacing w:after="100" w:before="180"/>
      </w:pPr>
      <w:r>
        <w:t xml:space="preserve">8. Re-Assessment &amp; Continuous Improvement</w:t>
      </w:r>
    </w:p>
    <w:p>
      <w:pPr>
        <w:pStyle w:val="ListParagraph"/>
        <w:numPr>
          <w:ilvl w:val="0"/>
          <w:numId w:val="1"/>
        </w:numPr>
        <w:spacing w:after="80"/>
      </w:pPr>
      <w:r>
        <w:t xml:space="preserve">Reassess vendor risk periodically (quarterly/semi-annual) or upon staff, system, or regulatory change</w:t>
      </w:r>
    </w:p>
    <w:p>
      <w:pPr>
        <w:pStyle w:val="Heading3"/>
        <w:spacing w:after="100" w:before="180"/>
      </w:pPr>
      <w:r>
        <w:t xml:space="preserve">9. Exit / Offboarding</w:t>
      </w:r>
    </w:p>
    <w:p>
      <w:pPr>
        <w:pStyle w:val="ListParagraph"/>
        <w:numPr>
          <w:ilvl w:val="0"/>
          <w:numId w:val="1"/>
        </w:numPr>
        <w:spacing w:after="80"/>
      </w:pPr>
      <w:r>
        <w:t xml:space="preserve">Trigger exit procedures on high unresolved risk, repeated incidents, non-compliance, contract expiry, or vendor insolvency</w:t>
      </w:r>
    </w:p>
    <w:p>
      <w:pPr>
        <w:pStyle w:val="ListParagraph"/>
        <w:numPr>
          <w:ilvl w:val="0"/>
          <w:numId w:val="1"/>
        </w:numPr>
        <w:spacing w:after="80"/>
      </w:pPr>
      <w:r>
        <w:t xml:space="preserve">Execute access revocation, data retrieval, and work transfer, recorded in the Exit Strategy Register</w:t>
      </w:r>
    </w:p>
    <w:p>
      <w:r>
        <w:br w:type="page"/>
      </w:r>
    </w:p>
    <w:p>
      <w:pPr>
        <w:pStyle w:val="Heading1"/>
        <w:spacing w:after="160" w:before="300"/>
      </w:pPr>
      <w:r>
        <w:t xml:space="preserve">5. Risk Assessment Methodology</w:t>
      </w:r>
    </w:p>
    <w:p>
      <w:pPr>
        <w:spacing w:after="160"/>
      </w:pPr>
      <w:r>
        <w:rPr>
          <w:b w:val="false"/>
          <w:bCs w:val="false"/>
          <w:i w:val="false"/>
          <w:iCs w:val="false"/>
          <w:sz w:val="22"/>
          <w:szCs w:val="22"/>
        </w:rPr>
        <w:t xml:space="preserve">Every risk rating used in the registers that follow is derived from this matrix, rather than being an unexplained label. Risk Level = Impact × Likelihood, each scored on a 3-point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4E79" w:val="clear"/>
            <w:tcMar>
              <w:top w:type="dxa" w:w="60"/>
              <w:left w:type="dxa" w:w="80"/>
              <w:bottom w:type="dxa" w:w="60"/>
              <w:right w:type="dxa" w:w="80"/>
            </w:tcMar>
            <w:vAlign w:val="center"/>
          </w:tcPr>
          <w:p>
            <w:r>
              <w:rPr>
                <w:b/>
                <w:bCs/>
                <w:color w:val="FFFFFF"/>
                <w:sz w:val="18"/>
                <w:szCs w:val="18"/>
              </w:rPr>
              <w:t xml:space="preserve">Impact ↓ / Likelihood →</w:t>
            </w:r>
          </w:p>
        </w:tc>
        <w:tc>
          <w:tcPr>
            <w:tcW w:type="dxa" w:w="2520"/>
            <w:shd w:fill="1F4E79" w:val="clear"/>
            <w:tcMar>
              <w:top w:type="dxa" w:w="60"/>
              <w:left w:type="dxa" w:w="80"/>
              <w:bottom w:type="dxa" w:w="60"/>
              <w:right w:type="dxa" w:w="80"/>
            </w:tcMar>
            <w:vAlign w:val="center"/>
          </w:tcPr>
          <w:p>
            <w:r>
              <w:rPr>
                <w:b/>
                <w:bCs/>
                <w:color w:val="FFFFFF"/>
                <w:sz w:val="18"/>
                <w:szCs w:val="18"/>
              </w:rPr>
              <w:t xml:space="preserve">Low</w:t>
            </w:r>
          </w:p>
        </w:tc>
        <w:tc>
          <w:tcPr>
            <w:tcW w:type="dxa" w:w="2520"/>
            <w:shd w:fill="1F4E79" w:val="clear"/>
            <w:tcMar>
              <w:top w:type="dxa" w:w="60"/>
              <w:left w:type="dxa" w:w="80"/>
              <w:bottom w:type="dxa" w:w="60"/>
              <w:right w:type="dxa" w:w="80"/>
            </w:tcMar>
            <w:vAlign w:val="center"/>
          </w:tcPr>
          <w:p>
            <w:r>
              <w:rPr>
                <w:b/>
                <w:bCs/>
                <w:color w:val="FFFFFF"/>
                <w:sz w:val="18"/>
                <w:szCs w:val="18"/>
              </w:rPr>
              <w:t xml:space="preserve">Medium</w:t>
            </w:r>
          </w:p>
        </w:tc>
        <w:tc>
          <w:tcPr>
            <w:tcW w:type="dxa" w:w="2520"/>
            <w:shd w:fill="1F4E79" w:val="clear"/>
            <w:tcMar>
              <w:top w:type="dxa" w:w="60"/>
              <w:left w:type="dxa" w:w="80"/>
              <w:bottom w:type="dxa" w:w="60"/>
              <w:right w:type="dxa" w:w="80"/>
            </w:tcMar>
            <w:vAlign w:val="center"/>
          </w:tcPr>
          <w:p>
            <w:r>
              <w:rPr>
                <w:b/>
                <w:bCs/>
                <w:color w:val="FFFFFF"/>
                <w:sz w:val="18"/>
                <w:szCs w:val="18"/>
              </w:rPr>
              <w:t xml:space="preserve">High</w:t>
            </w:r>
          </w:p>
        </w:tc>
      </w:tr>
      <w:tr>
        <w:tc>
          <w:tcPr>
            <w:tcW w:type="dxa" w:w="2520"/>
            <w:shd w:fill="FFFFFF" w:val="clear"/>
            <w:tcMar>
              <w:top w:type="dxa" w:w="60"/>
              <w:left w:type="dxa" w:w="80"/>
              <w:bottom w:type="dxa" w:w="60"/>
              <w:right w:type="dxa" w:w="80"/>
            </w:tcMar>
            <w:vAlign w:val="center"/>
          </w:tcPr>
          <w:p>
            <w:r>
              <w:rPr>
                <w:b w:val="false"/>
                <w:bCs w:val="false"/>
                <w:sz w:val="18"/>
                <w:szCs w:val="18"/>
              </w:rPr>
              <w:t xml:space="preserve">High</w:t>
            </w:r>
          </w:p>
        </w:tc>
        <w:tc>
          <w:tcPr>
            <w:tcW w:type="dxa" w:w="252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2520"/>
            <w:shd w:fill="FFFFFF" w:val="clear"/>
            <w:tcMar>
              <w:top w:type="dxa" w:w="60"/>
              <w:left w:type="dxa" w:w="80"/>
              <w:bottom w:type="dxa" w:w="60"/>
              <w:right w:type="dxa" w:w="80"/>
            </w:tcMar>
            <w:vAlign w:val="center"/>
          </w:tcPr>
          <w:p>
            <w:r>
              <w:rPr>
                <w:b w:val="false"/>
                <w:bCs w:val="false"/>
                <w:sz w:val="18"/>
                <w:szCs w:val="18"/>
              </w:rPr>
              <w:t xml:space="preserve">High</w:t>
            </w:r>
          </w:p>
        </w:tc>
        <w:tc>
          <w:tcPr>
            <w:tcW w:type="dxa" w:w="2520"/>
            <w:shd w:fill="FFFFFF" w:val="clear"/>
            <w:tcMar>
              <w:top w:type="dxa" w:w="60"/>
              <w:left w:type="dxa" w:w="80"/>
              <w:bottom w:type="dxa" w:w="60"/>
              <w:right w:type="dxa" w:w="80"/>
            </w:tcMar>
            <w:vAlign w:val="center"/>
          </w:tcPr>
          <w:p>
            <w:r>
              <w:rPr>
                <w:b w:val="false"/>
                <w:bCs w:val="false"/>
                <w:sz w:val="18"/>
                <w:szCs w:val="18"/>
              </w:rPr>
              <w:t xml:space="preserve">Critical</w:t>
            </w:r>
          </w:p>
        </w:tc>
      </w:tr>
      <w:tr>
        <w:tc>
          <w:tcPr>
            <w:tcW w:type="dxa" w:w="2520"/>
            <w:shd w:fill="F2F2F2" w:val="clear"/>
            <w:tcMar>
              <w:top w:type="dxa" w:w="60"/>
              <w:left w:type="dxa" w:w="80"/>
              <w:bottom w:type="dxa" w:w="60"/>
              <w:right w:type="dxa" w:w="80"/>
            </w:tcMar>
            <w:vAlign w:val="center"/>
          </w:tcPr>
          <w:p>
            <w:r>
              <w:rPr>
                <w:b w:val="false"/>
                <w:bCs w:val="false"/>
                <w:sz w:val="18"/>
                <w:szCs w:val="18"/>
              </w:rPr>
              <w:t xml:space="preserve">Medium</w:t>
            </w:r>
          </w:p>
        </w:tc>
        <w:tc>
          <w:tcPr>
            <w:tcW w:type="dxa" w:w="2520"/>
            <w:shd w:fill="F2F2F2" w:val="clear"/>
            <w:tcMar>
              <w:top w:type="dxa" w:w="60"/>
              <w:left w:type="dxa" w:w="80"/>
              <w:bottom w:type="dxa" w:w="60"/>
              <w:right w:type="dxa" w:w="80"/>
            </w:tcMar>
            <w:vAlign w:val="center"/>
          </w:tcPr>
          <w:p>
            <w:r>
              <w:rPr>
                <w:b w:val="false"/>
                <w:bCs w:val="false"/>
                <w:sz w:val="18"/>
                <w:szCs w:val="18"/>
              </w:rPr>
              <w:t xml:space="preserve">Low</w:t>
            </w:r>
          </w:p>
        </w:tc>
        <w:tc>
          <w:tcPr>
            <w:tcW w:type="dxa" w:w="2520"/>
            <w:shd w:fill="F2F2F2" w:val="clear"/>
            <w:tcMar>
              <w:top w:type="dxa" w:w="60"/>
              <w:left w:type="dxa" w:w="80"/>
              <w:bottom w:type="dxa" w:w="60"/>
              <w:right w:type="dxa" w:w="80"/>
            </w:tcMar>
            <w:vAlign w:val="center"/>
          </w:tcPr>
          <w:p>
            <w:r>
              <w:rPr>
                <w:b w:val="false"/>
                <w:bCs w:val="false"/>
                <w:sz w:val="18"/>
                <w:szCs w:val="18"/>
              </w:rPr>
              <w:t xml:space="preserve">Medium</w:t>
            </w:r>
          </w:p>
        </w:tc>
        <w:tc>
          <w:tcPr>
            <w:tcW w:type="dxa" w:w="2520"/>
            <w:shd w:fill="F2F2F2" w:val="clear"/>
            <w:tcMar>
              <w:top w:type="dxa" w:w="60"/>
              <w:left w:type="dxa" w:w="80"/>
              <w:bottom w:type="dxa" w:w="60"/>
              <w:right w:type="dxa" w:w="80"/>
            </w:tcMar>
            <w:vAlign w:val="center"/>
          </w:tcPr>
          <w:p>
            <w:r>
              <w:rPr>
                <w:b w:val="false"/>
                <w:bCs w:val="false"/>
                <w:sz w:val="18"/>
                <w:szCs w:val="18"/>
              </w:rPr>
              <w:t xml:space="preserve">High</w:t>
            </w:r>
          </w:p>
        </w:tc>
      </w:tr>
      <w:tr>
        <w:tc>
          <w:tcPr>
            <w:tcW w:type="dxa" w:w="2520"/>
            <w:shd w:fill="FFFFFF" w:val="clear"/>
            <w:tcMar>
              <w:top w:type="dxa" w:w="60"/>
              <w:left w:type="dxa" w:w="80"/>
              <w:bottom w:type="dxa" w:w="60"/>
              <w:right w:type="dxa" w:w="80"/>
            </w:tcMar>
            <w:vAlign w:val="center"/>
          </w:tcPr>
          <w:p>
            <w:r>
              <w:rPr>
                <w:b w:val="false"/>
                <w:bCs w:val="false"/>
                <w:sz w:val="18"/>
                <w:szCs w:val="18"/>
              </w:rPr>
              <w:t xml:space="preserve">Low</w:t>
            </w:r>
          </w:p>
        </w:tc>
        <w:tc>
          <w:tcPr>
            <w:tcW w:type="dxa" w:w="2520"/>
            <w:shd w:fill="FFFFFF" w:val="clear"/>
            <w:tcMar>
              <w:top w:type="dxa" w:w="60"/>
              <w:left w:type="dxa" w:w="80"/>
              <w:bottom w:type="dxa" w:w="60"/>
              <w:right w:type="dxa" w:w="80"/>
            </w:tcMar>
            <w:vAlign w:val="center"/>
          </w:tcPr>
          <w:p>
            <w:r>
              <w:rPr>
                <w:b w:val="false"/>
                <w:bCs w:val="false"/>
                <w:sz w:val="18"/>
                <w:szCs w:val="18"/>
              </w:rPr>
              <w:t xml:space="preserve">Low</w:t>
            </w:r>
          </w:p>
        </w:tc>
        <w:tc>
          <w:tcPr>
            <w:tcW w:type="dxa" w:w="2520"/>
            <w:shd w:fill="FFFFFF" w:val="clear"/>
            <w:tcMar>
              <w:top w:type="dxa" w:w="60"/>
              <w:left w:type="dxa" w:w="80"/>
              <w:bottom w:type="dxa" w:w="60"/>
              <w:right w:type="dxa" w:w="80"/>
            </w:tcMar>
            <w:vAlign w:val="center"/>
          </w:tcPr>
          <w:p>
            <w:r>
              <w:rPr>
                <w:b w:val="false"/>
                <w:bCs w:val="false"/>
                <w:sz w:val="18"/>
                <w:szCs w:val="18"/>
              </w:rPr>
              <w:t xml:space="preserve">Low</w:t>
            </w:r>
          </w:p>
        </w:tc>
        <w:tc>
          <w:tcPr>
            <w:tcW w:type="dxa" w:w="2520"/>
            <w:shd w:fill="FFFFFF" w:val="clear"/>
            <w:tcMar>
              <w:top w:type="dxa" w:w="60"/>
              <w:left w:type="dxa" w:w="80"/>
              <w:bottom w:type="dxa" w:w="60"/>
              <w:right w:type="dxa" w:w="80"/>
            </w:tcMar>
            <w:vAlign w:val="center"/>
          </w:tcPr>
          <w:p>
            <w:r>
              <w:rPr>
                <w:b w:val="false"/>
                <w:bCs w:val="false"/>
                <w:sz w:val="18"/>
                <w:szCs w:val="18"/>
              </w:rPr>
              <w:t xml:space="preserve">Medium</w:t>
            </w:r>
          </w:p>
        </w:tc>
      </w:tr>
    </w:tbl>
    <w:p>
      <w:pPr>
        <w:pStyle w:val="Heading2"/>
        <w:spacing w:after="120" w:before="240"/>
      </w:pPr>
      <w:r>
        <w:t xml:space="preserve">5.1 Definitions</w:t>
      </w:r>
    </w:p>
    <w:p>
      <w:pPr>
        <w:pStyle w:val="ListParagraph"/>
        <w:numPr>
          <w:ilvl w:val="0"/>
          <w:numId w:val="1"/>
        </w:numPr>
        <w:spacing w:after="80"/>
      </w:pPr>
      <w:r>
        <w:t xml:space="preserve">Impact — severity to the organization if the risk materializes (data exposure, service disruption, regulatory breach)</w:t>
      </w:r>
    </w:p>
    <w:p>
      <w:pPr>
        <w:pStyle w:val="ListParagraph"/>
        <w:numPr>
          <w:ilvl w:val="0"/>
          <w:numId w:val="1"/>
        </w:numPr>
        <w:spacing w:after="80"/>
      </w:pPr>
      <w:r>
        <w:t xml:space="preserve">Likelihood — probability of occurrence given current controls (access scope, monitoring maturity, vendor track record)</w:t>
      </w:r>
    </w:p>
    <w:p>
      <w:pPr>
        <w:pStyle w:val="Heading2"/>
        <w:spacing w:after="120" w:before="240"/>
      </w:pPr>
      <w:r>
        <w:t xml:space="preserve">5.2 Review Cadence by Risk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shd w:fill="1F4E79" w:val="clear"/>
            <w:tcMar>
              <w:top w:type="dxa" w:w="60"/>
              <w:left w:type="dxa" w:w="80"/>
              <w:bottom w:type="dxa" w:w="60"/>
              <w:right w:type="dxa" w:w="80"/>
            </w:tcMar>
            <w:vAlign w:val="center"/>
          </w:tcPr>
          <w:p>
            <w:r>
              <w:rPr>
                <w:b/>
                <w:bCs/>
                <w:color w:val="FFFFFF"/>
                <w:sz w:val="18"/>
                <w:szCs w:val="18"/>
              </w:rPr>
              <w:t xml:space="preserve">Risk Level</w:t>
            </w:r>
          </w:p>
        </w:tc>
        <w:tc>
          <w:tcPr>
            <w:tcW w:type="dxa" w:w="3780"/>
            <w:shd w:fill="1F4E79" w:val="clear"/>
            <w:tcMar>
              <w:top w:type="dxa" w:w="60"/>
              <w:left w:type="dxa" w:w="80"/>
              <w:bottom w:type="dxa" w:w="60"/>
              <w:right w:type="dxa" w:w="80"/>
            </w:tcMar>
            <w:vAlign w:val="center"/>
          </w:tcPr>
          <w:p>
            <w:r>
              <w:rPr>
                <w:b/>
                <w:bCs/>
                <w:color w:val="FFFFFF"/>
                <w:sz w:val="18"/>
                <w:szCs w:val="18"/>
              </w:rPr>
              <w:t xml:space="preserve">Review Cadence</w:t>
            </w:r>
          </w:p>
        </w:tc>
        <w:tc>
          <w:tcPr>
            <w:tcW w:type="dxa" w:w="3780"/>
            <w:shd w:fill="1F4E79" w:val="clear"/>
            <w:tcMar>
              <w:top w:type="dxa" w:w="60"/>
              <w:left w:type="dxa" w:w="80"/>
              <w:bottom w:type="dxa" w:w="60"/>
              <w:right w:type="dxa" w:w="80"/>
            </w:tcMar>
            <w:vAlign w:val="center"/>
          </w:tcPr>
          <w:p>
            <w:r>
              <w:rPr>
                <w:b/>
                <w:bCs/>
                <w:color w:val="FFFFFF"/>
                <w:sz w:val="18"/>
                <w:szCs w:val="18"/>
              </w:rPr>
              <w:t xml:space="preserve">Ownership</w:t>
            </w:r>
          </w:p>
        </w:tc>
      </w:tr>
      <w:tr>
        <w:tc>
          <w:tcPr>
            <w:tcW w:type="dxa" w:w="2520"/>
            <w:shd w:fill="FFFFFF" w:val="clear"/>
            <w:tcMar>
              <w:top w:type="dxa" w:w="60"/>
              <w:left w:type="dxa" w:w="80"/>
              <w:bottom w:type="dxa" w:w="60"/>
              <w:right w:type="dxa" w:w="80"/>
            </w:tcMar>
            <w:vAlign w:val="center"/>
          </w:tcPr>
          <w:p>
            <w:r>
              <w:rPr>
                <w:b w:val="false"/>
                <w:bCs w:val="false"/>
                <w:sz w:val="18"/>
                <w:szCs w:val="18"/>
              </w:rPr>
              <w:t xml:space="preserve">Critical</w:t>
            </w:r>
          </w:p>
        </w:tc>
        <w:tc>
          <w:tcPr>
            <w:tcW w:type="dxa" w:w="3780"/>
            <w:shd w:fill="FFFFFF" w:val="clear"/>
            <w:tcMar>
              <w:top w:type="dxa" w:w="60"/>
              <w:left w:type="dxa" w:w="80"/>
              <w:bottom w:type="dxa" w:w="60"/>
              <w:right w:type="dxa" w:w="80"/>
            </w:tcMar>
            <w:vAlign w:val="center"/>
          </w:tcPr>
          <w:p>
            <w:r>
              <w:rPr>
                <w:b w:val="false"/>
                <w:bCs w:val="false"/>
                <w:sz w:val="18"/>
                <w:szCs w:val="18"/>
              </w:rPr>
              <w:t xml:space="preserve">Monthly</w:t>
            </w:r>
          </w:p>
        </w:tc>
        <w:tc>
          <w:tcPr>
            <w:tcW w:type="dxa" w:w="3780"/>
            <w:shd w:fill="FFFFFF" w:val="clear"/>
            <w:tcMar>
              <w:top w:type="dxa" w:w="60"/>
              <w:left w:type="dxa" w:w="80"/>
              <w:bottom w:type="dxa" w:w="60"/>
              <w:right w:type="dxa" w:w="80"/>
            </w:tcMar>
            <w:vAlign w:val="center"/>
          </w:tcPr>
          <w:p>
            <w:r>
              <w:rPr>
                <w:b w:val="false"/>
                <w:bCs w:val="false"/>
                <w:sz w:val="18"/>
                <w:szCs w:val="18"/>
              </w:rPr>
              <w:t xml:space="preserve">Named executive (CISO / Head of GRC)</w:t>
            </w:r>
          </w:p>
        </w:tc>
      </w:tr>
      <w:tr>
        <w:tc>
          <w:tcPr>
            <w:tcW w:type="dxa" w:w="2520"/>
            <w:shd w:fill="F2F2F2" w:val="clear"/>
            <w:tcMar>
              <w:top w:type="dxa" w:w="60"/>
              <w:left w:type="dxa" w:w="80"/>
              <w:bottom w:type="dxa" w:w="60"/>
              <w:right w:type="dxa" w:w="80"/>
            </w:tcMar>
            <w:vAlign w:val="center"/>
          </w:tcPr>
          <w:p>
            <w:r>
              <w:rPr>
                <w:b w:val="false"/>
                <w:bCs w:val="false"/>
                <w:sz w:val="18"/>
                <w:szCs w:val="18"/>
              </w:rPr>
              <w:t xml:space="preserve">High</w:t>
            </w:r>
          </w:p>
        </w:tc>
        <w:tc>
          <w:tcPr>
            <w:tcW w:type="dxa" w:w="3780"/>
            <w:shd w:fill="F2F2F2" w:val="clear"/>
            <w:tcMar>
              <w:top w:type="dxa" w:w="60"/>
              <w:left w:type="dxa" w:w="80"/>
              <w:bottom w:type="dxa" w:w="60"/>
              <w:right w:type="dxa" w:w="80"/>
            </w:tcMar>
            <w:vAlign w:val="center"/>
          </w:tcPr>
          <w:p>
            <w:r>
              <w:rPr>
                <w:b w:val="false"/>
                <w:bCs w:val="false"/>
                <w:sz w:val="18"/>
                <w:szCs w:val="18"/>
              </w:rPr>
              <w:t xml:space="preserve">Quarterly</w:t>
            </w:r>
          </w:p>
        </w:tc>
        <w:tc>
          <w:tcPr>
            <w:tcW w:type="dxa" w:w="3780"/>
            <w:shd w:fill="F2F2F2" w:val="clear"/>
            <w:tcMar>
              <w:top w:type="dxa" w:w="60"/>
              <w:left w:type="dxa" w:w="80"/>
              <w:bottom w:type="dxa" w:w="60"/>
              <w:right w:type="dxa" w:w="80"/>
            </w:tcMar>
            <w:vAlign w:val="center"/>
          </w:tcPr>
          <w:p>
            <w:r>
              <w:rPr>
                <w:b w:val="false"/>
                <w:bCs w:val="false"/>
                <w:sz w:val="18"/>
                <w:szCs w:val="18"/>
              </w:rPr>
              <w:t xml:space="preserve">GRC / IT Security lead</w:t>
            </w:r>
          </w:p>
        </w:tc>
      </w:tr>
      <w:tr>
        <w:tc>
          <w:tcPr>
            <w:tcW w:type="dxa" w:w="252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3780"/>
            <w:shd w:fill="FFFFFF" w:val="clear"/>
            <w:tcMar>
              <w:top w:type="dxa" w:w="60"/>
              <w:left w:type="dxa" w:w="80"/>
              <w:bottom w:type="dxa" w:w="60"/>
              <w:right w:type="dxa" w:w="80"/>
            </w:tcMar>
            <w:vAlign w:val="center"/>
          </w:tcPr>
          <w:p>
            <w:r>
              <w:rPr>
                <w:b w:val="false"/>
                <w:bCs w:val="false"/>
                <w:sz w:val="18"/>
                <w:szCs w:val="18"/>
              </w:rPr>
              <w:t xml:space="preserve">Quarterly</w:t>
            </w:r>
          </w:p>
        </w:tc>
        <w:tc>
          <w:tcPr>
            <w:tcW w:type="dxa" w:w="3780"/>
            <w:shd w:fill="FFFFFF" w:val="clear"/>
            <w:tcMar>
              <w:top w:type="dxa" w:w="60"/>
              <w:left w:type="dxa" w:w="80"/>
              <w:bottom w:type="dxa" w:w="60"/>
              <w:right w:type="dxa" w:w="80"/>
            </w:tcMar>
            <w:vAlign w:val="center"/>
          </w:tcPr>
          <w:p>
            <w:r>
              <w:rPr>
                <w:b w:val="false"/>
                <w:bCs w:val="false"/>
                <w:sz w:val="18"/>
                <w:szCs w:val="18"/>
              </w:rPr>
              <w:t xml:space="preserve">IT Security</w:t>
            </w:r>
          </w:p>
        </w:tc>
      </w:tr>
      <w:tr>
        <w:tc>
          <w:tcPr>
            <w:tcW w:type="dxa" w:w="2520"/>
            <w:shd w:fill="F2F2F2" w:val="clear"/>
            <w:tcMar>
              <w:top w:type="dxa" w:w="60"/>
              <w:left w:type="dxa" w:w="80"/>
              <w:bottom w:type="dxa" w:w="60"/>
              <w:right w:type="dxa" w:w="80"/>
            </w:tcMar>
            <w:vAlign w:val="center"/>
          </w:tcPr>
          <w:p>
            <w:r>
              <w:rPr>
                <w:b w:val="false"/>
                <w:bCs w:val="false"/>
                <w:sz w:val="18"/>
                <w:szCs w:val="18"/>
              </w:rPr>
              <w:t xml:space="preserve">Low</w:t>
            </w:r>
          </w:p>
        </w:tc>
        <w:tc>
          <w:tcPr>
            <w:tcW w:type="dxa" w:w="3780"/>
            <w:shd w:fill="F2F2F2" w:val="clear"/>
            <w:tcMar>
              <w:top w:type="dxa" w:w="60"/>
              <w:left w:type="dxa" w:w="80"/>
              <w:bottom w:type="dxa" w:w="60"/>
              <w:right w:type="dxa" w:w="80"/>
            </w:tcMar>
            <w:vAlign w:val="center"/>
          </w:tcPr>
          <w:p>
            <w:r>
              <w:rPr>
                <w:b w:val="false"/>
                <w:bCs w:val="false"/>
                <w:sz w:val="18"/>
                <w:szCs w:val="18"/>
              </w:rPr>
              <w:t xml:space="preserve">Annual</w:t>
            </w:r>
          </w:p>
        </w:tc>
        <w:tc>
          <w:tcPr>
            <w:tcW w:type="dxa" w:w="3780"/>
            <w:shd w:fill="F2F2F2" w:val="clear"/>
            <w:tcMar>
              <w:top w:type="dxa" w:w="60"/>
              <w:left w:type="dxa" w:w="80"/>
              <w:bottom w:type="dxa" w:w="60"/>
              <w:right w:type="dxa" w:w="80"/>
            </w:tcMar>
            <w:vAlign w:val="center"/>
          </w:tcPr>
          <w:p>
            <w:r>
              <w:rPr>
                <w:b w:val="false"/>
                <w:bCs w:val="false"/>
                <w:sz w:val="18"/>
                <w:szCs w:val="18"/>
              </w:rPr>
              <w:t xml:space="preserve">Vendor manager</w:t>
            </w:r>
          </w:p>
        </w:tc>
      </w:tr>
    </w:tbl>
    <w:p>
      <w:r>
        <w:br w:type="page"/>
      </w:r>
    </w:p>
    <w:p>
      <w:pPr>
        <w:pStyle w:val="Heading1"/>
        <w:spacing w:after="160" w:before="300"/>
      </w:pPr>
      <w:r>
        <w:t xml:space="preserve">6. Registers</w:t>
      </w:r>
    </w:p>
    <w:p>
      <w:pPr>
        <w:pStyle w:val="Heading2"/>
        <w:spacing w:after="120" w:before="240"/>
      </w:pPr>
      <w:r>
        <w:t xml:space="preserve">6.1 Outsourced Resource Register</w:t>
      </w:r>
    </w:p>
    <w:p>
      <w:pPr>
        <w:spacing w:after="160"/>
      </w:pPr>
      <w:r>
        <w:rPr>
          <w:b w:val="false"/>
          <w:bCs w:val="false"/>
          <w:i w:val="false"/>
          <w:iCs w:val="false"/>
          <w:sz w:val="22"/>
          <w:szCs w:val="22"/>
        </w:rPr>
        <w:t xml:space="preserve">Purpose: provides visibility into all external personnel (contractors) supplied by vendors who are working on internal systems, supporting access tracking, risk monitoring, and compliance with DORA and ISO/IEC 27001.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1200"/>
        <w:gridCol w:w="1600"/>
        <w:gridCol w:w="1200"/>
        <w:gridCol w:w="900"/>
        <w:gridCol w:w="780"/>
      </w:tblGrid>
      <w:tr>
        <w:trPr>
          <w:tblHeader/>
        </w:trPr>
        <w:tc>
          <w:tcPr>
            <w:tcW w:type="dxa" w:w="900"/>
            <w:shd w:fill="1F4E79" w:val="clear"/>
            <w:tcMar>
              <w:top w:type="dxa" w:w="60"/>
              <w:left w:type="dxa" w:w="80"/>
              <w:bottom w:type="dxa" w:w="60"/>
              <w:right w:type="dxa" w:w="80"/>
            </w:tcMar>
            <w:vAlign w:val="center"/>
          </w:tcPr>
          <w:p>
            <w:r>
              <w:rPr>
                <w:b/>
                <w:bCs/>
                <w:color w:val="FFFFFF"/>
                <w:sz w:val="18"/>
                <w:szCs w:val="18"/>
              </w:rPr>
              <w:t xml:space="preserve">ID</w:t>
            </w:r>
          </w:p>
        </w:tc>
        <w:tc>
          <w:tcPr>
            <w:tcW w:type="dxa" w:w="1600"/>
            <w:shd w:fill="1F4E79" w:val="clear"/>
            <w:tcMar>
              <w:top w:type="dxa" w:w="60"/>
              <w:left w:type="dxa" w:w="80"/>
              <w:bottom w:type="dxa" w:w="60"/>
              <w:right w:type="dxa" w:w="80"/>
            </w:tcMar>
            <w:vAlign w:val="center"/>
          </w:tcPr>
          <w:p>
            <w:r>
              <w:rPr>
                <w:b/>
                <w:bCs/>
                <w:color w:val="FFFFFF"/>
                <w:sz w:val="18"/>
                <w:szCs w:val="18"/>
              </w:rPr>
              <w:t xml:space="preserve">Role</w:t>
            </w:r>
          </w:p>
        </w:tc>
        <w:tc>
          <w:tcPr>
            <w:tcW w:type="dxa" w:w="1900"/>
            <w:shd w:fill="1F4E79" w:val="clear"/>
            <w:tcMar>
              <w:top w:type="dxa" w:w="60"/>
              <w:left w:type="dxa" w:w="80"/>
              <w:bottom w:type="dxa" w:w="60"/>
              <w:right w:type="dxa" w:w="80"/>
            </w:tcMar>
            <w:vAlign w:val="center"/>
          </w:tcPr>
          <w:p>
            <w:r>
              <w:rPr>
                <w:b/>
                <w:bCs/>
                <w:color w:val="FFFFFF"/>
                <w:sz w:val="18"/>
                <w:szCs w:val="18"/>
              </w:rPr>
              <w:t xml:space="preserve">Vendor</w:t>
            </w:r>
          </w:p>
        </w:tc>
        <w:tc>
          <w:tcPr>
            <w:tcW w:type="dxa" w:w="1200"/>
            <w:shd w:fill="1F4E79" w:val="clear"/>
            <w:tcMar>
              <w:top w:type="dxa" w:w="60"/>
              <w:left w:type="dxa" w:w="80"/>
              <w:bottom w:type="dxa" w:w="60"/>
              <w:right w:type="dxa" w:w="80"/>
            </w:tcMar>
            <w:vAlign w:val="center"/>
          </w:tcPr>
          <w:p>
            <w:r>
              <w:rPr>
                <w:b/>
                <w:bCs/>
                <w:color w:val="FFFFFF"/>
                <w:sz w:val="18"/>
                <w:szCs w:val="18"/>
              </w:rPr>
              <w:t xml:space="preserve">Access Level</w:t>
            </w:r>
          </w:p>
        </w:tc>
        <w:tc>
          <w:tcPr>
            <w:tcW w:type="dxa" w:w="1600"/>
            <w:shd w:fill="1F4E79" w:val="clear"/>
            <w:tcMar>
              <w:top w:type="dxa" w:w="60"/>
              <w:left w:type="dxa" w:w="80"/>
              <w:bottom w:type="dxa" w:w="60"/>
              <w:right w:type="dxa" w:w="80"/>
            </w:tcMar>
            <w:vAlign w:val="center"/>
          </w:tcPr>
          <w:p>
            <w:r>
              <w:rPr>
                <w:b/>
                <w:bCs/>
                <w:color w:val="FFFFFF"/>
                <w:sz w:val="18"/>
                <w:szCs w:val="18"/>
              </w:rPr>
              <w:t xml:space="preserve">Systems Accessed</w:t>
            </w:r>
          </w:p>
        </w:tc>
        <w:tc>
          <w:tcPr>
            <w:tcW w:type="dxa" w:w="1200"/>
            <w:shd w:fill="1F4E79" w:val="clear"/>
            <w:tcMar>
              <w:top w:type="dxa" w:w="60"/>
              <w:left w:type="dxa" w:w="80"/>
              <w:bottom w:type="dxa" w:w="60"/>
              <w:right w:type="dxa" w:w="80"/>
            </w:tcMar>
            <w:vAlign w:val="center"/>
          </w:tcPr>
          <w:p>
            <w:r>
              <w:rPr>
                <w:b/>
                <w:bCs/>
                <w:color w:val="FFFFFF"/>
                <w:sz w:val="18"/>
                <w:szCs w:val="18"/>
              </w:rPr>
              <w:t xml:space="preserve">Data Type</w:t>
            </w:r>
          </w:p>
        </w:tc>
        <w:tc>
          <w:tcPr>
            <w:tcW w:type="dxa" w:w="900"/>
            <w:shd w:fill="1F4E79" w:val="clear"/>
            <w:tcMar>
              <w:top w:type="dxa" w:w="60"/>
              <w:left w:type="dxa" w:w="80"/>
              <w:bottom w:type="dxa" w:w="60"/>
              <w:right w:type="dxa" w:w="80"/>
            </w:tcMar>
            <w:vAlign w:val="center"/>
          </w:tcPr>
          <w:p>
            <w:r>
              <w:rPr>
                <w:b/>
                <w:bCs/>
                <w:color w:val="FFFFFF"/>
                <w:sz w:val="18"/>
                <w:szCs w:val="18"/>
              </w:rPr>
              <w:t xml:space="preserve">Location</w:t>
            </w:r>
          </w:p>
        </w:tc>
        <w:tc>
          <w:tcPr>
            <w:tcW w:type="dxa" w:w="780"/>
            <w:shd w:fill="1F4E79" w:val="clear"/>
            <w:tcMar>
              <w:top w:type="dxa" w:w="60"/>
              <w:left w:type="dxa" w:w="80"/>
              <w:bottom w:type="dxa" w:w="60"/>
              <w:right w:type="dxa" w:w="80"/>
            </w:tcMar>
            <w:vAlign w:val="center"/>
          </w:tcPr>
          <w:p>
            <w:r>
              <w:rPr>
                <w:b/>
                <w:bCs/>
                <w:color w:val="FFFFFF"/>
                <w:sz w:val="18"/>
                <w:szCs w:val="18"/>
              </w:rPr>
              <w:t xml:space="preserve">Risk</w:t>
            </w:r>
          </w:p>
        </w:tc>
      </w:tr>
      <w:tr>
        <w:tc>
          <w:tcPr>
            <w:tcW w:type="dxa" w:w="900"/>
            <w:shd w:fill="FFFFFF" w:val="clear"/>
            <w:tcMar>
              <w:top w:type="dxa" w:w="60"/>
              <w:left w:type="dxa" w:w="80"/>
              <w:bottom w:type="dxa" w:w="60"/>
              <w:right w:type="dxa" w:w="80"/>
            </w:tcMar>
            <w:vAlign w:val="center"/>
          </w:tcPr>
          <w:p>
            <w:r>
              <w:rPr>
                <w:b w:val="false"/>
                <w:bCs w:val="false"/>
                <w:sz w:val="18"/>
                <w:szCs w:val="18"/>
              </w:rPr>
              <w:t xml:space="preserve">OR-01</w:t>
            </w:r>
          </w:p>
        </w:tc>
        <w:tc>
          <w:tcPr>
            <w:tcW w:type="dxa" w:w="1600"/>
            <w:shd w:fill="FFFFFF" w:val="clear"/>
            <w:tcMar>
              <w:top w:type="dxa" w:w="60"/>
              <w:left w:type="dxa" w:w="80"/>
              <w:bottom w:type="dxa" w:w="60"/>
              <w:right w:type="dxa" w:w="80"/>
            </w:tcMar>
            <w:vAlign w:val="center"/>
          </w:tcPr>
          <w:p>
            <w:r>
              <w:rPr>
                <w:b w:val="false"/>
                <w:bCs w:val="false"/>
                <w:sz w:val="18"/>
                <w:szCs w:val="18"/>
              </w:rPr>
              <w:t xml:space="preserve">Developer</w:t>
            </w:r>
          </w:p>
        </w:tc>
        <w:tc>
          <w:tcPr>
            <w:tcW w:type="dxa" w:w="1900"/>
            <w:shd w:fill="FFFFFF" w:val="clear"/>
            <w:tcMar>
              <w:top w:type="dxa" w:w="60"/>
              <w:left w:type="dxa" w:w="80"/>
              <w:bottom w:type="dxa" w:w="60"/>
              <w:right w:type="dxa" w:w="80"/>
            </w:tcMar>
            <w:vAlign w:val="center"/>
          </w:tcPr>
          <w:p>
            <w:r>
              <w:rPr>
                <w:b w:val="false"/>
                <w:bCs w:val="false"/>
                <w:sz w:val="18"/>
                <w:szCs w:val="18"/>
              </w:rPr>
              <w:t xml:space="preserve">ABC Technologies</w:t>
            </w:r>
          </w:p>
        </w:tc>
        <w:tc>
          <w:tcPr>
            <w:tcW w:type="dxa" w:w="1200"/>
            <w:shd w:fill="FFFFFF" w:val="clear"/>
            <w:tcMar>
              <w:top w:type="dxa" w:w="60"/>
              <w:left w:type="dxa" w:w="80"/>
              <w:bottom w:type="dxa" w:w="60"/>
              <w:right w:type="dxa" w:w="80"/>
            </w:tcMar>
            <w:vAlign w:val="center"/>
          </w:tcPr>
          <w:p>
            <w:r>
              <w:rPr>
                <w:b w:val="false"/>
                <w:bCs w:val="false"/>
                <w:sz w:val="18"/>
                <w:szCs w:val="18"/>
              </w:rPr>
              <w:t xml:space="preserve">High</w:t>
            </w:r>
          </w:p>
        </w:tc>
        <w:tc>
          <w:tcPr>
            <w:tcW w:type="dxa" w:w="1600"/>
            <w:shd w:fill="FFFFFF" w:val="clear"/>
            <w:tcMar>
              <w:top w:type="dxa" w:w="60"/>
              <w:left w:type="dxa" w:w="80"/>
              <w:bottom w:type="dxa" w:w="60"/>
              <w:right w:type="dxa" w:w="80"/>
            </w:tcMar>
            <w:vAlign w:val="center"/>
          </w:tcPr>
          <w:p>
            <w:r>
              <w:rPr>
                <w:b w:val="false"/>
                <w:bCs w:val="false"/>
                <w:sz w:val="18"/>
                <w:szCs w:val="18"/>
              </w:rPr>
              <w:t xml:space="preserve">Source code, CI/CD</w:t>
            </w:r>
          </w:p>
        </w:tc>
        <w:tc>
          <w:tcPr>
            <w:tcW w:type="dxa" w:w="1200"/>
            <w:shd w:fill="FFFFFF" w:val="clear"/>
            <w:tcMar>
              <w:top w:type="dxa" w:w="60"/>
              <w:left w:type="dxa" w:w="80"/>
              <w:bottom w:type="dxa" w:w="60"/>
              <w:right w:type="dxa" w:w="80"/>
            </w:tcMar>
            <w:vAlign w:val="center"/>
          </w:tcPr>
          <w:p>
            <w:r>
              <w:rPr>
                <w:b w:val="false"/>
                <w:bCs w:val="false"/>
                <w:sz w:val="18"/>
                <w:szCs w:val="18"/>
              </w:rPr>
              <w:t xml:space="preserve">Customer data</w:t>
            </w:r>
          </w:p>
        </w:tc>
        <w:tc>
          <w:tcPr>
            <w:tcW w:type="dxa" w:w="900"/>
            <w:shd w:fill="FFFFFF" w:val="clear"/>
            <w:tcMar>
              <w:top w:type="dxa" w:w="60"/>
              <w:left w:type="dxa" w:w="80"/>
              <w:bottom w:type="dxa" w:w="60"/>
              <w:right w:type="dxa" w:w="80"/>
            </w:tcMar>
            <w:vAlign w:val="center"/>
          </w:tcPr>
          <w:p>
            <w:r>
              <w:rPr>
                <w:b w:val="false"/>
                <w:bCs w:val="false"/>
                <w:sz w:val="18"/>
                <w:szCs w:val="18"/>
              </w:rPr>
              <w:t xml:space="preserve">Offshore</w:t>
            </w:r>
          </w:p>
        </w:tc>
        <w:tc>
          <w:tcPr>
            <w:tcW w:type="dxa" w:w="780"/>
            <w:shd w:fill="FFFFFF" w:val="clear"/>
            <w:tcMar>
              <w:top w:type="dxa" w:w="60"/>
              <w:left w:type="dxa" w:w="80"/>
              <w:bottom w:type="dxa" w:w="60"/>
              <w:right w:type="dxa" w:w="80"/>
            </w:tcMar>
            <w:vAlign w:val="center"/>
          </w:tcPr>
          <w:p>
            <w:r>
              <w:rPr>
                <w:b w:val="false"/>
                <w:bCs w:val="false"/>
                <w:sz w:val="18"/>
                <w:szCs w:val="18"/>
              </w:rPr>
              <w:t xml:space="preserve">High</w:t>
            </w:r>
          </w:p>
        </w:tc>
      </w:tr>
      <w:tr>
        <w:tc>
          <w:tcPr>
            <w:tcW w:type="dxa" w:w="900"/>
            <w:shd w:fill="F2F2F2" w:val="clear"/>
            <w:tcMar>
              <w:top w:type="dxa" w:w="60"/>
              <w:left w:type="dxa" w:w="80"/>
              <w:bottom w:type="dxa" w:w="60"/>
              <w:right w:type="dxa" w:w="80"/>
            </w:tcMar>
            <w:vAlign w:val="center"/>
          </w:tcPr>
          <w:p>
            <w:r>
              <w:rPr>
                <w:b w:val="false"/>
                <w:bCs w:val="false"/>
                <w:sz w:val="18"/>
                <w:szCs w:val="18"/>
              </w:rPr>
              <w:t xml:space="preserve">OR-02</w:t>
            </w:r>
          </w:p>
        </w:tc>
        <w:tc>
          <w:tcPr>
            <w:tcW w:type="dxa" w:w="1600"/>
            <w:shd w:fill="F2F2F2" w:val="clear"/>
            <w:tcMar>
              <w:top w:type="dxa" w:w="60"/>
              <w:left w:type="dxa" w:w="80"/>
              <w:bottom w:type="dxa" w:w="60"/>
              <w:right w:type="dxa" w:w="80"/>
            </w:tcMar>
            <w:vAlign w:val="center"/>
          </w:tcPr>
          <w:p>
            <w:r>
              <w:rPr>
                <w:b w:val="false"/>
                <w:bCs w:val="false"/>
                <w:sz w:val="18"/>
                <w:szCs w:val="18"/>
              </w:rPr>
              <w:t xml:space="preserve">Support Engineer</w:t>
            </w:r>
          </w:p>
        </w:tc>
        <w:tc>
          <w:tcPr>
            <w:tcW w:type="dxa" w:w="1900"/>
            <w:shd w:fill="F2F2F2" w:val="clear"/>
            <w:tcMar>
              <w:top w:type="dxa" w:w="60"/>
              <w:left w:type="dxa" w:w="80"/>
              <w:bottom w:type="dxa" w:w="60"/>
              <w:right w:type="dxa" w:w="80"/>
            </w:tcMar>
            <w:vAlign w:val="center"/>
          </w:tcPr>
          <w:p>
            <w:r>
              <w:rPr>
                <w:b w:val="false"/>
                <w:bCs w:val="false"/>
                <w:sz w:val="18"/>
                <w:szCs w:val="18"/>
              </w:rPr>
              <w:t xml:space="preserve">ABC Technologies</w:t>
            </w:r>
          </w:p>
        </w:tc>
        <w:tc>
          <w:tcPr>
            <w:tcW w:type="dxa" w:w="1200"/>
            <w:shd w:fill="F2F2F2" w:val="clear"/>
            <w:tcMar>
              <w:top w:type="dxa" w:w="60"/>
              <w:left w:type="dxa" w:w="80"/>
              <w:bottom w:type="dxa" w:w="60"/>
              <w:right w:type="dxa" w:w="80"/>
            </w:tcMar>
            <w:vAlign w:val="center"/>
          </w:tcPr>
          <w:p>
            <w:r>
              <w:rPr>
                <w:b w:val="false"/>
                <w:bCs w:val="false"/>
                <w:sz w:val="18"/>
                <w:szCs w:val="18"/>
              </w:rPr>
              <w:t xml:space="preserve">Medium</w:t>
            </w:r>
          </w:p>
        </w:tc>
        <w:tc>
          <w:tcPr>
            <w:tcW w:type="dxa" w:w="1600"/>
            <w:shd w:fill="F2F2F2" w:val="clear"/>
            <w:tcMar>
              <w:top w:type="dxa" w:w="60"/>
              <w:left w:type="dxa" w:w="80"/>
              <w:bottom w:type="dxa" w:w="60"/>
              <w:right w:type="dxa" w:w="80"/>
            </w:tcMar>
            <w:vAlign w:val="center"/>
          </w:tcPr>
          <w:p>
            <w:r>
              <w:rPr>
                <w:b w:val="false"/>
                <w:bCs w:val="false"/>
                <w:sz w:val="18"/>
                <w:szCs w:val="18"/>
              </w:rPr>
              <w:t xml:space="preserve">Logs, Prod (read-only)</w:t>
            </w:r>
          </w:p>
        </w:tc>
        <w:tc>
          <w:tcPr>
            <w:tcW w:type="dxa" w:w="1200"/>
            <w:shd w:fill="F2F2F2" w:val="clear"/>
            <w:tcMar>
              <w:top w:type="dxa" w:w="60"/>
              <w:left w:type="dxa" w:w="80"/>
              <w:bottom w:type="dxa" w:w="60"/>
              <w:right w:type="dxa" w:w="80"/>
            </w:tcMar>
            <w:vAlign w:val="center"/>
          </w:tcPr>
          <w:p>
            <w:r>
              <w:rPr>
                <w:b w:val="false"/>
                <w:bCs w:val="false"/>
                <w:sz w:val="18"/>
                <w:szCs w:val="18"/>
              </w:rPr>
              <w:t xml:space="preserve">Financial data</w:t>
            </w:r>
          </w:p>
        </w:tc>
        <w:tc>
          <w:tcPr>
            <w:tcW w:type="dxa" w:w="900"/>
            <w:shd w:fill="F2F2F2" w:val="clear"/>
            <w:tcMar>
              <w:top w:type="dxa" w:w="60"/>
              <w:left w:type="dxa" w:w="80"/>
              <w:bottom w:type="dxa" w:w="60"/>
              <w:right w:type="dxa" w:w="80"/>
            </w:tcMar>
            <w:vAlign w:val="center"/>
          </w:tcPr>
          <w:p>
            <w:r>
              <w:rPr>
                <w:b w:val="false"/>
                <w:bCs w:val="false"/>
                <w:sz w:val="18"/>
                <w:szCs w:val="18"/>
              </w:rPr>
              <w:t xml:space="preserve">EU</w:t>
            </w:r>
          </w:p>
        </w:tc>
        <w:tc>
          <w:tcPr>
            <w:tcW w:type="dxa" w:w="780"/>
            <w:shd w:fill="F2F2F2" w:val="clear"/>
            <w:tcMar>
              <w:top w:type="dxa" w:w="60"/>
              <w:left w:type="dxa" w:w="80"/>
              <w:bottom w:type="dxa" w:w="60"/>
              <w:right w:type="dxa" w:w="80"/>
            </w:tcMar>
            <w:vAlign w:val="center"/>
          </w:tcPr>
          <w:p>
            <w:r>
              <w:rPr>
                <w:b w:val="false"/>
                <w:bCs w:val="false"/>
                <w:sz w:val="18"/>
                <w:szCs w:val="18"/>
              </w:rPr>
              <w:t xml:space="preserve">Medium</w:t>
            </w:r>
          </w:p>
        </w:tc>
      </w:tr>
      <w:tr>
        <w:tc>
          <w:tcPr>
            <w:tcW w:type="dxa" w:w="900"/>
            <w:shd w:fill="FFFFFF" w:val="clear"/>
            <w:tcMar>
              <w:top w:type="dxa" w:w="60"/>
              <w:left w:type="dxa" w:w="80"/>
              <w:bottom w:type="dxa" w:w="60"/>
              <w:right w:type="dxa" w:w="80"/>
            </w:tcMar>
            <w:vAlign w:val="center"/>
          </w:tcPr>
          <w:p>
            <w:r>
              <w:rPr>
                <w:b w:val="false"/>
                <w:bCs w:val="false"/>
                <w:sz w:val="18"/>
                <w:szCs w:val="18"/>
              </w:rPr>
              <w:t xml:space="preserve">OR-03</w:t>
            </w:r>
          </w:p>
        </w:tc>
        <w:tc>
          <w:tcPr>
            <w:tcW w:type="dxa" w:w="1600"/>
            <w:shd w:fill="FFFFFF" w:val="clear"/>
            <w:tcMar>
              <w:top w:type="dxa" w:w="60"/>
              <w:left w:type="dxa" w:w="80"/>
              <w:bottom w:type="dxa" w:w="60"/>
              <w:right w:type="dxa" w:w="80"/>
            </w:tcMar>
            <w:vAlign w:val="center"/>
          </w:tcPr>
          <w:p>
            <w:r>
              <w:rPr>
                <w:b w:val="false"/>
                <w:bCs w:val="false"/>
                <w:sz w:val="18"/>
                <w:szCs w:val="18"/>
              </w:rPr>
              <w:t xml:space="preserve">QA Engineer</w:t>
            </w:r>
          </w:p>
        </w:tc>
        <w:tc>
          <w:tcPr>
            <w:tcW w:type="dxa" w:w="1900"/>
            <w:shd w:fill="FFFFFF" w:val="clear"/>
            <w:tcMar>
              <w:top w:type="dxa" w:w="60"/>
              <w:left w:type="dxa" w:w="80"/>
              <w:bottom w:type="dxa" w:w="60"/>
              <w:right w:type="dxa" w:w="80"/>
            </w:tcMar>
            <w:vAlign w:val="center"/>
          </w:tcPr>
          <w:p>
            <w:r>
              <w:rPr>
                <w:b w:val="false"/>
                <w:bCs w:val="false"/>
                <w:sz w:val="18"/>
                <w:szCs w:val="18"/>
              </w:rPr>
              <w:t xml:space="preserve">ABC Technologies</w:t>
            </w:r>
          </w:p>
        </w:tc>
        <w:tc>
          <w:tcPr>
            <w:tcW w:type="dxa" w:w="12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1600"/>
            <w:shd w:fill="FFFFFF" w:val="clear"/>
            <w:tcMar>
              <w:top w:type="dxa" w:w="60"/>
              <w:left w:type="dxa" w:w="80"/>
              <w:bottom w:type="dxa" w:w="60"/>
              <w:right w:type="dxa" w:w="80"/>
            </w:tcMar>
            <w:vAlign w:val="center"/>
          </w:tcPr>
          <w:p>
            <w:r>
              <w:rPr>
                <w:b w:val="false"/>
                <w:bCs w:val="false"/>
                <w:sz w:val="18"/>
                <w:szCs w:val="18"/>
              </w:rPr>
              <w:t xml:space="preserve">Test environments</w:t>
            </w:r>
          </w:p>
        </w:tc>
        <w:tc>
          <w:tcPr>
            <w:tcW w:type="dxa" w:w="1200"/>
            <w:shd w:fill="FFFFFF" w:val="clear"/>
            <w:tcMar>
              <w:top w:type="dxa" w:w="60"/>
              <w:left w:type="dxa" w:w="80"/>
              <w:bottom w:type="dxa" w:w="60"/>
              <w:right w:type="dxa" w:w="80"/>
            </w:tcMar>
            <w:vAlign w:val="center"/>
          </w:tcPr>
          <w:p>
            <w:r>
              <w:rPr>
                <w:b w:val="false"/>
                <w:bCs w:val="false"/>
                <w:sz w:val="18"/>
                <w:szCs w:val="18"/>
              </w:rPr>
              <w:t xml:space="preserve">None</w:t>
            </w:r>
          </w:p>
        </w:tc>
        <w:tc>
          <w:tcPr>
            <w:tcW w:type="dxa" w:w="900"/>
            <w:shd w:fill="FFFFFF" w:val="clear"/>
            <w:tcMar>
              <w:top w:type="dxa" w:w="60"/>
              <w:left w:type="dxa" w:w="80"/>
              <w:bottom w:type="dxa" w:w="60"/>
              <w:right w:type="dxa" w:w="80"/>
            </w:tcMar>
            <w:vAlign w:val="center"/>
          </w:tcPr>
          <w:p>
            <w:r>
              <w:rPr>
                <w:b w:val="false"/>
                <w:bCs w:val="false"/>
                <w:sz w:val="18"/>
                <w:szCs w:val="18"/>
              </w:rPr>
              <w:t xml:space="preserve">EU</w:t>
            </w:r>
          </w:p>
        </w:tc>
        <w:tc>
          <w:tcPr>
            <w:tcW w:type="dxa" w:w="780"/>
            <w:shd w:fill="FFFFFF" w:val="clear"/>
            <w:tcMar>
              <w:top w:type="dxa" w:w="60"/>
              <w:left w:type="dxa" w:w="80"/>
              <w:bottom w:type="dxa" w:w="60"/>
              <w:right w:type="dxa" w:w="80"/>
            </w:tcMar>
            <w:vAlign w:val="center"/>
          </w:tcPr>
          <w:p>
            <w:r>
              <w:rPr>
                <w:b w:val="false"/>
                <w:bCs w:val="false"/>
                <w:sz w:val="18"/>
                <w:szCs w:val="18"/>
              </w:rPr>
              <w:t xml:space="preserve">Low</w:t>
            </w:r>
          </w:p>
        </w:tc>
      </w:tr>
      <w:tr>
        <w:tc>
          <w:tcPr>
            <w:tcW w:type="dxa" w:w="900"/>
            <w:shd w:fill="F2F2F2" w:val="clear"/>
            <w:tcMar>
              <w:top w:type="dxa" w:w="60"/>
              <w:left w:type="dxa" w:w="80"/>
              <w:bottom w:type="dxa" w:w="60"/>
              <w:right w:type="dxa" w:w="80"/>
            </w:tcMar>
            <w:vAlign w:val="center"/>
          </w:tcPr>
          <w:p>
            <w:r>
              <w:rPr>
                <w:b w:val="false"/>
                <w:bCs w:val="false"/>
                <w:sz w:val="18"/>
                <w:szCs w:val="18"/>
              </w:rPr>
              <w:t xml:space="preserve">OR-04</w:t>
            </w:r>
          </w:p>
        </w:tc>
        <w:tc>
          <w:tcPr>
            <w:tcW w:type="dxa" w:w="1600"/>
            <w:shd w:fill="F2F2F2" w:val="clear"/>
            <w:tcMar>
              <w:top w:type="dxa" w:w="60"/>
              <w:left w:type="dxa" w:w="80"/>
              <w:bottom w:type="dxa" w:w="60"/>
              <w:right w:type="dxa" w:w="80"/>
            </w:tcMar>
            <w:vAlign w:val="center"/>
          </w:tcPr>
          <w:p>
            <w:r>
              <w:rPr>
                <w:b w:val="false"/>
                <w:bCs w:val="false"/>
                <w:sz w:val="18"/>
                <w:szCs w:val="18"/>
              </w:rPr>
              <w:t xml:space="preserve">Admin Staff</w:t>
            </w:r>
          </w:p>
        </w:tc>
        <w:tc>
          <w:tcPr>
            <w:tcW w:type="dxa" w:w="1900"/>
            <w:shd w:fill="F2F2F2" w:val="clear"/>
            <w:tcMar>
              <w:top w:type="dxa" w:w="60"/>
              <w:left w:type="dxa" w:w="80"/>
              <w:bottom w:type="dxa" w:w="60"/>
              <w:right w:type="dxa" w:w="80"/>
            </w:tcMar>
            <w:vAlign w:val="center"/>
          </w:tcPr>
          <w:p>
            <w:r>
              <w:rPr>
                <w:b w:val="false"/>
                <w:bCs w:val="false"/>
                <w:sz w:val="18"/>
                <w:szCs w:val="18"/>
              </w:rPr>
              <w:t xml:space="preserve">ABC Technologies</w:t>
            </w:r>
          </w:p>
        </w:tc>
        <w:tc>
          <w:tcPr>
            <w:tcW w:type="dxa" w:w="1200"/>
            <w:shd w:fill="F2F2F2" w:val="clear"/>
            <w:tcMar>
              <w:top w:type="dxa" w:w="60"/>
              <w:left w:type="dxa" w:w="80"/>
              <w:bottom w:type="dxa" w:w="60"/>
              <w:right w:type="dxa" w:w="80"/>
            </w:tcMar>
            <w:vAlign w:val="center"/>
          </w:tcPr>
          <w:p>
            <w:r>
              <w:rPr>
                <w:b w:val="false"/>
                <w:bCs w:val="false"/>
                <w:sz w:val="18"/>
                <w:szCs w:val="18"/>
              </w:rPr>
              <w:t xml:space="preserve">High</w:t>
            </w:r>
          </w:p>
        </w:tc>
        <w:tc>
          <w:tcPr>
            <w:tcW w:type="dxa" w:w="1600"/>
            <w:shd w:fill="F2F2F2" w:val="clear"/>
            <w:tcMar>
              <w:top w:type="dxa" w:w="60"/>
              <w:left w:type="dxa" w:w="80"/>
              <w:bottom w:type="dxa" w:w="60"/>
              <w:right w:type="dxa" w:w="80"/>
            </w:tcMar>
            <w:vAlign w:val="center"/>
          </w:tcPr>
          <w:p>
            <w:r>
              <w:rPr>
                <w:b w:val="false"/>
                <w:bCs w:val="false"/>
                <w:sz w:val="18"/>
                <w:szCs w:val="18"/>
              </w:rPr>
              <w:t xml:space="preserve">CI/CD, monitoring tools</w:t>
            </w:r>
          </w:p>
        </w:tc>
        <w:tc>
          <w:tcPr>
            <w:tcW w:type="dxa" w:w="1200"/>
            <w:shd w:fill="F2F2F2" w:val="clear"/>
            <w:tcMar>
              <w:top w:type="dxa" w:w="60"/>
              <w:left w:type="dxa" w:w="80"/>
              <w:bottom w:type="dxa" w:w="60"/>
              <w:right w:type="dxa" w:w="80"/>
            </w:tcMar>
            <w:vAlign w:val="center"/>
          </w:tcPr>
          <w:p>
            <w:r>
              <w:rPr>
                <w:b w:val="false"/>
                <w:bCs w:val="false"/>
                <w:sz w:val="18"/>
                <w:szCs w:val="18"/>
              </w:rPr>
              <w:t xml:space="preserve">Operational data</w:t>
            </w:r>
          </w:p>
        </w:tc>
        <w:tc>
          <w:tcPr>
            <w:tcW w:type="dxa" w:w="900"/>
            <w:shd w:fill="F2F2F2" w:val="clear"/>
            <w:tcMar>
              <w:top w:type="dxa" w:w="60"/>
              <w:left w:type="dxa" w:w="80"/>
              <w:bottom w:type="dxa" w:w="60"/>
              <w:right w:type="dxa" w:w="80"/>
            </w:tcMar>
            <w:vAlign w:val="center"/>
          </w:tcPr>
          <w:p>
            <w:r>
              <w:rPr>
                <w:b w:val="false"/>
                <w:bCs w:val="false"/>
                <w:sz w:val="18"/>
                <w:szCs w:val="18"/>
              </w:rPr>
              <w:t xml:space="preserve">Offshore</w:t>
            </w:r>
          </w:p>
        </w:tc>
        <w:tc>
          <w:tcPr>
            <w:tcW w:type="dxa" w:w="780"/>
            <w:shd w:fill="F2F2F2" w:val="clear"/>
            <w:tcMar>
              <w:top w:type="dxa" w:w="60"/>
              <w:left w:type="dxa" w:w="80"/>
              <w:bottom w:type="dxa" w:w="60"/>
              <w:right w:type="dxa" w:w="80"/>
            </w:tcMar>
            <w:vAlign w:val="center"/>
          </w:tcPr>
          <w:p>
            <w:r>
              <w:rPr>
                <w:b w:val="false"/>
                <w:bCs w:val="false"/>
                <w:sz w:val="18"/>
                <w:szCs w:val="18"/>
              </w:rPr>
              <w:t xml:space="preserve">High</w:t>
            </w:r>
          </w:p>
        </w:tc>
      </w:tr>
      <w:tr>
        <w:tc>
          <w:tcPr>
            <w:tcW w:type="dxa" w:w="900"/>
            <w:shd w:fill="FFFFFF" w:val="clear"/>
            <w:tcMar>
              <w:top w:type="dxa" w:w="60"/>
              <w:left w:type="dxa" w:w="80"/>
              <w:bottom w:type="dxa" w:w="60"/>
              <w:right w:type="dxa" w:w="80"/>
            </w:tcMar>
            <w:vAlign w:val="center"/>
          </w:tcPr>
          <w:p>
            <w:r>
              <w:rPr>
                <w:b w:val="false"/>
                <w:bCs w:val="false"/>
                <w:sz w:val="18"/>
                <w:szCs w:val="18"/>
              </w:rPr>
              <w:t xml:space="preserve">OR-05</w:t>
            </w:r>
          </w:p>
        </w:tc>
        <w:tc>
          <w:tcPr>
            <w:tcW w:type="dxa" w:w="1600"/>
            <w:shd w:fill="FFFFFF" w:val="clear"/>
            <w:tcMar>
              <w:top w:type="dxa" w:w="60"/>
              <w:left w:type="dxa" w:w="80"/>
              <w:bottom w:type="dxa" w:w="60"/>
              <w:right w:type="dxa" w:w="80"/>
            </w:tcMar>
            <w:vAlign w:val="center"/>
          </w:tcPr>
          <w:p>
            <w:r>
              <w:rPr>
                <w:b w:val="false"/>
                <w:bCs w:val="false"/>
                <w:sz w:val="18"/>
                <w:szCs w:val="18"/>
              </w:rPr>
              <w:t xml:space="preserve">Developer</w:t>
            </w:r>
          </w:p>
        </w:tc>
        <w:tc>
          <w:tcPr>
            <w:tcW w:type="dxa" w:w="1900"/>
            <w:shd w:fill="FFFFFF" w:val="clear"/>
            <w:tcMar>
              <w:top w:type="dxa" w:w="60"/>
              <w:left w:type="dxa" w:w="80"/>
              <w:bottom w:type="dxa" w:w="60"/>
              <w:right w:type="dxa" w:w="80"/>
            </w:tcMar>
            <w:vAlign w:val="center"/>
          </w:tcPr>
          <w:p>
            <w:r>
              <w:rPr>
                <w:b w:val="false"/>
                <w:bCs w:val="false"/>
                <w:sz w:val="18"/>
                <w:szCs w:val="18"/>
              </w:rPr>
              <w:t xml:space="preserve">ABC Technologies</w:t>
            </w:r>
          </w:p>
        </w:tc>
        <w:tc>
          <w:tcPr>
            <w:tcW w:type="dxa" w:w="1200"/>
            <w:shd w:fill="FFFFFF" w:val="clear"/>
            <w:tcMar>
              <w:top w:type="dxa" w:w="60"/>
              <w:left w:type="dxa" w:w="80"/>
              <w:bottom w:type="dxa" w:w="60"/>
              <w:right w:type="dxa" w:w="80"/>
            </w:tcMar>
            <w:vAlign w:val="center"/>
          </w:tcPr>
          <w:p>
            <w:r>
              <w:rPr>
                <w:b w:val="false"/>
                <w:bCs w:val="false"/>
                <w:sz w:val="18"/>
                <w:szCs w:val="18"/>
              </w:rPr>
              <w:t xml:space="preserve">High</w:t>
            </w:r>
          </w:p>
        </w:tc>
        <w:tc>
          <w:tcPr>
            <w:tcW w:type="dxa" w:w="1600"/>
            <w:shd w:fill="FFFFFF" w:val="clear"/>
            <w:tcMar>
              <w:top w:type="dxa" w:w="60"/>
              <w:left w:type="dxa" w:w="80"/>
              <w:bottom w:type="dxa" w:w="60"/>
              <w:right w:type="dxa" w:w="80"/>
            </w:tcMar>
            <w:vAlign w:val="center"/>
          </w:tcPr>
          <w:p>
            <w:r>
              <w:rPr>
                <w:b w:val="false"/>
                <w:bCs w:val="false"/>
                <w:sz w:val="18"/>
                <w:szCs w:val="18"/>
              </w:rPr>
              <w:t xml:space="preserve">Source code, CI/CD</w:t>
            </w:r>
          </w:p>
        </w:tc>
        <w:tc>
          <w:tcPr>
            <w:tcW w:type="dxa" w:w="1200"/>
            <w:shd w:fill="FFFFFF" w:val="clear"/>
            <w:tcMar>
              <w:top w:type="dxa" w:w="60"/>
              <w:left w:type="dxa" w:w="80"/>
              <w:bottom w:type="dxa" w:w="60"/>
              <w:right w:type="dxa" w:w="80"/>
            </w:tcMar>
            <w:vAlign w:val="center"/>
          </w:tcPr>
          <w:p>
            <w:r>
              <w:rPr>
                <w:b w:val="false"/>
                <w:bCs w:val="false"/>
                <w:sz w:val="18"/>
                <w:szCs w:val="18"/>
              </w:rPr>
              <w:t xml:space="preserve">Customer data</w:t>
            </w:r>
          </w:p>
        </w:tc>
        <w:tc>
          <w:tcPr>
            <w:tcW w:type="dxa" w:w="900"/>
            <w:shd w:fill="FFFFFF" w:val="clear"/>
            <w:tcMar>
              <w:top w:type="dxa" w:w="60"/>
              <w:left w:type="dxa" w:w="80"/>
              <w:bottom w:type="dxa" w:w="60"/>
              <w:right w:type="dxa" w:w="80"/>
            </w:tcMar>
            <w:vAlign w:val="center"/>
          </w:tcPr>
          <w:p>
            <w:r>
              <w:rPr>
                <w:b w:val="false"/>
                <w:bCs w:val="false"/>
                <w:sz w:val="18"/>
                <w:szCs w:val="18"/>
              </w:rPr>
              <w:t xml:space="preserve">EU</w:t>
            </w:r>
          </w:p>
        </w:tc>
        <w:tc>
          <w:tcPr>
            <w:tcW w:type="dxa" w:w="780"/>
            <w:shd w:fill="FFFFFF" w:val="clear"/>
            <w:tcMar>
              <w:top w:type="dxa" w:w="60"/>
              <w:left w:type="dxa" w:w="80"/>
              <w:bottom w:type="dxa" w:w="60"/>
              <w:right w:type="dxa" w:w="80"/>
            </w:tcMar>
            <w:vAlign w:val="center"/>
          </w:tcPr>
          <w:p>
            <w:r>
              <w:rPr>
                <w:b w:val="false"/>
                <w:bCs w:val="false"/>
                <w:sz w:val="18"/>
                <w:szCs w:val="18"/>
              </w:rPr>
              <w:t xml:space="preserve">Medium</w:t>
            </w:r>
          </w:p>
        </w:tc>
      </w:tr>
      <w:tr>
        <w:tc>
          <w:tcPr>
            <w:tcW w:type="dxa" w:w="900"/>
            <w:shd w:fill="F2F2F2" w:val="clear"/>
            <w:tcMar>
              <w:top w:type="dxa" w:w="60"/>
              <w:left w:type="dxa" w:w="80"/>
              <w:bottom w:type="dxa" w:w="60"/>
              <w:right w:type="dxa" w:w="80"/>
            </w:tcMar>
            <w:vAlign w:val="center"/>
          </w:tcPr>
          <w:p>
            <w:r>
              <w:rPr>
                <w:b w:val="false"/>
                <w:bCs w:val="false"/>
                <w:sz w:val="18"/>
                <w:szCs w:val="18"/>
              </w:rPr>
              <w:t xml:space="preserve">OR-06</w:t>
            </w:r>
          </w:p>
        </w:tc>
        <w:tc>
          <w:tcPr>
            <w:tcW w:type="dxa" w:w="1600"/>
            <w:shd w:fill="F2F2F2" w:val="clear"/>
            <w:tcMar>
              <w:top w:type="dxa" w:w="60"/>
              <w:left w:type="dxa" w:w="80"/>
              <w:bottom w:type="dxa" w:w="60"/>
              <w:right w:type="dxa" w:w="80"/>
            </w:tcMar>
            <w:vAlign w:val="center"/>
          </w:tcPr>
          <w:p>
            <w:r>
              <w:rPr>
                <w:b w:val="false"/>
                <w:bCs w:val="false"/>
                <w:sz w:val="18"/>
                <w:szCs w:val="18"/>
              </w:rPr>
              <w:t xml:space="preserve">Support Engineer</w:t>
            </w:r>
          </w:p>
        </w:tc>
        <w:tc>
          <w:tcPr>
            <w:tcW w:type="dxa" w:w="1900"/>
            <w:shd w:fill="F2F2F2" w:val="clear"/>
            <w:tcMar>
              <w:top w:type="dxa" w:w="60"/>
              <w:left w:type="dxa" w:w="80"/>
              <w:bottom w:type="dxa" w:w="60"/>
              <w:right w:type="dxa" w:w="80"/>
            </w:tcMar>
            <w:vAlign w:val="center"/>
          </w:tcPr>
          <w:p>
            <w:r>
              <w:rPr>
                <w:b w:val="false"/>
                <w:bCs w:val="false"/>
                <w:sz w:val="18"/>
                <w:szCs w:val="18"/>
              </w:rPr>
              <w:t xml:space="preserve">ABC Technologies</w:t>
            </w:r>
          </w:p>
        </w:tc>
        <w:tc>
          <w:tcPr>
            <w:tcW w:type="dxa" w:w="1200"/>
            <w:shd w:fill="F2F2F2" w:val="clear"/>
            <w:tcMar>
              <w:top w:type="dxa" w:w="60"/>
              <w:left w:type="dxa" w:w="80"/>
              <w:bottom w:type="dxa" w:w="60"/>
              <w:right w:type="dxa" w:w="80"/>
            </w:tcMar>
            <w:vAlign w:val="center"/>
          </w:tcPr>
          <w:p>
            <w:r>
              <w:rPr>
                <w:b w:val="false"/>
                <w:bCs w:val="false"/>
                <w:sz w:val="18"/>
                <w:szCs w:val="18"/>
              </w:rPr>
              <w:t xml:space="preserve">Medium</w:t>
            </w:r>
          </w:p>
        </w:tc>
        <w:tc>
          <w:tcPr>
            <w:tcW w:type="dxa" w:w="1600"/>
            <w:shd w:fill="F2F2F2" w:val="clear"/>
            <w:tcMar>
              <w:top w:type="dxa" w:w="60"/>
              <w:left w:type="dxa" w:w="80"/>
              <w:bottom w:type="dxa" w:w="60"/>
              <w:right w:type="dxa" w:w="80"/>
            </w:tcMar>
            <w:vAlign w:val="center"/>
          </w:tcPr>
          <w:p>
            <w:r>
              <w:rPr>
                <w:b w:val="false"/>
                <w:bCs w:val="false"/>
                <w:sz w:val="18"/>
                <w:szCs w:val="18"/>
              </w:rPr>
              <w:t xml:space="preserve">Logs (read-only)</w:t>
            </w:r>
          </w:p>
        </w:tc>
        <w:tc>
          <w:tcPr>
            <w:tcW w:type="dxa" w:w="1200"/>
            <w:shd w:fill="F2F2F2" w:val="clear"/>
            <w:tcMar>
              <w:top w:type="dxa" w:w="60"/>
              <w:left w:type="dxa" w:w="80"/>
              <w:bottom w:type="dxa" w:w="60"/>
              <w:right w:type="dxa" w:w="80"/>
            </w:tcMar>
            <w:vAlign w:val="center"/>
          </w:tcPr>
          <w:p>
            <w:r>
              <w:rPr>
                <w:b w:val="false"/>
                <w:bCs w:val="false"/>
                <w:sz w:val="18"/>
                <w:szCs w:val="18"/>
              </w:rPr>
              <w:t xml:space="preserve">Financial data</w:t>
            </w:r>
          </w:p>
        </w:tc>
        <w:tc>
          <w:tcPr>
            <w:tcW w:type="dxa" w:w="900"/>
            <w:shd w:fill="F2F2F2" w:val="clear"/>
            <w:tcMar>
              <w:top w:type="dxa" w:w="60"/>
              <w:left w:type="dxa" w:w="80"/>
              <w:bottom w:type="dxa" w:w="60"/>
              <w:right w:type="dxa" w:w="80"/>
            </w:tcMar>
            <w:vAlign w:val="center"/>
          </w:tcPr>
          <w:p>
            <w:r>
              <w:rPr>
                <w:b w:val="false"/>
                <w:bCs w:val="false"/>
                <w:sz w:val="18"/>
                <w:szCs w:val="18"/>
              </w:rPr>
              <w:t xml:space="preserve">Offshore</w:t>
            </w:r>
          </w:p>
        </w:tc>
        <w:tc>
          <w:tcPr>
            <w:tcW w:type="dxa" w:w="780"/>
            <w:shd w:fill="F2F2F2" w:val="clear"/>
            <w:tcMar>
              <w:top w:type="dxa" w:w="60"/>
              <w:left w:type="dxa" w:w="80"/>
              <w:bottom w:type="dxa" w:w="60"/>
              <w:right w:type="dxa" w:w="80"/>
            </w:tcMar>
            <w:vAlign w:val="center"/>
          </w:tcPr>
          <w:p>
            <w:r>
              <w:rPr>
                <w:b w:val="false"/>
                <w:bCs w:val="false"/>
                <w:sz w:val="18"/>
                <w:szCs w:val="18"/>
              </w:rPr>
              <w:t xml:space="preserve">High</w:t>
            </w:r>
          </w:p>
        </w:tc>
      </w:tr>
      <w:tr>
        <w:tc>
          <w:tcPr>
            <w:tcW w:type="dxa" w:w="900"/>
            <w:shd w:fill="FFFFFF" w:val="clear"/>
            <w:tcMar>
              <w:top w:type="dxa" w:w="60"/>
              <w:left w:type="dxa" w:w="80"/>
              <w:bottom w:type="dxa" w:w="60"/>
              <w:right w:type="dxa" w:w="80"/>
            </w:tcMar>
            <w:vAlign w:val="center"/>
          </w:tcPr>
          <w:p>
            <w:r>
              <w:rPr>
                <w:b w:val="false"/>
                <w:bCs w:val="false"/>
                <w:sz w:val="18"/>
                <w:szCs w:val="18"/>
              </w:rPr>
              <w:t xml:space="preserve">OR-07</w:t>
            </w:r>
          </w:p>
        </w:tc>
        <w:tc>
          <w:tcPr>
            <w:tcW w:type="dxa" w:w="1600"/>
            <w:shd w:fill="FFFFFF" w:val="clear"/>
            <w:tcMar>
              <w:top w:type="dxa" w:w="60"/>
              <w:left w:type="dxa" w:w="80"/>
              <w:bottom w:type="dxa" w:w="60"/>
              <w:right w:type="dxa" w:w="80"/>
            </w:tcMar>
            <w:vAlign w:val="center"/>
          </w:tcPr>
          <w:p>
            <w:r>
              <w:rPr>
                <w:b w:val="false"/>
                <w:bCs w:val="false"/>
                <w:sz w:val="18"/>
                <w:szCs w:val="18"/>
              </w:rPr>
              <w:t xml:space="preserve">QA Engineer</w:t>
            </w:r>
          </w:p>
        </w:tc>
        <w:tc>
          <w:tcPr>
            <w:tcW w:type="dxa" w:w="1900"/>
            <w:shd w:fill="FFFFFF" w:val="clear"/>
            <w:tcMar>
              <w:top w:type="dxa" w:w="60"/>
              <w:left w:type="dxa" w:w="80"/>
              <w:bottom w:type="dxa" w:w="60"/>
              <w:right w:type="dxa" w:w="80"/>
            </w:tcMar>
            <w:vAlign w:val="center"/>
          </w:tcPr>
          <w:p>
            <w:r>
              <w:rPr>
                <w:b w:val="false"/>
                <w:bCs w:val="false"/>
                <w:sz w:val="18"/>
                <w:szCs w:val="18"/>
              </w:rPr>
              <w:t xml:space="preserve">QA Solutions Ltd.</w:t>
            </w:r>
          </w:p>
        </w:tc>
        <w:tc>
          <w:tcPr>
            <w:tcW w:type="dxa" w:w="1200"/>
            <w:shd w:fill="FFFFFF" w:val="clear"/>
            <w:tcMar>
              <w:top w:type="dxa" w:w="60"/>
              <w:left w:type="dxa" w:w="80"/>
              <w:bottom w:type="dxa" w:w="60"/>
              <w:right w:type="dxa" w:w="80"/>
            </w:tcMar>
            <w:vAlign w:val="center"/>
          </w:tcPr>
          <w:p>
            <w:r>
              <w:rPr>
                <w:b w:val="false"/>
                <w:bCs w:val="false"/>
                <w:sz w:val="18"/>
                <w:szCs w:val="18"/>
              </w:rPr>
              <w:t xml:space="preserve">Low</w:t>
            </w:r>
          </w:p>
        </w:tc>
        <w:tc>
          <w:tcPr>
            <w:tcW w:type="dxa" w:w="1600"/>
            <w:shd w:fill="FFFFFF" w:val="clear"/>
            <w:tcMar>
              <w:top w:type="dxa" w:w="60"/>
              <w:left w:type="dxa" w:w="80"/>
              <w:bottom w:type="dxa" w:w="60"/>
              <w:right w:type="dxa" w:w="80"/>
            </w:tcMar>
            <w:vAlign w:val="center"/>
          </w:tcPr>
          <w:p>
            <w:r>
              <w:rPr>
                <w:b w:val="false"/>
                <w:bCs w:val="false"/>
                <w:sz w:val="18"/>
                <w:szCs w:val="18"/>
              </w:rPr>
              <w:t xml:space="preserve">Test environments only</w:t>
            </w:r>
          </w:p>
        </w:tc>
        <w:tc>
          <w:tcPr>
            <w:tcW w:type="dxa" w:w="1200"/>
            <w:shd w:fill="FFFFFF" w:val="clear"/>
            <w:tcMar>
              <w:top w:type="dxa" w:w="60"/>
              <w:left w:type="dxa" w:w="80"/>
              <w:bottom w:type="dxa" w:w="60"/>
              <w:right w:type="dxa" w:w="80"/>
            </w:tcMar>
            <w:vAlign w:val="center"/>
          </w:tcPr>
          <w:p>
            <w:r>
              <w:rPr>
                <w:b w:val="false"/>
                <w:bCs w:val="false"/>
                <w:sz w:val="18"/>
                <w:szCs w:val="18"/>
              </w:rPr>
              <w:t xml:space="preserve">None (synthetic)</w:t>
            </w:r>
          </w:p>
        </w:tc>
        <w:tc>
          <w:tcPr>
            <w:tcW w:type="dxa" w:w="900"/>
            <w:shd w:fill="FFFFFF" w:val="clear"/>
            <w:tcMar>
              <w:top w:type="dxa" w:w="60"/>
              <w:left w:type="dxa" w:w="80"/>
              <w:bottom w:type="dxa" w:w="60"/>
              <w:right w:type="dxa" w:w="80"/>
            </w:tcMar>
            <w:vAlign w:val="center"/>
          </w:tcPr>
          <w:p>
            <w:r>
              <w:rPr>
                <w:b w:val="false"/>
                <w:bCs w:val="false"/>
                <w:sz w:val="18"/>
                <w:szCs w:val="18"/>
              </w:rPr>
              <w:t xml:space="preserve">EU</w:t>
            </w:r>
          </w:p>
        </w:tc>
        <w:tc>
          <w:tcPr>
            <w:tcW w:type="dxa" w:w="780"/>
            <w:shd w:fill="FFFFFF" w:val="clear"/>
            <w:tcMar>
              <w:top w:type="dxa" w:w="60"/>
              <w:left w:type="dxa" w:w="80"/>
              <w:bottom w:type="dxa" w:w="60"/>
              <w:right w:type="dxa" w:w="80"/>
            </w:tcMar>
            <w:vAlign w:val="center"/>
          </w:tcPr>
          <w:p>
            <w:r>
              <w:rPr>
                <w:b w:val="false"/>
                <w:bCs w:val="false"/>
                <w:sz w:val="18"/>
                <w:szCs w:val="18"/>
              </w:rPr>
              <w:t xml:space="preserve">Low</w:t>
            </w:r>
          </w:p>
        </w:tc>
      </w:tr>
      <w:tr>
        <w:tc>
          <w:tcPr>
            <w:tcW w:type="dxa" w:w="900"/>
            <w:shd w:fill="F2F2F2" w:val="clear"/>
            <w:tcMar>
              <w:top w:type="dxa" w:w="60"/>
              <w:left w:type="dxa" w:w="80"/>
              <w:bottom w:type="dxa" w:w="60"/>
              <w:right w:type="dxa" w:w="80"/>
            </w:tcMar>
            <w:vAlign w:val="center"/>
          </w:tcPr>
          <w:p>
            <w:r>
              <w:rPr>
                <w:b w:val="false"/>
                <w:bCs w:val="false"/>
                <w:sz w:val="18"/>
                <w:szCs w:val="18"/>
              </w:rPr>
              <w:t xml:space="preserve">OR-08</w:t>
            </w:r>
          </w:p>
        </w:tc>
        <w:tc>
          <w:tcPr>
            <w:tcW w:type="dxa" w:w="1600"/>
            <w:shd w:fill="F2F2F2" w:val="clear"/>
            <w:tcMar>
              <w:top w:type="dxa" w:w="60"/>
              <w:left w:type="dxa" w:w="80"/>
              <w:bottom w:type="dxa" w:w="60"/>
              <w:right w:type="dxa" w:w="80"/>
            </w:tcMar>
            <w:vAlign w:val="center"/>
          </w:tcPr>
          <w:p>
            <w:r>
              <w:rPr>
                <w:b w:val="false"/>
                <w:bCs w:val="false"/>
                <w:sz w:val="18"/>
                <w:szCs w:val="18"/>
              </w:rPr>
              <w:t xml:space="preserve">QA Engineer</w:t>
            </w:r>
          </w:p>
        </w:tc>
        <w:tc>
          <w:tcPr>
            <w:tcW w:type="dxa" w:w="1900"/>
            <w:shd w:fill="F2F2F2" w:val="clear"/>
            <w:tcMar>
              <w:top w:type="dxa" w:w="60"/>
              <w:left w:type="dxa" w:w="80"/>
              <w:bottom w:type="dxa" w:w="60"/>
              <w:right w:type="dxa" w:w="80"/>
            </w:tcMar>
            <w:vAlign w:val="center"/>
          </w:tcPr>
          <w:p>
            <w:r>
              <w:rPr>
                <w:b w:val="false"/>
                <w:bCs w:val="false"/>
                <w:sz w:val="18"/>
                <w:szCs w:val="18"/>
              </w:rPr>
              <w:t xml:space="preserve">QA Solutions Ltd.</w:t>
            </w:r>
          </w:p>
        </w:tc>
        <w:tc>
          <w:tcPr>
            <w:tcW w:type="dxa" w:w="1200"/>
            <w:shd w:fill="F2F2F2" w:val="clear"/>
            <w:tcMar>
              <w:top w:type="dxa" w:w="60"/>
              <w:left w:type="dxa" w:w="80"/>
              <w:bottom w:type="dxa" w:w="60"/>
              <w:right w:type="dxa" w:w="80"/>
            </w:tcMar>
            <w:vAlign w:val="center"/>
          </w:tcPr>
          <w:p>
            <w:r>
              <w:rPr>
                <w:b w:val="false"/>
                <w:bCs w:val="false"/>
                <w:sz w:val="18"/>
                <w:szCs w:val="18"/>
              </w:rPr>
              <w:t xml:space="preserve">Low</w:t>
            </w:r>
          </w:p>
        </w:tc>
        <w:tc>
          <w:tcPr>
            <w:tcW w:type="dxa" w:w="1600"/>
            <w:shd w:fill="F2F2F2" w:val="clear"/>
            <w:tcMar>
              <w:top w:type="dxa" w:w="60"/>
              <w:left w:type="dxa" w:w="80"/>
              <w:bottom w:type="dxa" w:w="60"/>
              <w:right w:type="dxa" w:w="80"/>
            </w:tcMar>
            <w:vAlign w:val="center"/>
          </w:tcPr>
          <w:p>
            <w:r>
              <w:rPr>
                <w:b w:val="false"/>
                <w:bCs w:val="false"/>
                <w:sz w:val="18"/>
                <w:szCs w:val="18"/>
              </w:rPr>
              <w:t xml:space="preserve">Test environments only</w:t>
            </w:r>
          </w:p>
        </w:tc>
        <w:tc>
          <w:tcPr>
            <w:tcW w:type="dxa" w:w="1200"/>
            <w:shd w:fill="F2F2F2" w:val="clear"/>
            <w:tcMar>
              <w:top w:type="dxa" w:w="60"/>
              <w:left w:type="dxa" w:w="80"/>
              <w:bottom w:type="dxa" w:w="60"/>
              <w:right w:type="dxa" w:w="80"/>
            </w:tcMar>
            <w:vAlign w:val="center"/>
          </w:tcPr>
          <w:p>
            <w:r>
              <w:rPr>
                <w:b w:val="false"/>
                <w:bCs w:val="false"/>
                <w:sz w:val="18"/>
                <w:szCs w:val="18"/>
              </w:rPr>
              <w:t xml:space="preserve">None (synthetic)</w:t>
            </w:r>
          </w:p>
        </w:tc>
        <w:tc>
          <w:tcPr>
            <w:tcW w:type="dxa" w:w="900"/>
            <w:shd w:fill="F2F2F2" w:val="clear"/>
            <w:tcMar>
              <w:top w:type="dxa" w:w="60"/>
              <w:left w:type="dxa" w:w="80"/>
              <w:bottom w:type="dxa" w:w="60"/>
              <w:right w:type="dxa" w:w="80"/>
            </w:tcMar>
            <w:vAlign w:val="center"/>
          </w:tcPr>
          <w:p>
            <w:r>
              <w:rPr>
                <w:b w:val="false"/>
                <w:bCs w:val="false"/>
                <w:sz w:val="18"/>
                <w:szCs w:val="18"/>
              </w:rPr>
              <w:t xml:space="preserve">EU</w:t>
            </w:r>
          </w:p>
        </w:tc>
        <w:tc>
          <w:tcPr>
            <w:tcW w:type="dxa" w:w="780"/>
            <w:shd w:fill="F2F2F2" w:val="clear"/>
            <w:tcMar>
              <w:top w:type="dxa" w:w="60"/>
              <w:left w:type="dxa" w:w="80"/>
              <w:bottom w:type="dxa" w:w="60"/>
              <w:right w:type="dxa" w:w="80"/>
            </w:tcMar>
            <w:vAlign w:val="center"/>
          </w:tcPr>
          <w:p>
            <w:r>
              <w:rPr>
                <w:b w:val="false"/>
                <w:bCs w:val="false"/>
                <w:sz w:val="18"/>
                <w:szCs w:val="18"/>
              </w:rPr>
              <w:t xml:space="preserve">Low</w:t>
            </w:r>
          </w:p>
        </w:tc>
      </w:tr>
      <w:tr>
        <w:tc>
          <w:tcPr>
            <w:tcW w:type="dxa" w:w="900"/>
            <w:shd w:fill="FFFFFF" w:val="clear"/>
            <w:tcMar>
              <w:top w:type="dxa" w:w="60"/>
              <w:left w:type="dxa" w:w="80"/>
              <w:bottom w:type="dxa" w:w="60"/>
              <w:right w:type="dxa" w:w="80"/>
            </w:tcMar>
            <w:vAlign w:val="center"/>
          </w:tcPr>
          <w:p>
            <w:r>
              <w:rPr>
                <w:b w:val="false"/>
                <w:bCs w:val="false"/>
                <w:sz w:val="18"/>
                <w:szCs w:val="18"/>
              </w:rPr>
              <w:t xml:space="preserve">OR-09</w:t>
            </w:r>
          </w:p>
        </w:tc>
        <w:tc>
          <w:tcPr>
            <w:tcW w:type="dxa" w:w="1600"/>
            <w:shd w:fill="FFFFFF" w:val="clear"/>
            <w:tcMar>
              <w:top w:type="dxa" w:w="60"/>
              <w:left w:type="dxa" w:w="80"/>
              <w:bottom w:type="dxa" w:w="60"/>
              <w:right w:type="dxa" w:w="80"/>
            </w:tcMar>
            <w:vAlign w:val="center"/>
          </w:tcPr>
          <w:p>
            <w:r>
              <w:rPr>
                <w:b w:val="false"/>
                <w:bCs w:val="false"/>
                <w:sz w:val="18"/>
                <w:szCs w:val="18"/>
              </w:rPr>
              <w:t xml:space="preserve">Developer</w:t>
            </w:r>
          </w:p>
        </w:tc>
        <w:tc>
          <w:tcPr>
            <w:tcW w:type="dxa" w:w="1900"/>
            <w:shd w:fill="FFFFFF" w:val="clear"/>
            <w:tcMar>
              <w:top w:type="dxa" w:w="60"/>
              <w:left w:type="dxa" w:w="80"/>
              <w:bottom w:type="dxa" w:w="60"/>
              <w:right w:type="dxa" w:w="80"/>
            </w:tcMar>
            <w:vAlign w:val="center"/>
          </w:tcPr>
          <w:p>
            <w:r>
              <w:rPr>
                <w:b w:val="false"/>
                <w:bCs w:val="false"/>
                <w:sz w:val="18"/>
                <w:szCs w:val="18"/>
              </w:rPr>
              <w:t xml:space="preserve">ABC Technologies</w:t>
            </w:r>
          </w:p>
        </w:tc>
        <w:tc>
          <w:tcPr>
            <w:tcW w:type="dxa" w:w="1200"/>
            <w:shd w:fill="FFFFFF" w:val="clear"/>
            <w:tcMar>
              <w:top w:type="dxa" w:w="60"/>
              <w:left w:type="dxa" w:w="80"/>
              <w:bottom w:type="dxa" w:w="60"/>
              <w:right w:type="dxa" w:w="80"/>
            </w:tcMar>
            <w:vAlign w:val="center"/>
          </w:tcPr>
          <w:p>
            <w:r>
              <w:rPr>
                <w:b w:val="false"/>
                <w:bCs w:val="false"/>
                <w:sz w:val="18"/>
                <w:szCs w:val="18"/>
              </w:rPr>
              <w:t xml:space="preserve">High</w:t>
            </w:r>
          </w:p>
        </w:tc>
        <w:tc>
          <w:tcPr>
            <w:tcW w:type="dxa" w:w="1600"/>
            <w:shd w:fill="FFFFFF" w:val="clear"/>
            <w:tcMar>
              <w:top w:type="dxa" w:w="60"/>
              <w:left w:type="dxa" w:w="80"/>
              <w:bottom w:type="dxa" w:w="60"/>
              <w:right w:type="dxa" w:w="80"/>
            </w:tcMar>
            <w:vAlign w:val="center"/>
          </w:tcPr>
          <w:p>
            <w:r>
              <w:rPr>
                <w:b w:val="false"/>
                <w:bCs w:val="false"/>
                <w:sz w:val="18"/>
                <w:szCs w:val="18"/>
              </w:rPr>
              <w:t xml:space="preserve">Source code, CI/CD</w:t>
            </w:r>
          </w:p>
        </w:tc>
        <w:tc>
          <w:tcPr>
            <w:tcW w:type="dxa" w:w="1200"/>
            <w:shd w:fill="FFFFFF" w:val="clear"/>
            <w:tcMar>
              <w:top w:type="dxa" w:w="60"/>
              <w:left w:type="dxa" w:w="80"/>
              <w:bottom w:type="dxa" w:w="60"/>
              <w:right w:type="dxa" w:w="80"/>
            </w:tcMar>
            <w:vAlign w:val="center"/>
          </w:tcPr>
          <w:p>
            <w:r>
              <w:rPr>
                <w:b w:val="false"/>
                <w:bCs w:val="false"/>
                <w:sz w:val="18"/>
                <w:szCs w:val="18"/>
              </w:rPr>
              <w:t xml:space="preserve">Customer data</w:t>
            </w:r>
          </w:p>
        </w:tc>
        <w:tc>
          <w:tcPr>
            <w:tcW w:type="dxa" w:w="900"/>
            <w:shd w:fill="FFFFFF" w:val="clear"/>
            <w:tcMar>
              <w:top w:type="dxa" w:w="60"/>
              <w:left w:type="dxa" w:w="80"/>
              <w:bottom w:type="dxa" w:w="60"/>
              <w:right w:type="dxa" w:w="80"/>
            </w:tcMar>
            <w:vAlign w:val="center"/>
          </w:tcPr>
          <w:p>
            <w:r>
              <w:rPr>
                <w:b w:val="false"/>
                <w:bCs w:val="false"/>
                <w:sz w:val="18"/>
                <w:szCs w:val="18"/>
              </w:rPr>
              <w:t xml:space="preserve">Offshore</w:t>
            </w:r>
          </w:p>
        </w:tc>
        <w:tc>
          <w:tcPr>
            <w:tcW w:type="dxa" w:w="780"/>
            <w:shd w:fill="FFFFFF" w:val="clear"/>
            <w:tcMar>
              <w:top w:type="dxa" w:w="60"/>
              <w:left w:type="dxa" w:w="80"/>
              <w:bottom w:type="dxa" w:w="60"/>
              <w:right w:type="dxa" w:w="80"/>
            </w:tcMar>
            <w:vAlign w:val="center"/>
          </w:tcPr>
          <w:p>
            <w:r>
              <w:rPr>
                <w:b w:val="false"/>
                <w:bCs w:val="false"/>
                <w:sz w:val="18"/>
                <w:szCs w:val="18"/>
              </w:rPr>
              <w:t xml:space="preserve">High</w:t>
            </w:r>
          </w:p>
        </w:tc>
      </w:tr>
      <w:tr>
        <w:tc>
          <w:tcPr>
            <w:tcW w:type="dxa" w:w="900"/>
            <w:shd w:fill="F2F2F2" w:val="clear"/>
            <w:tcMar>
              <w:top w:type="dxa" w:w="60"/>
              <w:left w:type="dxa" w:w="80"/>
              <w:bottom w:type="dxa" w:w="60"/>
              <w:right w:type="dxa" w:w="80"/>
            </w:tcMar>
            <w:vAlign w:val="center"/>
          </w:tcPr>
          <w:p>
            <w:r>
              <w:rPr>
                <w:b w:val="false"/>
                <w:bCs w:val="false"/>
                <w:sz w:val="18"/>
                <w:szCs w:val="18"/>
              </w:rPr>
              <w:t xml:space="preserve">OR-10</w:t>
            </w:r>
          </w:p>
        </w:tc>
        <w:tc>
          <w:tcPr>
            <w:tcW w:type="dxa" w:w="1600"/>
            <w:shd w:fill="F2F2F2" w:val="clear"/>
            <w:tcMar>
              <w:top w:type="dxa" w:w="60"/>
              <w:left w:type="dxa" w:w="80"/>
              <w:bottom w:type="dxa" w:w="60"/>
              <w:right w:type="dxa" w:w="80"/>
            </w:tcMar>
            <w:vAlign w:val="center"/>
          </w:tcPr>
          <w:p>
            <w:r>
              <w:rPr>
                <w:b w:val="false"/>
                <w:bCs w:val="false"/>
                <w:sz w:val="18"/>
                <w:szCs w:val="18"/>
              </w:rPr>
              <w:t xml:space="preserve">Admin Staff</w:t>
            </w:r>
          </w:p>
        </w:tc>
        <w:tc>
          <w:tcPr>
            <w:tcW w:type="dxa" w:w="1900"/>
            <w:shd w:fill="F2F2F2" w:val="clear"/>
            <w:tcMar>
              <w:top w:type="dxa" w:w="60"/>
              <w:left w:type="dxa" w:w="80"/>
              <w:bottom w:type="dxa" w:w="60"/>
              <w:right w:type="dxa" w:w="80"/>
            </w:tcMar>
            <w:vAlign w:val="center"/>
          </w:tcPr>
          <w:p>
            <w:r>
              <w:rPr>
                <w:b w:val="false"/>
                <w:bCs w:val="false"/>
                <w:sz w:val="18"/>
                <w:szCs w:val="18"/>
              </w:rPr>
              <w:t xml:space="preserve">ABC Technologies</w:t>
            </w:r>
          </w:p>
        </w:tc>
        <w:tc>
          <w:tcPr>
            <w:tcW w:type="dxa" w:w="1200"/>
            <w:shd w:fill="F2F2F2" w:val="clear"/>
            <w:tcMar>
              <w:top w:type="dxa" w:w="60"/>
              <w:left w:type="dxa" w:w="80"/>
              <w:bottom w:type="dxa" w:w="60"/>
              <w:right w:type="dxa" w:w="80"/>
            </w:tcMar>
            <w:vAlign w:val="center"/>
          </w:tcPr>
          <w:p>
            <w:r>
              <w:rPr>
                <w:b w:val="false"/>
                <w:bCs w:val="false"/>
                <w:sz w:val="18"/>
                <w:szCs w:val="18"/>
              </w:rPr>
              <w:t xml:space="preserve">High</w:t>
            </w:r>
          </w:p>
        </w:tc>
        <w:tc>
          <w:tcPr>
            <w:tcW w:type="dxa" w:w="1600"/>
            <w:shd w:fill="F2F2F2" w:val="clear"/>
            <w:tcMar>
              <w:top w:type="dxa" w:w="60"/>
              <w:left w:type="dxa" w:w="80"/>
              <w:bottom w:type="dxa" w:w="60"/>
              <w:right w:type="dxa" w:w="80"/>
            </w:tcMar>
            <w:vAlign w:val="center"/>
          </w:tcPr>
          <w:p>
            <w:r>
              <w:rPr>
                <w:b w:val="false"/>
                <w:bCs w:val="false"/>
                <w:sz w:val="18"/>
                <w:szCs w:val="18"/>
              </w:rPr>
              <w:t xml:space="preserve">CI/CD, monitoring tools</w:t>
            </w:r>
          </w:p>
        </w:tc>
        <w:tc>
          <w:tcPr>
            <w:tcW w:type="dxa" w:w="1200"/>
            <w:shd w:fill="F2F2F2" w:val="clear"/>
            <w:tcMar>
              <w:top w:type="dxa" w:w="60"/>
              <w:left w:type="dxa" w:w="80"/>
              <w:bottom w:type="dxa" w:w="60"/>
              <w:right w:type="dxa" w:w="80"/>
            </w:tcMar>
            <w:vAlign w:val="center"/>
          </w:tcPr>
          <w:p>
            <w:r>
              <w:rPr>
                <w:b w:val="false"/>
                <w:bCs w:val="false"/>
                <w:sz w:val="18"/>
                <w:szCs w:val="18"/>
              </w:rPr>
              <w:t xml:space="preserve">Operational data</w:t>
            </w:r>
          </w:p>
        </w:tc>
        <w:tc>
          <w:tcPr>
            <w:tcW w:type="dxa" w:w="900"/>
            <w:shd w:fill="F2F2F2" w:val="clear"/>
            <w:tcMar>
              <w:top w:type="dxa" w:w="60"/>
              <w:left w:type="dxa" w:w="80"/>
              <w:bottom w:type="dxa" w:w="60"/>
              <w:right w:type="dxa" w:w="80"/>
            </w:tcMar>
            <w:vAlign w:val="center"/>
          </w:tcPr>
          <w:p>
            <w:r>
              <w:rPr>
                <w:b w:val="false"/>
                <w:bCs w:val="false"/>
                <w:sz w:val="18"/>
                <w:szCs w:val="18"/>
              </w:rPr>
              <w:t xml:space="preserve">EU</w:t>
            </w:r>
          </w:p>
        </w:tc>
        <w:tc>
          <w:tcPr>
            <w:tcW w:type="dxa" w:w="780"/>
            <w:shd w:fill="F2F2F2" w:val="clear"/>
            <w:tcMar>
              <w:top w:type="dxa" w:w="60"/>
              <w:left w:type="dxa" w:w="80"/>
              <w:bottom w:type="dxa" w:w="60"/>
              <w:right w:type="dxa" w:w="80"/>
            </w:tcMar>
            <w:vAlign w:val="center"/>
          </w:tcPr>
          <w:p>
            <w:r>
              <w:rPr>
                <w:b w:val="false"/>
                <w:bCs w:val="false"/>
                <w:sz w:val="18"/>
                <w:szCs w:val="18"/>
              </w:rPr>
              <w:t xml:space="preserve">Medium</w:t>
            </w:r>
          </w:p>
        </w:tc>
      </w:tr>
    </w:tbl>
    <w:p>
      <w:pPr>
        <w:pStyle w:val="Heading3"/>
        <w:spacing w:after="100" w:before="180"/>
      </w:pPr>
      <w:r>
        <w:t xml:space="preserve">Key Considerations</w:t>
      </w:r>
    </w:p>
    <w:p>
      <w:pPr>
        <w:pStyle w:val="ListParagraph"/>
        <w:numPr>
          <w:ilvl w:val="0"/>
          <w:numId w:val="1"/>
        </w:numPr>
        <w:spacing w:after="80"/>
      </w:pPr>
      <w:r>
        <w:t xml:space="preserve">Role identifies the function of the outsourced staff member</w:t>
      </w:r>
    </w:p>
    <w:p>
      <w:pPr>
        <w:pStyle w:val="ListParagraph"/>
        <w:numPr>
          <w:ilvl w:val="0"/>
          <w:numId w:val="1"/>
        </w:numPr>
        <w:spacing w:after="80"/>
      </w:pPr>
      <w:r>
        <w:t xml:space="preserve">Systems Accessed highlights which internal systems each resource can reach</w:t>
      </w:r>
    </w:p>
    <w:p>
      <w:pPr>
        <w:pStyle w:val="ListParagraph"/>
        <w:numPr>
          <w:ilvl w:val="0"/>
          <w:numId w:val="1"/>
        </w:numPr>
        <w:spacing w:after="80"/>
      </w:pPr>
      <w:r>
        <w:t xml:space="preserve">Data Type tracks the sensitivity of accessible data</w:t>
      </w:r>
    </w:p>
    <w:p>
      <w:pPr>
        <w:pStyle w:val="ListParagraph"/>
        <w:numPr>
          <w:ilvl w:val="0"/>
          <w:numId w:val="1"/>
        </w:numPr>
        <w:spacing w:after="80"/>
      </w:pPr>
      <w:r>
        <w:t xml:space="preserve">Location informs data residency and regulatory implications (DORA Art. 29 concentration risk)</w:t>
      </w:r>
    </w:p>
    <w:p>
      <w:pPr>
        <w:pStyle w:val="ListParagraph"/>
        <w:numPr>
          <w:ilvl w:val="0"/>
          <w:numId w:val="1"/>
        </w:numPr>
        <w:spacing w:after="80"/>
      </w:pPr>
      <w:r>
        <w:t xml:space="preserve">Risk Level assesses potential impact based on access and operational criticality</w:t>
      </w:r>
    </w:p>
    <w:p>
      <w:pPr>
        <w:pStyle w:val="Heading2"/>
        <w:spacing w:after="120" w:before="240"/>
      </w:pPr>
      <w:r>
        <w:t xml:space="preserve">6.2 Vendor Risk Register</w:t>
      </w:r>
    </w:p>
    <w:p>
      <w:pPr>
        <w:spacing w:after="160"/>
      </w:pPr>
      <w:r>
        <w:rPr>
          <w:b w:val="false"/>
          <w:bCs w:val="false"/>
          <w:i w:val="false"/>
          <w:iCs w:val="false"/>
          <w:sz w:val="22"/>
          <w:szCs w:val="22"/>
        </w:rPr>
        <w:t xml:space="preserve">Purpose: tracks and manages risks associated with external vendors supplying IT contractors, ensuring appropriate mitigating controls and actions are in place and owned.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900"/>
        <w:gridCol w:w="1000"/>
        <w:gridCol w:w="800"/>
        <w:gridCol w:w="1600"/>
        <w:gridCol w:w="1800"/>
        <w:gridCol w:w="900"/>
      </w:tblGrid>
      <w:tr>
        <w:trPr>
          <w:tblHeader/>
        </w:trPr>
        <w:tc>
          <w:tcPr>
            <w:tcW w:type="dxa" w:w="700"/>
            <w:shd w:fill="1F4E79" w:val="clear"/>
            <w:tcMar>
              <w:top w:type="dxa" w:w="60"/>
              <w:left w:type="dxa" w:w="80"/>
              <w:bottom w:type="dxa" w:w="60"/>
              <w:right w:type="dxa" w:w="80"/>
            </w:tcMar>
            <w:vAlign w:val="center"/>
          </w:tcPr>
          <w:p>
            <w:r>
              <w:rPr>
                <w:b/>
                <w:bCs/>
                <w:color w:val="FFFFFF"/>
                <w:sz w:val="18"/>
                <w:szCs w:val="18"/>
              </w:rPr>
              <w:t xml:space="preserve">ID</w:t>
            </w:r>
          </w:p>
        </w:tc>
        <w:tc>
          <w:tcPr>
            <w:tcW w:type="dxa" w:w="2300"/>
            <w:shd w:fill="1F4E79" w:val="clear"/>
            <w:tcMar>
              <w:top w:type="dxa" w:w="60"/>
              <w:left w:type="dxa" w:w="80"/>
              <w:bottom w:type="dxa" w:w="60"/>
              <w:right w:type="dxa" w:w="80"/>
            </w:tcMar>
            <w:vAlign w:val="center"/>
          </w:tcPr>
          <w:p>
            <w:r>
              <w:rPr>
                <w:b/>
                <w:bCs/>
                <w:color w:val="FFFFFF"/>
                <w:sz w:val="18"/>
                <w:szCs w:val="18"/>
              </w:rPr>
              <w:t xml:space="preserve">Risk Description</w:t>
            </w:r>
          </w:p>
        </w:tc>
        <w:tc>
          <w:tcPr>
            <w:tcW w:type="dxa" w:w="900"/>
            <w:shd w:fill="1F4E79" w:val="clear"/>
            <w:tcMar>
              <w:top w:type="dxa" w:w="60"/>
              <w:left w:type="dxa" w:w="80"/>
              <w:bottom w:type="dxa" w:w="60"/>
              <w:right w:type="dxa" w:w="80"/>
            </w:tcMar>
            <w:vAlign w:val="center"/>
          </w:tcPr>
          <w:p>
            <w:r>
              <w:rPr>
                <w:b/>
                <w:bCs/>
                <w:color w:val="FFFFFF"/>
                <w:sz w:val="18"/>
                <w:szCs w:val="18"/>
              </w:rPr>
              <w:t xml:space="preserve">Impact</w:t>
            </w:r>
          </w:p>
        </w:tc>
        <w:tc>
          <w:tcPr>
            <w:tcW w:type="dxa" w:w="1000"/>
            <w:shd w:fill="1F4E79" w:val="clear"/>
            <w:tcMar>
              <w:top w:type="dxa" w:w="60"/>
              <w:left w:type="dxa" w:w="80"/>
              <w:bottom w:type="dxa" w:w="60"/>
              <w:right w:type="dxa" w:w="80"/>
            </w:tcMar>
            <w:vAlign w:val="center"/>
          </w:tcPr>
          <w:p>
            <w:r>
              <w:rPr>
                <w:b/>
                <w:bCs/>
                <w:color w:val="FFFFFF"/>
                <w:sz w:val="18"/>
                <w:szCs w:val="18"/>
              </w:rPr>
              <w:t xml:space="preserve">Likelihood</w:t>
            </w:r>
          </w:p>
        </w:tc>
        <w:tc>
          <w:tcPr>
            <w:tcW w:type="dxa" w:w="800"/>
            <w:shd w:fill="1F4E79" w:val="clear"/>
            <w:tcMar>
              <w:top w:type="dxa" w:w="60"/>
              <w:left w:type="dxa" w:w="80"/>
              <w:bottom w:type="dxa" w:w="60"/>
              <w:right w:type="dxa" w:w="80"/>
            </w:tcMar>
            <w:vAlign w:val="center"/>
          </w:tcPr>
          <w:p>
            <w:r>
              <w:rPr>
                <w:b/>
                <w:bCs/>
                <w:color w:val="FFFFFF"/>
                <w:sz w:val="18"/>
                <w:szCs w:val="18"/>
              </w:rPr>
              <w:t xml:space="preserve">Level</w:t>
            </w:r>
          </w:p>
        </w:tc>
        <w:tc>
          <w:tcPr>
            <w:tcW w:type="dxa" w:w="1600"/>
            <w:shd w:fill="1F4E79" w:val="clear"/>
            <w:tcMar>
              <w:top w:type="dxa" w:w="60"/>
              <w:left w:type="dxa" w:w="80"/>
              <w:bottom w:type="dxa" w:w="60"/>
              <w:right w:type="dxa" w:w="80"/>
            </w:tcMar>
            <w:vAlign w:val="center"/>
          </w:tcPr>
          <w:p>
            <w:r>
              <w:rPr>
                <w:b/>
                <w:bCs/>
                <w:color w:val="FFFFFF"/>
                <w:sz w:val="18"/>
                <w:szCs w:val="18"/>
              </w:rPr>
              <w:t xml:space="preserve">Control in Place</w:t>
            </w:r>
          </w:p>
        </w:tc>
        <w:tc>
          <w:tcPr>
            <w:tcW w:type="dxa" w:w="1800"/>
            <w:shd w:fill="1F4E79" w:val="clear"/>
            <w:tcMar>
              <w:top w:type="dxa" w:w="60"/>
              <w:left w:type="dxa" w:w="80"/>
              <w:bottom w:type="dxa" w:w="60"/>
              <w:right w:type="dxa" w:w="80"/>
            </w:tcMar>
            <w:vAlign w:val="center"/>
          </w:tcPr>
          <w:p>
            <w:r>
              <w:rPr>
                <w:b/>
                <w:bCs/>
                <w:color w:val="FFFFFF"/>
                <w:sz w:val="18"/>
                <w:szCs w:val="18"/>
              </w:rPr>
              <w:t xml:space="preserve">Action Required</w:t>
            </w:r>
          </w:p>
        </w:tc>
        <w:tc>
          <w:tcPr>
            <w:tcW w:type="dxa" w:w="900"/>
            <w:shd w:fill="1F4E79" w:val="clear"/>
            <w:tcMar>
              <w:top w:type="dxa" w:w="60"/>
              <w:left w:type="dxa" w:w="80"/>
              <w:bottom w:type="dxa" w:w="60"/>
              <w:right w:type="dxa" w:w="80"/>
            </w:tcMar>
            <w:vAlign w:val="center"/>
          </w:tcPr>
          <w:p>
            <w:r>
              <w:rPr>
                <w:b/>
                <w:bCs/>
                <w:color w:val="FFFFFF"/>
                <w:sz w:val="18"/>
                <w:szCs w:val="18"/>
              </w:rPr>
              <w:t xml:space="preserve">Status</w:t>
            </w:r>
          </w:p>
        </w:tc>
      </w:tr>
      <w:tr>
        <w:tc>
          <w:tcPr>
            <w:tcW w:type="dxa" w:w="700"/>
            <w:shd w:fill="FFFFFF" w:val="clear"/>
            <w:tcMar>
              <w:top w:type="dxa" w:w="60"/>
              <w:left w:type="dxa" w:w="80"/>
              <w:bottom w:type="dxa" w:w="60"/>
              <w:right w:type="dxa" w:w="80"/>
            </w:tcMar>
            <w:vAlign w:val="center"/>
          </w:tcPr>
          <w:p>
            <w:r>
              <w:rPr>
                <w:b w:val="false"/>
                <w:bCs w:val="false"/>
                <w:sz w:val="18"/>
                <w:szCs w:val="18"/>
              </w:rPr>
              <w:t xml:space="preserve">VR-01</w:t>
            </w:r>
          </w:p>
        </w:tc>
        <w:tc>
          <w:tcPr>
            <w:tcW w:type="dxa" w:w="2300"/>
            <w:shd w:fill="FFFFFF" w:val="clear"/>
            <w:tcMar>
              <w:top w:type="dxa" w:w="60"/>
              <w:left w:type="dxa" w:w="80"/>
              <w:bottom w:type="dxa" w:w="60"/>
              <w:right w:type="dxa" w:w="80"/>
            </w:tcMar>
            <w:vAlign w:val="center"/>
          </w:tcPr>
          <w:p>
            <w:r>
              <w:rPr>
                <w:b w:val="false"/>
                <w:bCs w:val="false"/>
                <w:sz w:val="18"/>
                <w:szCs w:val="18"/>
              </w:rPr>
              <w:t xml:space="preserve">Misuse of access by outsourced developer</w:t>
            </w:r>
          </w:p>
        </w:tc>
        <w:tc>
          <w:tcPr>
            <w:tcW w:type="dxa" w:w="900"/>
            <w:shd w:fill="FFFFFF" w:val="clear"/>
            <w:tcMar>
              <w:top w:type="dxa" w:w="60"/>
              <w:left w:type="dxa" w:w="80"/>
              <w:bottom w:type="dxa" w:w="60"/>
              <w:right w:type="dxa" w:w="80"/>
            </w:tcMar>
            <w:vAlign w:val="center"/>
          </w:tcPr>
          <w:p>
            <w:r>
              <w:rPr>
                <w:b w:val="false"/>
                <w:bCs w:val="false"/>
                <w:sz w:val="18"/>
                <w:szCs w:val="18"/>
              </w:rPr>
              <w:t xml:space="preserve">High</w:t>
            </w:r>
          </w:p>
        </w:tc>
        <w:tc>
          <w:tcPr>
            <w:tcW w:type="dxa" w:w="10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800"/>
            <w:shd w:fill="FFFFFF" w:val="clear"/>
            <w:tcMar>
              <w:top w:type="dxa" w:w="60"/>
              <w:left w:type="dxa" w:w="80"/>
              <w:bottom w:type="dxa" w:w="60"/>
              <w:right w:type="dxa" w:w="80"/>
            </w:tcMar>
            <w:vAlign w:val="center"/>
          </w:tcPr>
          <w:p>
            <w:r>
              <w:rPr>
                <w:b w:val="false"/>
                <w:bCs w:val="false"/>
                <w:sz w:val="18"/>
                <w:szCs w:val="18"/>
              </w:rPr>
              <w:t xml:space="preserve">High</w:t>
            </w:r>
          </w:p>
        </w:tc>
        <w:tc>
          <w:tcPr>
            <w:tcW w:type="dxa" w:w="1600"/>
            <w:shd w:fill="FFFFFF" w:val="clear"/>
            <w:tcMar>
              <w:top w:type="dxa" w:w="60"/>
              <w:left w:type="dxa" w:w="80"/>
              <w:bottom w:type="dxa" w:w="60"/>
              <w:right w:type="dxa" w:w="80"/>
            </w:tcMar>
            <w:vAlign w:val="center"/>
          </w:tcPr>
          <w:p>
            <w:r>
              <w:rPr>
                <w:b w:val="false"/>
                <w:bCs w:val="false"/>
                <w:sz w:val="18"/>
                <w:szCs w:val="18"/>
              </w:rPr>
              <w:t xml:space="preserve">RBAC, MFA</w:t>
            </w:r>
          </w:p>
        </w:tc>
        <w:tc>
          <w:tcPr>
            <w:tcW w:type="dxa" w:w="1800"/>
            <w:shd w:fill="FFFFFF" w:val="clear"/>
            <w:tcMar>
              <w:top w:type="dxa" w:w="60"/>
              <w:left w:type="dxa" w:w="80"/>
              <w:bottom w:type="dxa" w:w="60"/>
              <w:right w:type="dxa" w:w="80"/>
            </w:tcMar>
            <w:vAlign w:val="center"/>
          </w:tcPr>
          <w:p>
            <w:r>
              <w:rPr>
                <w:b w:val="false"/>
                <w:bCs w:val="false"/>
                <w:sz w:val="18"/>
                <w:szCs w:val="18"/>
              </w:rPr>
              <w:t xml:space="preserve">Quarterly access review</w:t>
            </w:r>
          </w:p>
        </w:tc>
        <w:tc>
          <w:tcPr>
            <w:tcW w:type="dxa" w:w="900"/>
            <w:shd w:fill="FFFFFF" w:val="clear"/>
            <w:tcMar>
              <w:top w:type="dxa" w:w="60"/>
              <w:left w:type="dxa" w:w="80"/>
              <w:bottom w:type="dxa" w:w="60"/>
              <w:right w:type="dxa" w:w="80"/>
            </w:tcMar>
            <w:vAlign w:val="center"/>
          </w:tcPr>
          <w:p>
            <w:r>
              <w:rPr>
                <w:b w:val="false"/>
                <w:bCs w:val="false"/>
                <w:sz w:val="18"/>
                <w:szCs w:val="18"/>
              </w:rPr>
              <w:t xml:space="preserve">Open</w:t>
            </w:r>
          </w:p>
        </w:tc>
      </w:tr>
      <w:tr>
        <w:tc>
          <w:tcPr>
            <w:tcW w:type="dxa" w:w="700"/>
            <w:shd w:fill="F2F2F2" w:val="clear"/>
            <w:tcMar>
              <w:top w:type="dxa" w:w="60"/>
              <w:left w:type="dxa" w:w="80"/>
              <w:bottom w:type="dxa" w:w="60"/>
              <w:right w:type="dxa" w:w="80"/>
            </w:tcMar>
            <w:vAlign w:val="center"/>
          </w:tcPr>
          <w:p>
            <w:r>
              <w:rPr>
                <w:b w:val="false"/>
                <w:bCs w:val="false"/>
                <w:sz w:val="18"/>
                <w:szCs w:val="18"/>
              </w:rPr>
              <w:t xml:space="preserve">VR-02</w:t>
            </w:r>
          </w:p>
        </w:tc>
        <w:tc>
          <w:tcPr>
            <w:tcW w:type="dxa" w:w="2300"/>
            <w:shd w:fill="F2F2F2" w:val="clear"/>
            <w:tcMar>
              <w:top w:type="dxa" w:w="60"/>
              <w:left w:type="dxa" w:w="80"/>
              <w:bottom w:type="dxa" w:w="60"/>
              <w:right w:type="dxa" w:w="80"/>
            </w:tcMar>
            <w:vAlign w:val="center"/>
          </w:tcPr>
          <w:p>
            <w:r>
              <w:rPr>
                <w:b w:val="false"/>
                <w:bCs w:val="false"/>
                <w:sz w:val="18"/>
                <w:szCs w:val="18"/>
              </w:rPr>
              <w:t xml:space="preserve">Delay in access removal after exit</w:t>
            </w:r>
          </w:p>
        </w:tc>
        <w:tc>
          <w:tcPr>
            <w:tcW w:type="dxa" w:w="900"/>
            <w:shd w:fill="F2F2F2" w:val="clear"/>
            <w:tcMar>
              <w:top w:type="dxa" w:w="60"/>
              <w:left w:type="dxa" w:w="80"/>
              <w:bottom w:type="dxa" w:w="60"/>
              <w:right w:type="dxa" w:w="80"/>
            </w:tcMar>
            <w:vAlign w:val="center"/>
          </w:tcPr>
          <w:p>
            <w:r>
              <w:rPr>
                <w:b w:val="false"/>
                <w:bCs w:val="false"/>
                <w:sz w:val="18"/>
                <w:szCs w:val="18"/>
              </w:rPr>
              <w:t xml:space="preserve">High</w:t>
            </w:r>
          </w:p>
        </w:tc>
        <w:tc>
          <w:tcPr>
            <w:tcW w:type="dxa" w:w="1000"/>
            <w:shd w:fill="F2F2F2" w:val="clear"/>
            <w:tcMar>
              <w:top w:type="dxa" w:w="60"/>
              <w:left w:type="dxa" w:w="80"/>
              <w:bottom w:type="dxa" w:w="60"/>
              <w:right w:type="dxa" w:w="80"/>
            </w:tcMar>
            <w:vAlign w:val="center"/>
          </w:tcPr>
          <w:p>
            <w:r>
              <w:rPr>
                <w:b w:val="false"/>
                <w:bCs w:val="false"/>
                <w:sz w:val="18"/>
                <w:szCs w:val="18"/>
              </w:rPr>
              <w:t xml:space="preserve">Medium</w:t>
            </w:r>
          </w:p>
        </w:tc>
        <w:tc>
          <w:tcPr>
            <w:tcW w:type="dxa" w:w="800"/>
            <w:shd w:fill="F2F2F2" w:val="clear"/>
            <w:tcMar>
              <w:top w:type="dxa" w:w="60"/>
              <w:left w:type="dxa" w:w="80"/>
              <w:bottom w:type="dxa" w:w="60"/>
              <w:right w:type="dxa" w:w="80"/>
            </w:tcMar>
            <w:vAlign w:val="center"/>
          </w:tcPr>
          <w:p>
            <w:r>
              <w:rPr>
                <w:b w:val="false"/>
                <w:bCs w:val="false"/>
                <w:sz w:val="18"/>
                <w:szCs w:val="18"/>
              </w:rPr>
              <w:t xml:space="preserve">High</w:t>
            </w:r>
          </w:p>
        </w:tc>
        <w:tc>
          <w:tcPr>
            <w:tcW w:type="dxa" w:w="1600"/>
            <w:shd w:fill="F2F2F2" w:val="clear"/>
            <w:tcMar>
              <w:top w:type="dxa" w:w="60"/>
              <w:left w:type="dxa" w:w="80"/>
              <w:bottom w:type="dxa" w:w="60"/>
              <w:right w:type="dxa" w:w="80"/>
            </w:tcMar>
            <w:vAlign w:val="center"/>
          </w:tcPr>
          <w:p>
            <w:r>
              <w:rPr>
                <w:b w:val="false"/>
                <w:bCs w:val="false"/>
                <w:sz w:val="18"/>
                <w:szCs w:val="18"/>
              </w:rPr>
              <w:t xml:space="preserve">Manual offboarding</w:t>
            </w:r>
          </w:p>
        </w:tc>
        <w:tc>
          <w:tcPr>
            <w:tcW w:type="dxa" w:w="1800"/>
            <w:shd w:fill="F2F2F2" w:val="clear"/>
            <w:tcMar>
              <w:top w:type="dxa" w:w="60"/>
              <w:left w:type="dxa" w:w="80"/>
              <w:bottom w:type="dxa" w:w="60"/>
              <w:right w:type="dxa" w:w="80"/>
            </w:tcMar>
            <w:vAlign w:val="center"/>
          </w:tcPr>
          <w:p>
            <w:r>
              <w:rPr>
                <w:b w:val="false"/>
                <w:bCs w:val="false"/>
                <w:sz w:val="18"/>
                <w:szCs w:val="18"/>
              </w:rPr>
              <w:t xml:space="preserve">Automate JML process</w:t>
            </w:r>
          </w:p>
        </w:tc>
        <w:tc>
          <w:tcPr>
            <w:tcW w:type="dxa" w:w="900"/>
            <w:shd w:fill="F2F2F2" w:val="clear"/>
            <w:tcMar>
              <w:top w:type="dxa" w:w="60"/>
              <w:left w:type="dxa" w:w="80"/>
              <w:bottom w:type="dxa" w:w="60"/>
              <w:right w:type="dxa" w:w="80"/>
            </w:tcMar>
            <w:vAlign w:val="center"/>
          </w:tcPr>
          <w:p>
            <w:r>
              <w:rPr>
                <w:b w:val="false"/>
                <w:bCs w:val="false"/>
                <w:sz w:val="18"/>
                <w:szCs w:val="18"/>
              </w:rPr>
              <w:t xml:space="preserve">Open</w:t>
            </w:r>
          </w:p>
        </w:tc>
      </w:tr>
      <w:tr>
        <w:tc>
          <w:tcPr>
            <w:tcW w:type="dxa" w:w="700"/>
            <w:shd w:fill="FFFFFF" w:val="clear"/>
            <w:tcMar>
              <w:top w:type="dxa" w:w="60"/>
              <w:left w:type="dxa" w:w="80"/>
              <w:bottom w:type="dxa" w:w="60"/>
              <w:right w:type="dxa" w:w="80"/>
            </w:tcMar>
            <w:vAlign w:val="center"/>
          </w:tcPr>
          <w:p>
            <w:r>
              <w:rPr>
                <w:b w:val="false"/>
                <w:bCs w:val="false"/>
                <w:sz w:val="18"/>
                <w:szCs w:val="18"/>
              </w:rPr>
              <w:t xml:space="preserve">VR-03</w:t>
            </w:r>
          </w:p>
        </w:tc>
        <w:tc>
          <w:tcPr>
            <w:tcW w:type="dxa" w:w="2300"/>
            <w:shd w:fill="FFFFFF" w:val="clear"/>
            <w:tcMar>
              <w:top w:type="dxa" w:w="60"/>
              <w:left w:type="dxa" w:w="80"/>
              <w:bottom w:type="dxa" w:w="60"/>
              <w:right w:type="dxa" w:w="80"/>
            </w:tcMar>
            <w:vAlign w:val="center"/>
          </w:tcPr>
          <w:p>
            <w:r>
              <w:rPr>
                <w:b w:val="false"/>
                <w:bCs w:val="false"/>
                <w:sz w:val="18"/>
                <w:szCs w:val="18"/>
              </w:rPr>
              <w:t xml:space="preserve">Lack of mandatory security training</w:t>
            </w:r>
          </w:p>
        </w:tc>
        <w:tc>
          <w:tcPr>
            <w:tcW w:type="dxa" w:w="9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10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8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1600"/>
            <w:shd w:fill="FFFFFF" w:val="clear"/>
            <w:tcMar>
              <w:top w:type="dxa" w:w="60"/>
              <w:left w:type="dxa" w:w="80"/>
              <w:bottom w:type="dxa" w:w="60"/>
              <w:right w:type="dxa" w:w="80"/>
            </w:tcMar>
            <w:vAlign w:val="center"/>
          </w:tcPr>
          <w:p>
            <w:r>
              <w:rPr>
                <w:b w:val="false"/>
                <w:bCs w:val="false"/>
                <w:sz w:val="18"/>
                <w:szCs w:val="18"/>
              </w:rPr>
              <w:t xml:space="preserve">NDA only</w:t>
            </w:r>
          </w:p>
        </w:tc>
        <w:tc>
          <w:tcPr>
            <w:tcW w:type="dxa" w:w="1800"/>
            <w:shd w:fill="FFFFFF" w:val="clear"/>
            <w:tcMar>
              <w:top w:type="dxa" w:w="60"/>
              <w:left w:type="dxa" w:w="80"/>
              <w:bottom w:type="dxa" w:w="60"/>
              <w:right w:type="dxa" w:w="80"/>
            </w:tcMar>
            <w:vAlign w:val="center"/>
          </w:tcPr>
          <w:p>
            <w:r>
              <w:rPr>
                <w:b w:val="false"/>
                <w:bCs w:val="false"/>
                <w:sz w:val="18"/>
                <w:szCs w:val="18"/>
              </w:rPr>
              <w:t xml:space="preserve">Implement mandatory training</w:t>
            </w:r>
          </w:p>
        </w:tc>
        <w:tc>
          <w:tcPr>
            <w:tcW w:type="dxa" w:w="900"/>
            <w:shd w:fill="FFFFFF" w:val="clear"/>
            <w:tcMar>
              <w:top w:type="dxa" w:w="60"/>
              <w:left w:type="dxa" w:w="80"/>
              <w:bottom w:type="dxa" w:w="60"/>
              <w:right w:type="dxa" w:w="80"/>
            </w:tcMar>
            <w:vAlign w:val="center"/>
          </w:tcPr>
          <w:p>
            <w:r>
              <w:rPr>
                <w:b w:val="false"/>
                <w:bCs w:val="false"/>
                <w:sz w:val="18"/>
                <w:szCs w:val="18"/>
              </w:rPr>
              <w:t xml:space="preserve">Closed</w:t>
            </w:r>
          </w:p>
        </w:tc>
      </w:tr>
      <w:tr>
        <w:tc>
          <w:tcPr>
            <w:tcW w:type="dxa" w:w="700"/>
            <w:shd w:fill="F2F2F2" w:val="clear"/>
            <w:tcMar>
              <w:top w:type="dxa" w:w="60"/>
              <w:left w:type="dxa" w:w="80"/>
              <w:bottom w:type="dxa" w:w="60"/>
              <w:right w:type="dxa" w:w="80"/>
            </w:tcMar>
            <w:vAlign w:val="center"/>
          </w:tcPr>
          <w:p>
            <w:r>
              <w:rPr>
                <w:b w:val="false"/>
                <w:bCs w:val="false"/>
                <w:sz w:val="18"/>
                <w:szCs w:val="18"/>
              </w:rPr>
              <w:t xml:space="preserve">VR-04</w:t>
            </w:r>
          </w:p>
        </w:tc>
        <w:tc>
          <w:tcPr>
            <w:tcW w:type="dxa" w:w="2300"/>
            <w:shd w:fill="F2F2F2" w:val="clear"/>
            <w:tcMar>
              <w:top w:type="dxa" w:w="60"/>
              <w:left w:type="dxa" w:w="80"/>
              <w:bottom w:type="dxa" w:w="60"/>
              <w:right w:type="dxa" w:w="80"/>
            </w:tcMar>
            <w:vAlign w:val="center"/>
          </w:tcPr>
          <w:p>
            <w:r>
              <w:rPr>
                <w:b w:val="false"/>
                <w:bCs w:val="false"/>
                <w:sz w:val="18"/>
                <w:szCs w:val="18"/>
              </w:rPr>
              <w:t xml:space="preserve">Offshore data residency exposure</w:t>
            </w:r>
          </w:p>
        </w:tc>
        <w:tc>
          <w:tcPr>
            <w:tcW w:type="dxa" w:w="900"/>
            <w:shd w:fill="F2F2F2" w:val="clear"/>
            <w:tcMar>
              <w:top w:type="dxa" w:w="60"/>
              <w:left w:type="dxa" w:w="80"/>
              <w:bottom w:type="dxa" w:w="60"/>
              <w:right w:type="dxa" w:w="80"/>
            </w:tcMar>
            <w:vAlign w:val="center"/>
          </w:tcPr>
          <w:p>
            <w:r>
              <w:rPr>
                <w:b w:val="false"/>
                <w:bCs w:val="false"/>
                <w:sz w:val="18"/>
                <w:szCs w:val="18"/>
              </w:rPr>
              <w:t xml:space="preserve">High</w:t>
            </w:r>
          </w:p>
        </w:tc>
        <w:tc>
          <w:tcPr>
            <w:tcW w:type="dxa" w:w="1000"/>
            <w:shd w:fill="F2F2F2" w:val="clear"/>
            <w:tcMar>
              <w:top w:type="dxa" w:w="60"/>
              <w:left w:type="dxa" w:w="80"/>
              <w:bottom w:type="dxa" w:w="60"/>
              <w:right w:type="dxa" w:w="80"/>
            </w:tcMar>
            <w:vAlign w:val="center"/>
          </w:tcPr>
          <w:p>
            <w:r>
              <w:rPr>
                <w:b w:val="false"/>
                <w:bCs w:val="false"/>
                <w:sz w:val="18"/>
                <w:szCs w:val="18"/>
              </w:rPr>
              <w:t xml:space="preserve">Low</w:t>
            </w:r>
          </w:p>
        </w:tc>
        <w:tc>
          <w:tcPr>
            <w:tcW w:type="dxa" w:w="800"/>
            <w:shd w:fill="F2F2F2" w:val="clear"/>
            <w:tcMar>
              <w:top w:type="dxa" w:w="60"/>
              <w:left w:type="dxa" w:w="80"/>
              <w:bottom w:type="dxa" w:w="60"/>
              <w:right w:type="dxa" w:w="80"/>
            </w:tcMar>
            <w:vAlign w:val="center"/>
          </w:tcPr>
          <w:p>
            <w:r>
              <w:rPr>
                <w:b w:val="false"/>
                <w:bCs w:val="false"/>
                <w:sz w:val="18"/>
                <w:szCs w:val="18"/>
              </w:rPr>
              <w:t xml:space="preserve">High</w:t>
            </w:r>
          </w:p>
        </w:tc>
        <w:tc>
          <w:tcPr>
            <w:tcW w:type="dxa" w:w="1600"/>
            <w:shd w:fill="F2F2F2" w:val="clear"/>
            <w:tcMar>
              <w:top w:type="dxa" w:w="60"/>
              <w:left w:type="dxa" w:w="80"/>
              <w:bottom w:type="dxa" w:w="60"/>
              <w:right w:type="dxa" w:w="80"/>
            </w:tcMar>
            <w:vAlign w:val="center"/>
          </w:tcPr>
          <w:p>
            <w:r>
              <w:rPr>
                <w:b w:val="false"/>
                <w:bCs w:val="false"/>
                <w:sz w:val="18"/>
                <w:szCs w:val="18"/>
              </w:rPr>
              <w:t xml:space="preserve">Contractual data-location clause</w:t>
            </w:r>
          </w:p>
        </w:tc>
        <w:tc>
          <w:tcPr>
            <w:tcW w:type="dxa" w:w="1800"/>
            <w:shd w:fill="F2F2F2" w:val="clear"/>
            <w:tcMar>
              <w:top w:type="dxa" w:w="60"/>
              <w:left w:type="dxa" w:w="80"/>
              <w:bottom w:type="dxa" w:w="60"/>
              <w:right w:type="dxa" w:w="80"/>
            </w:tcMar>
            <w:vAlign w:val="center"/>
          </w:tcPr>
          <w:p>
            <w:r>
              <w:rPr>
                <w:b w:val="false"/>
                <w:bCs w:val="false"/>
                <w:sz w:val="18"/>
                <w:szCs w:val="18"/>
              </w:rPr>
              <w:t xml:space="preserve">Confirm annual attestation</w:t>
            </w:r>
          </w:p>
        </w:tc>
        <w:tc>
          <w:tcPr>
            <w:tcW w:type="dxa" w:w="900"/>
            <w:shd w:fill="F2F2F2" w:val="clear"/>
            <w:tcMar>
              <w:top w:type="dxa" w:w="60"/>
              <w:left w:type="dxa" w:w="80"/>
              <w:bottom w:type="dxa" w:w="60"/>
              <w:right w:type="dxa" w:w="80"/>
            </w:tcMar>
            <w:vAlign w:val="center"/>
          </w:tcPr>
          <w:p>
            <w:r>
              <w:rPr>
                <w:b w:val="false"/>
                <w:bCs w:val="false"/>
                <w:sz w:val="18"/>
                <w:szCs w:val="18"/>
              </w:rPr>
              <w:t xml:space="preserve">Open</w:t>
            </w:r>
          </w:p>
        </w:tc>
      </w:tr>
      <w:tr>
        <w:tc>
          <w:tcPr>
            <w:tcW w:type="dxa" w:w="700"/>
            <w:shd w:fill="FFFFFF" w:val="clear"/>
            <w:tcMar>
              <w:top w:type="dxa" w:w="60"/>
              <w:left w:type="dxa" w:w="80"/>
              <w:bottom w:type="dxa" w:w="60"/>
              <w:right w:type="dxa" w:w="80"/>
            </w:tcMar>
            <w:vAlign w:val="center"/>
          </w:tcPr>
          <w:p>
            <w:r>
              <w:rPr>
                <w:b w:val="false"/>
                <w:bCs w:val="false"/>
                <w:sz w:val="18"/>
                <w:szCs w:val="18"/>
              </w:rPr>
              <w:t xml:space="preserve">VR-05</w:t>
            </w:r>
          </w:p>
        </w:tc>
        <w:tc>
          <w:tcPr>
            <w:tcW w:type="dxa" w:w="2300"/>
            <w:shd w:fill="FFFFFF" w:val="clear"/>
            <w:tcMar>
              <w:top w:type="dxa" w:w="60"/>
              <w:left w:type="dxa" w:w="80"/>
              <w:bottom w:type="dxa" w:w="60"/>
              <w:right w:type="dxa" w:w="80"/>
            </w:tcMar>
            <w:vAlign w:val="center"/>
          </w:tcPr>
          <w:p>
            <w:r>
              <w:rPr>
                <w:b w:val="false"/>
                <w:bCs w:val="false"/>
                <w:sz w:val="18"/>
                <w:szCs w:val="18"/>
              </w:rPr>
              <w:t xml:space="preserve">Single-vendor concentration (Art. 29)</w:t>
            </w:r>
          </w:p>
        </w:tc>
        <w:tc>
          <w:tcPr>
            <w:tcW w:type="dxa" w:w="900"/>
            <w:shd w:fill="FFFFFF" w:val="clear"/>
            <w:tcMar>
              <w:top w:type="dxa" w:w="60"/>
              <w:left w:type="dxa" w:w="80"/>
              <w:bottom w:type="dxa" w:w="60"/>
              <w:right w:type="dxa" w:w="80"/>
            </w:tcMar>
            <w:vAlign w:val="center"/>
          </w:tcPr>
          <w:p>
            <w:r>
              <w:rPr>
                <w:b w:val="false"/>
                <w:bCs w:val="false"/>
                <w:sz w:val="18"/>
                <w:szCs w:val="18"/>
              </w:rPr>
              <w:t xml:space="preserve">High</w:t>
            </w:r>
          </w:p>
        </w:tc>
        <w:tc>
          <w:tcPr>
            <w:tcW w:type="dxa" w:w="1000"/>
            <w:shd w:fill="FFFFFF" w:val="clear"/>
            <w:tcMar>
              <w:top w:type="dxa" w:w="60"/>
              <w:left w:type="dxa" w:w="80"/>
              <w:bottom w:type="dxa" w:w="60"/>
              <w:right w:type="dxa" w:w="80"/>
            </w:tcMar>
            <w:vAlign w:val="center"/>
          </w:tcPr>
          <w:p>
            <w:r>
              <w:rPr>
                <w:b w:val="false"/>
                <w:bCs w:val="false"/>
                <w:sz w:val="18"/>
                <w:szCs w:val="18"/>
              </w:rPr>
              <w:t xml:space="preserve">Low</w:t>
            </w:r>
          </w:p>
        </w:tc>
        <w:tc>
          <w:tcPr>
            <w:tcW w:type="dxa" w:w="800"/>
            <w:shd w:fill="FFFFFF" w:val="clear"/>
            <w:tcMar>
              <w:top w:type="dxa" w:w="60"/>
              <w:left w:type="dxa" w:w="80"/>
              <w:bottom w:type="dxa" w:w="60"/>
              <w:right w:type="dxa" w:w="80"/>
            </w:tcMar>
            <w:vAlign w:val="center"/>
          </w:tcPr>
          <w:p>
            <w:r>
              <w:rPr>
                <w:b w:val="false"/>
                <w:bCs w:val="false"/>
                <w:sz w:val="18"/>
                <w:szCs w:val="18"/>
              </w:rPr>
              <w:t xml:space="preserve">High</w:t>
            </w:r>
          </w:p>
        </w:tc>
        <w:tc>
          <w:tcPr>
            <w:tcW w:type="dxa" w:w="1600"/>
            <w:shd w:fill="FFFFFF" w:val="clear"/>
            <w:tcMar>
              <w:top w:type="dxa" w:w="60"/>
              <w:left w:type="dxa" w:w="80"/>
              <w:bottom w:type="dxa" w:w="60"/>
              <w:right w:type="dxa" w:w="80"/>
            </w:tcMar>
            <w:vAlign w:val="center"/>
          </w:tcPr>
          <w:p>
            <w:r>
              <w:rPr>
                <w:b w:val="false"/>
                <w:bCs w:val="false"/>
                <w:sz w:val="18"/>
                <w:szCs w:val="18"/>
              </w:rPr>
              <w:t xml:space="preserve">None dedicated</w:t>
            </w:r>
          </w:p>
        </w:tc>
        <w:tc>
          <w:tcPr>
            <w:tcW w:type="dxa" w:w="1800"/>
            <w:shd w:fill="FFFFFF" w:val="clear"/>
            <w:tcMar>
              <w:top w:type="dxa" w:w="60"/>
              <w:left w:type="dxa" w:w="80"/>
              <w:bottom w:type="dxa" w:w="60"/>
              <w:right w:type="dxa" w:w="80"/>
            </w:tcMar>
            <w:vAlign w:val="center"/>
          </w:tcPr>
          <w:p>
            <w:r>
              <w:rPr>
                <w:b w:val="false"/>
                <w:bCs w:val="false"/>
                <w:sz w:val="18"/>
                <w:szCs w:val="18"/>
              </w:rPr>
              <w:t xml:space="preserve">Assess alternative vendor viability</w:t>
            </w:r>
          </w:p>
        </w:tc>
        <w:tc>
          <w:tcPr>
            <w:tcW w:type="dxa" w:w="900"/>
            <w:shd w:fill="FFFFFF" w:val="clear"/>
            <w:tcMar>
              <w:top w:type="dxa" w:w="60"/>
              <w:left w:type="dxa" w:w="80"/>
              <w:bottom w:type="dxa" w:w="60"/>
              <w:right w:type="dxa" w:w="80"/>
            </w:tcMar>
            <w:vAlign w:val="center"/>
          </w:tcPr>
          <w:p>
            <w:r>
              <w:rPr>
                <w:b w:val="false"/>
                <w:bCs w:val="false"/>
                <w:sz w:val="18"/>
                <w:szCs w:val="18"/>
              </w:rPr>
              <w:t xml:space="preserve">Open</w:t>
            </w:r>
          </w:p>
        </w:tc>
      </w:tr>
      <w:tr>
        <w:tc>
          <w:tcPr>
            <w:tcW w:type="dxa" w:w="700"/>
            <w:shd w:fill="F2F2F2" w:val="clear"/>
            <w:tcMar>
              <w:top w:type="dxa" w:w="60"/>
              <w:left w:type="dxa" w:w="80"/>
              <w:bottom w:type="dxa" w:w="60"/>
              <w:right w:type="dxa" w:w="80"/>
            </w:tcMar>
            <w:vAlign w:val="center"/>
          </w:tcPr>
          <w:p>
            <w:r>
              <w:rPr>
                <w:b w:val="false"/>
                <w:bCs w:val="false"/>
                <w:sz w:val="18"/>
                <w:szCs w:val="18"/>
              </w:rPr>
              <w:t xml:space="preserve">VR-06</w:t>
            </w:r>
          </w:p>
        </w:tc>
        <w:tc>
          <w:tcPr>
            <w:tcW w:type="dxa" w:w="2300"/>
            <w:shd w:fill="F2F2F2" w:val="clear"/>
            <w:tcMar>
              <w:top w:type="dxa" w:w="60"/>
              <w:left w:type="dxa" w:w="80"/>
              <w:bottom w:type="dxa" w:w="60"/>
              <w:right w:type="dxa" w:w="80"/>
            </w:tcMar>
            <w:vAlign w:val="center"/>
          </w:tcPr>
          <w:p>
            <w:r>
              <w:rPr>
                <w:b w:val="false"/>
                <w:bCs w:val="false"/>
                <w:sz w:val="18"/>
                <w:szCs w:val="18"/>
              </w:rPr>
              <w:t xml:space="preserve">Undisclosed subcontracting</w:t>
            </w:r>
          </w:p>
        </w:tc>
        <w:tc>
          <w:tcPr>
            <w:tcW w:type="dxa" w:w="900"/>
            <w:shd w:fill="F2F2F2" w:val="clear"/>
            <w:tcMar>
              <w:top w:type="dxa" w:w="60"/>
              <w:left w:type="dxa" w:w="80"/>
              <w:bottom w:type="dxa" w:w="60"/>
              <w:right w:type="dxa" w:w="80"/>
            </w:tcMar>
            <w:vAlign w:val="center"/>
          </w:tcPr>
          <w:p>
            <w:r>
              <w:rPr>
                <w:b w:val="false"/>
                <w:bCs w:val="false"/>
                <w:sz w:val="18"/>
                <w:szCs w:val="18"/>
              </w:rPr>
              <w:t xml:space="preserve">Medium</w:t>
            </w:r>
          </w:p>
        </w:tc>
        <w:tc>
          <w:tcPr>
            <w:tcW w:type="dxa" w:w="1000"/>
            <w:shd w:fill="F2F2F2" w:val="clear"/>
            <w:tcMar>
              <w:top w:type="dxa" w:w="60"/>
              <w:left w:type="dxa" w:w="80"/>
              <w:bottom w:type="dxa" w:w="60"/>
              <w:right w:type="dxa" w:w="80"/>
            </w:tcMar>
            <w:vAlign w:val="center"/>
          </w:tcPr>
          <w:p>
            <w:r>
              <w:rPr>
                <w:b w:val="false"/>
                <w:bCs w:val="false"/>
                <w:sz w:val="18"/>
                <w:szCs w:val="18"/>
              </w:rPr>
              <w:t xml:space="preserve">Medium</w:t>
            </w:r>
          </w:p>
        </w:tc>
        <w:tc>
          <w:tcPr>
            <w:tcW w:type="dxa" w:w="800"/>
            <w:shd w:fill="F2F2F2" w:val="clear"/>
            <w:tcMar>
              <w:top w:type="dxa" w:w="60"/>
              <w:left w:type="dxa" w:w="80"/>
              <w:bottom w:type="dxa" w:w="60"/>
              <w:right w:type="dxa" w:w="80"/>
            </w:tcMar>
            <w:vAlign w:val="center"/>
          </w:tcPr>
          <w:p>
            <w:r>
              <w:rPr>
                <w:b w:val="false"/>
                <w:bCs w:val="false"/>
                <w:sz w:val="18"/>
                <w:szCs w:val="18"/>
              </w:rPr>
              <w:t xml:space="preserve">Medium</w:t>
            </w:r>
          </w:p>
        </w:tc>
        <w:tc>
          <w:tcPr>
            <w:tcW w:type="dxa" w:w="1600"/>
            <w:shd w:fill="F2F2F2" w:val="clear"/>
            <w:tcMar>
              <w:top w:type="dxa" w:w="60"/>
              <w:left w:type="dxa" w:w="80"/>
              <w:bottom w:type="dxa" w:w="60"/>
              <w:right w:type="dxa" w:w="80"/>
            </w:tcMar>
            <w:vAlign w:val="center"/>
          </w:tcPr>
          <w:p>
            <w:r>
              <w:rPr>
                <w:b w:val="false"/>
                <w:bCs w:val="false"/>
                <w:sz w:val="18"/>
                <w:szCs w:val="18"/>
              </w:rPr>
              <w:t xml:space="preserve">Contract clause only</w:t>
            </w:r>
          </w:p>
        </w:tc>
        <w:tc>
          <w:tcPr>
            <w:tcW w:type="dxa" w:w="1800"/>
            <w:shd w:fill="F2F2F2" w:val="clear"/>
            <w:tcMar>
              <w:top w:type="dxa" w:w="60"/>
              <w:left w:type="dxa" w:w="80"/>
              <w:bottom w:type="dxa" w:w="60"/>
              <w:right w:type="dxa" w:w="80"/>
            </w:tcMar>
            <w:vAlign w:val="center"/>
          </w:tcPr>
          <w:p>
            <w:r>
              <w:rPr>
                <w:b w:val="false"/>
                <w:bCs w:val="false"/>
                <w:sz w:val="18"/>
                <w:szCs w:val="18"/>
              </w:rPr>
              <w:t xml:space="preserve">Require disclosure per Art. 30(2)(a)</w:t>
            </w:r>
          </w:p>
        </w:tc>
        <w:tc>
          <w:tcPr>
            <w:tcW w:type="dxa" w:w="900"/>
            <w:shd w:fill="F2F2F2" w:val="clear"/>
            <w:tcMar>
              <w:top w:type="dxa" w:w="60"/>
              <w:left w:type="dxa" w:w="80"/>
              <w:bottom w:type="dxa" w:w="60"/>
              <w:right w:type="dxa" w:w="80"/>
            </w:tcMar>
            <w:vAlign w:val="center"/>
          </w:tcPr>
          <w:p>
            <w:r>
              <w:rPr>
                <w:b w:val="false"/>
                <w:bCs w:val="false"/>
                <w:sz w:val="18"/>
                <w:szCs w:val="18"/>
              </w:rPr>
              <w:t xml:space="preserve">Open</w:t>
            </w:r>
          </w:p>
        </w:tc>
      </w:tr>
      <w:tr>
        <w:tc>
          <w:tcPr>
            <w:tcW w:type="dxa" w:w="700"/>
            <w:shd w:fill="FFFFFF" w:val="clear"/>
            <w:tcMar>
              <w:top w:type="dxa" w:w="60"/>
              <w:left w:type="dxa" w:w="80"/>
              <w:bottom w:type="dxa" w:w="60"/>
              <w:right w:type="dxa" w:w="80"/>
            </w:tcMar>
            <w:vAlign w:val="center"/>
          </w:tcPr>
          <w:p>
            <w:r>
              <w:rPr>
                <w:b w:val="false"/>
                <w:bCs w:val="false"/>
                <w:sz w:val="18"/>
                <w:szCs w:val="18"/>
              </w:rPr>
              <w:t xml:space="preserve">VR-07</w:t>
            </w:r>
          </w:p>
        </w:tc>
        <w:tc>
          <w:tcPr>
            <w:tcW w:type="dxa" w:w="2300"/>
            <w:shd w:fill="FFFFFF" w:val="clear"/>
            <w:tcMar>
              <w:top w:type="dxa" w:w="60"/>
              <w:left w:type="dxa" w:w="80"/>
              <w:bottom w:type="dxa" w:w="60"/>
              <w:right w:type="dxa" w:w="80"/>
            </w:tcMar>
            <w:vAlign w:val="center"/>
          </w:tcPr>
          <w:p>
            <w:r>
              <w:rPr>
                <w:b w:val="false"/>
                <w:bCs w:val="false"/>
                <w:sz w:val="18"/>
                <w:szCs w:val="18"/>
              </w:rPr>
              <w:t xml:space="preserve">Excessive standing access (no periodic revalidation)</w:t>
            </w:r>
          </w:p>
        </w:tc>
        <w:tc>
          <w:tcPr>
            <w:tcW w:type="dxa" w:w="9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10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8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1600"/>
            <w:shd w:fill="FFFFFF" w:val="clear"/>
            <w:tcMar>
              <w:top w:type="dxa" w:w="60"/>
              <w:left w:type="dxa" w:w="80"/>
              <w:bottom w:type="dxa" w:w="60"/>
              <w:right w:type="dxa" w:w="80"/>
            </w:tcMar>
            <w:vAlign w:val="center"/>
          </w:tcPr>
          <w:p>
            <w:r>
              <w:rPr>
                <w:b w:val="false"/>
                <w:bCs w:val="false"/>
                <w:sz w:val="18"/>
                <w:szCs w:val="18"/>
              </w:rPr>
              <w:t xml:space="preserve">Quarterly review (partial coverage)</w:t>
            </w:r>
          </w:p>
        </w:tc>
        <w:tc>
          <w:tcPr>
            <w:tcW w:type="dxa" w:w="1800"/>
            <w:shd w:fill="FFFFFF" w:val="clear"/>
            <w:tcMar>
              <w:top w:type="dxa" w:w="60"/>
              <w:left w:type="dxa" w:w="80"/>
              <w:bottom w:type="dxa" w:w="60"/>
              <w:right w:type="dxa" w:w="80"/>
            </w:tcMar>
            <w:vAlign w:val="center"/>
          </w:tcPr>
          <w:p>
            <w:r>
              <w:rPr>
                <w:b w:val="false"/>
                <w:bCs w:val="false"/>
                <w:sz w:val="18"/>
                <w:szCs w:val="18"/>
              </w:rPr>
              <w:t xml:space="preserve">Extend review to all resource IDs</w:t>
            </w:r>
          </w:p>
        </w:tc>
        <w:tc>
          <w:tcPr>
            <w:tcW w:type="dxa" w:w="900"/>
            <w:shd w:fill="FFFFFF" w:val="clear"/>
            <w:tcMar>
              <w:top w:type="dxa" w:w="60"/>
              <w:left w:type="dxa" w:w="80"/>
              <w:bottom w:type="dxa" w:w="60"/>
              <w:right w:type="dxa" w:w="80"/>
            </w:tcMar>
            <w:vAlign w:val="center"/>
          </w:tcPr>
          <w:p>
            <w:r>
              <w:rPr>
                <w:b w:val="false"/>
                <w:bCs w:val="false"/>
                <w:sz w:val="18"/>
                <w:szCs w:val="18"/>
              </w:rPr>
              <w:t xml:space="preserve">Open</w:t>
            </w:r>
          </w:p>
        </w:tc>
      </w:tr>
      <w:tr>
        <w:tc>
          <w:tcPr>
            <w:tcW w:type="dxa" w:w="700"/>
            <w:shd w:fill="F2F2F2" w:val="clear"/>
            <w:tcMar>
              <w:top w:type="dxa" w:w="60"/>
              <w:left w:type="dxa" w:w="80"/>
              <w:bottom w:type="dxa" w:w="60"/>
              <w:right w:type="dxa" w:w="80"/>
            </w:tcMar>
            <w:vAlign w:val="center"/>
          </w:tcPr>
          <w:p>
            <w:r>
              <w:rPr>
                <w:b w:val="false"/>
                <w:bCs w:val="false"/>
                <w:sz w:val="18"/>
                <w:szCs w:val="18"/>
              </w:rPr>
              <w:t xml:space="preserve">VR-08</w:t>
            </w:r>
          </w:p>
        </w:tc>
        <w:tc>
          <w:tcPr>
            <w:tcW w:type="dxa" w:w="2300"/>
            <w:shd w:fill="F2F2F2" w:val="clear"/>
            <w:tcMar>
              <w:top w:type="dxa" w:w="60"/>
              <w:left w:type="dxa" w:w="80"/>
              <w:bottom w:type="dxa" w:w="60"/>
              <w:right w:type="dxa" w:w="80"/>
            </w:tcMar>
            <w:vAlign w:val="center"/>
          </w:tcPr>
          <w:p>
            <w:r>
              <w:rPr>
                <w:b w:val="false"/>
                <w:bCs w:val="false"/>
                <w:sz w:val="18"/>
                <w:szCs w:val="18"/>
              </w:rPr>
              <w:t xml:space="preserve">QA test data leakage risk</w:t>
            </w:r>
          </w:p>
        </w:tc>
        <w:tc>
          <w:tcPr>
            <w:tcW w:type="dxa" w:w="900"/>
            <w:shd w:fill="F2F2F2" w:val="clear"/>
            <w:tcMar>
              <w:top w:type="dxa" w:w="60"/>
              <w:left w:type="dxa" w:w="80"/>
              <w:bottom w:type="dxa" w:w="60"/>
              <w:right w:type="dxa" w:w="80"/>
            </w:tcMar>
            <w:vAlign w:val="center"/>
          </w:tcPr>
          <w:p>
            <w:r>
              <w:rPr>
                <w:b w:val="false"/>
                <w:bCs w:val="false"/>
                <w:sz w:val="18"/>
                <w:szCs w:val="18"/>
              </w:rPr>
              <w:t xml:space="preserve">Low</w:t>
            </w:r>
          </w:p>
        </w:tc>
        <w:tc>
          <w:tcPr>
            <w:tcW w:type="dxa" w:w="1000"/>
            <w:shd w:fill="F2F2F2" w:val="clear"/>
            <w:tcMar>
              <w:top w:type="dxa" w:w="60"/>
              <w:left w:type="dxa" w:w="80"/>
              <w:bottom w:type="dxa" w:w="60"/>
              <w:right w:type="dxa" w:w="80"/>
            </w:tcMar>
            <w:vAlign w:val="center"/>
          </w:tcPr>
          <w:p>
            <w:r>
              <w:rPr>
                <w:b w:val="false"/>
                <w:bCs w:val="false"/>
                <w:sz w:val="18"/>
                <w:szCs w:val="18"/>
              </w:rPr>
              <w:t xml:space="preserve">Low</w:t>
            </w:r>
          </w:p>
        </w:tc>
        <w:tc>
          <w:tcPr>
            <w:tcW w:type="dxa" w:w="800"/>
            <w:shd w:fill="F2F2F2" w:val="clear"/>
            <w:tcMar>
              <w:top w:type="dxa" w:w="60"/>
              <w:left w:type="dxa" w:w="80"/>
              <w:bottom w:type="dxa" w:w="60"/>
              <w:right w:type="dxa" w:w="80"/>
            </w:tcMar>
            <w:vAlign w:val="center"/>
          </w:tcPr>
          <w:p>
            <w:r>
              <w:rPr>
                <w:b w:val="false"/>
                <w:bCs w:val="false"/>
                <w:sz w:val="18"/>
                <w:szCs w:val="18"/>
              </w:rPr>
              <w:t xml:space="preserve">Low</w:t>
            </w:r>
          </w:p>
        </w:tc>
        <w:tc>
          <w:tcPr>
            <w:tcW w:type="dxa" w:w="1600"/>
            <w:shd w:fill="F2F2F2" w:val="clear"/>
            <w:tcMar>
              <w:top w:type="dxa" w:w="60"/>
              <w:left w:type="dxa" w:w="80"/>
              <w:bottom w:type="dxa" w:w="60"/>
              <w:right w:type="dxa" w:w="80"/>
            </w:tcMar>
            <w:vAlign w:val="center"/>
          </w:tcPr>
          <w:p>
            <w:r>
              <w:rPr>
                <w:b w:val="false"/>
                <w:bCs w:val="false"/>
                <w:sz w:val="18"/>
                <w:szCs w:val="18"/>
              </w:rPr>
              <w:t xml:space="preserve">Synthetic data only</w:t>
            </w:r>
          </w:p>
        </w:tc>
        <w:tc>
          <w:tcPr>
            <w:tcW w:type="dxa" w:w="1800"/>
            <w:shd w:fill="F2F2F2" w:val="clear"/>
            <w:tcMar>
              <w:top w:type="dxa" w:w="60"/>
              <w:left w:type="dxa" w:w="80"/>
              <w:bottom w:type="dxa" w:w="60"/>
              <w:right w:type="dxa" w:w="80"/>
            </w:tcMar>
            <w:vAlign w:val="center"/>
          </w:tcPr>
          <w:p>
            <w:r>
              <w:rPr>
                <w:b w:val="false"/>
                <w:bCs w:val="false"/>
                <w:sz w:val="18"/>
                <w:szCs w:val="18"/>
              </w:rPr>
              <w:t xml:space="preserve">None — monitor only</w:t>
            </w:r>
          </w:p>
        </w:tc>
        <w:tc>
          <w:tcPr>
            <w:tcW w:type="dxa" w:w="900"/>
            <w:shd w:fill="F2F2F2" w:val="clear"/>
            <w:tcMar>
              <w:top w:type="dxa" w:w="60"/>
              <w:left w:type="dxa" w:w="80"/>
              <w:bottom w:type="dxa" w:w="60"/>
              <w:right w:type="dxa" w:w="80"/>
            </w:tcMar>
            <w:vAlign w:val="center"/>
          </w:tcPr>
          <w:p>
            <w:r>
              <w:rPr>
                <w:b w:val="false"/>
                <w:bCs w:val="false"/>
                <w:sz w:val="18"/>
                <w:szCs w:val="18"/>
              </w:rPr>
              <w:t xml:space="preserve">Closed</w:t>
            </w:r>
          </w:p>
        </w:tc>
      </w:tr>
      <w:tr>
        <w:tc>
          <w:tcPr>
            <w:tcW w:type="dxa" w:w="700"/>
            <w:shd w:fill="FFFFFF" w:val="clear"/>
            <w:tcMar>
              <w:top w:type="dxa" w:w="60"/>
              <w:left w:type="dxa" w:w="80"/>
              <w:bottom w:type="dxa" w:w="60"/>
              <w:right w:type="dxa" w:w="80"/>
            </w:tcMar>
            <w:vAlign w:val="center"/>
          </w:tcPr>
          <w:p>
            <w:r>
              <w:rPr>
                <w:b w:val="false"/>
                <w:bCs w:val="false"/>
                <w:sz w:val="18"/>
                <w:szCs w:val="18"/>
              </w:rPr>
              <w:t xml:space="preserve">VR-09</w:t>
            </w:r>
          </w:p>
        </w:tc>
        <w:tc>
          <w:tcPr>
            <w:tcW w:type="dxa" w:w="2300"/>
            <w:shd w:fill="FFFFFF" w:val="clear"/>
            <w:tcMar>
              <w:top w:type="dxa" w:w="60"/>
              <w:left w:type="dxa" w:w="80"/>
              <w:bottom w:type="dxa" w:w="60"/>
              <w:right w:type="dxa" w:w="80"/>
            </w:tcMar>
            <w:vAlign w:val="center"/>
          </w:tcPr>
          <w:p>
            <w:r>
              <w:rPr>
                <w:b w:val="false"/>
                <w:bCs w:val="false"/>
                <w:sz w:val="18"/>
                <w:szCs w:val="18"/>
              </w:rPr>
              <w:t xml:space="preserve">Insufficient incident visibility from vendor side</w:t>
            </w:r>
          </w:p>
        </w:tc>
        <w:tc>
          <w:tcPr>
            <w:tcW w:type="dxa" w:w="9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10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8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1600"/>
            <w:shd w:fill="FFFFFF" w:val="clear"/>
            <w:tcMar>
              <w:top w:type="dxa" w:w="60"/>
              <w:left w:type="dxa" w:w="80"/>
              <w:bottom w:type="dxa" w:w="60"/>
              <w:right w:type="dxa" w:w="80"/>
            </w:tcMar>
            <w:vAlign w:val="center"/>
          </w:tcPr>
          <w:p>
            <w:r>
              <w:rPr>
                <w:b w:val="false"/>
                <w:bCs w:val="false"/>
                <w:sz w:val="18"/>
                <w:szCs w:val="18"/>
              </w:rPr>
              <w:t xml:space="preserve">Manual vendor reporting</w:t>
            </w:r>
          </w:p>
        </w:tc>
        <w:tc>
          <w:tcPr>
            <w:tcW w:type="dxa" w:w="1800"/>
            <w:shd w:fill="FFFFFF" w:val="clear"/>
            <w:tcMar>
              <w:top w:type="dxa" w:w="60"/>
              <w:left w:type="dxa" w:w="80"/>
              <w:bottom w:type="dxa" w:w="60"/>
              <w:right w:type="dxa" w:w="80"/>
            </w:tcMar>
            <w:vAlign w:val="center"/>
          </w:tcPr>
          <w:p>
            <w:r>
              <w:rPr>
                <w:b w:val="false"/>
                <w:bCs w:val="false"/>
                <w:sz w:val="18"/>
                <w:szCs w:val="18"/>
              </w:rPr>
              <w:t xml:space="preserve">Integrate vendor into SIEM alerting</w:t>
            </w:r>
          </w:p>
        </w:tc>
        <w:tc>
          <w:tcPr>
            <w:tcW w:type="dxa" w:w="900"/>
            <w:shd w:fill="FFFFFF" w:val="clear"/>
            <w:tcMar>
              <w:top w:type="dxa" w:w="60"/>
              <w:left w:type="dxa" w:w="80"/>
              <w:bottom w:type="dxa" w:w="60"/>
              <w:right w:type="dxa" w:w="80"/>
            </w:tcMar>
            <w:vAlign w:val="center"/>
          </w:tcPr>
          <w:p>
            <w:r>
              <w:rPr>
                <w:b w:val="false"/>
                <w:bCs w:val="false"/>
                <w:sz w:val="18"/>
                <w:szCs w:val="18"/>
              </w:rPr>
              <w:t xml:space="preserve">Open</w:t>
            </w:r>
          </w:p>
        </w:tc>
      </w:tr>
      <w:tr>
        <w:tc>
          <w:tcPr>
            <w:tcW w:type="dxa" w:w="700"/>
            <w:shd w:fill="F2F2F2" w:val="clear"/>
            <w:tcMar>
              <w:top w:type="dxa" w:w="60"/>
              <w:left w:type="dxa" w:w="80"/>
              <w:bottom w:type="dxa" w:w="60"/>
              <w:right w:type="dxa" w:w="80"/>
            </w:tcMar>
            <w:vAlign w:val="center"/>
          </w:tcPr>
          <w:p>
            <w:r>
              <w:rPr>
                <w:b w:val="false"/>
                <w:bCs w:val="false"/>
                <w:sz w:val="18"/>
                <w:szCs w:val="18"/>
              </w:rPr>
              <w:t xml:space="preserve">VR-10</w:t>
            </w:r>
          </w:p>
        </w:tc>
        <w:tc>
          <w:tcPr>
            <w:tcW w:type="dxa" w:w="2300"/>
            <w:shd w:fill="F2F2F2" w:val="clear"/>
            <w:tcMar>
              <w:top w:type="dxa" w:w="60"/>
              <w:left w:type="dxa" w:w="80"/>
              <w:bottom w:type="dxa" w:w="60"/>
              <w:right w:type="dxa" w:w="80"/>
            </w:tcMar>
            <w:vAlign w:val="center"/>
          </w:tcPr>
          <w:p>
            <w:r>
              <w:rPr>
                <w:b w:val="false"/>
                <w:bCs w:val="false"/>
                <w:sz w:val="18"/>
                <w:szCs w:val="18"/>
              </w:rPr>
              <w:t xml:space="preserve">Vendor staff turnover disrupts continuity</w:t>
            </w:r>
          </w:p>
        </w:tc>
        <w:tc>
          <w:tcPr>
            <w:tcW w:type="dxa" w:w="900"/>
            <w:shd w:fill="F2F2F2" w:val="clear"/>
            <w:tcMar>
              <w:top w:type="dxa" w:w="60"/>
              <w:left w:type="dxa" w:w="80"/>
              <w:bottom w:type="dxa" w:w="60"/>
              <w:right w:type="dxa" w:w="80"/>
            </w:tcMar>
            <w:vAlign w:val="center"/>
          </w:tcPr>
          <w:p>
            <w:r>
              <w:rPr>
                <w:b w:val="false"/>
                <w:bCs w:val="false"/>
                <w:sz w:val="18"/>
                <w:szCs w:val="18"/>
              </w:rPr>
              <w:t xml:space="preserve">Medium</w:t>
            </w:r>
          </w:p>
        </w:tc>
        <w:tc>
          <w:tcPr>
            <w:tcW w:type="dxa" w:w="1000"/>
            <w:shd w:fill="F2F2F2" w:val="clear"/>
            <w:tcMar>
              <w:top w:type="dxa" w:w="60"/>
              <w:left w:type="dxa" w:w="80"/>
              <w:bottom w:type="dxa" w:w="60"/>
              <w:right w:type="dxa" w:w="80"/>
            </w:tcMar>
            <w:vAlign w:val="center"/>
          </w:tcPr>
          <w:p>
            <w:r>
              <w:rPr>
                <w:b w:val="false"/>
                <w:bCs w:val="false"/>
                <w:sz w:val="18"/>
                <w:szCs w:val="18"/>
              </w:rPr>
              <w:t xml:space="preserve">High</w:t>
            </w:r>
          </w:p>
        </w:tc>
        <w:tc>
          <w:tcPr>
            <w:tcW w:type="dxa" w:w="800"/>
            <w:shd w:fill="F2F2F2" w:val="clear"/>
            <w:tcMar>
              <w:top w:type="dxa" w:w="60"/>
              <w:left w:type="dxa" w:w="80"/>
              <w:bottom w:type="dxa" w:w="60"/>
              <w:right w:type="dxa" w:w="80"/>
            </w:tcMar>
            <w:vAlign w:val="center"/>
          </w:tcPr>
          <w:p>
            <w:r>
              <w:rPr>
                <w:b w:val="false"/>
                <w:bCs w:val="false"/>
                <w:sz w:val="18"/>
                <w:szCs w:val="18"/>
              </w:rPr>
              <w:t xml:space="preserve">High</w:t>
            </w:r>
          </w:p>
        </w:tc>
        <w:tc>
          <w:tcPr>
            <w:tcW w:type="dxa" w:w="1600"/>
            <w:shd w:fill="F2F2F2" w:val="clear"/>
            <w:tcMar>
              <w:top w:type="dxa" w:w="60"/>
              <w:left w:type="dxa" w:w="80"/>
              <w:bottom w:type="dxa" w:w="60"/>
              <w:right w:type="dxa" w:w="80"/>
            </w:tcMar>
            <w:vAlign w:val="center"/>
          </w:tcPr>
          <w:p>
            <w:r>
              <w:rPr>
                <w:b w:val="false"/>
                <w:bCs w:val="false"/>
                <w:sz w:val="18"/>
                <w:szCs w:val="18"/>
              </w:rPr>
              <w:t xml:space="preserve">None formal</w:t>
            </w:r>
          </w:p>
        </w:tc>
        <w:tc>
          <w:tcPr>
            <w:tcW w:type="dxa" w:w="1800"/>
            <w:shd w:fill="F2F2F2" w:val="clear"/>
            <w:tcMar>
              <w:top w:type="dxa" w:w="60"/>
              <w:left w:type="dxa" w:w="80"/>
              <w:bottom w:type="dxa" w:w="60"/>
              <w:right w:type="dxa" w:w="80"/>
            </w:tcMar>
            <w:vAlign w:val="center"/>
          </w:tcPr>
          <w:p>
            <w:r>
              <w:rPr>
                <w:b w:val="false"/>
                <w:bCs w:val="false"/>
                <w:sz w:val="18"/>
                <w:szCs w:val="18"/>
              </w:rPr>
              <w:t xml:space="preserve">Add handover clause to contract</w:t>
            </w:r>
          </w:p>
        </w:tc>
        <w:tc>
          <w:tcPr>
            <w:tcW w:type="dxa" w:w="900"/>
            <w:shd w:fill="F2F2F2" w:val="clear"/>
            <w:tcMar>
              <w:top w:type="dxa" w:w="60"/>
              <w:left w:type="dxa" w:w="80"/>
              <w:bottom w:type="dxa" w:w="60"/>
              <w:right w:type="dxa" w:w="80"/>
            </w:tcMar>
            <w:vAlign w:val="center"/>
          </w:tcPr>
          <w:p>
            <w:r>
              <w:rPr>
                <w:b w:val="false"/>
                <w:bCs w:val="false"/>
                <w:sz w:val="18"/>
                <w:szCs w:val="18"/>
              </w:rPr>
              <w:t xml:space="preserve">Open</w:t>
            </w:r>
          </w:p>
        </w:tc>
      </w:tr>
    </w:tbl>
    <w:p>
      <w:pPr>
        <w:pStyle w:val="Heading2"/>
        <w:spacing w:after="120" w:before="240"/>
      </w:pPr>
      <w:r>
        <w:t xml:space="preserve">6.3 Access Control Register — Outsourced Vendor Staff</w:t>
      </w:r>
    </w:p>
    <w:p>
      <w:pPr>
        <w:spacing w:after="160"/>
      </w:pPr>
      <w:r>
        <w:rPr>
          <w:b w:val="false"/>
          <w:bCs w:val="false"/>
          <w:i w:val="false"/>
          <w:iCs w:val="false"/>
          <w:sz w:val="22"/>
          <w:szCs w:val="22"/>
        </w:rPr>
        <w:t xml:space="preserve">Purpose: tracks and governs human access for outsourced IT resources, ensuring access is approved, MFA-enforced, and reviewed on a defined cadence.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600"/>
        <w:gridCol w:w="700"/>
        <w:gridCol w:w="1400"/>
        <w:gridCol w:w="700"/>
        <w:gridCol w:w="2180"/>
      </w:tblGrid>
      <w:tr>
        <w:trPr>
          <w:tblHeader/>
        </w:trPr>
        <w:tc>
          <w:tcPr>
            <w:tcW w:type="dxa" w:w="1600"/>
            <w:shd w:fill="1F4E79" w:val="clear"/>
            <w:tcMar>
              <w:top w:type="dxa" w:w="60"/>
              <w:left w:type="dxa" w:w="80"/>
              <w:bottom w:type="dxa" w:w="60"/>
              <w:right w:type="dxa" w:w="80"/>
            </w:tcMar>
            <w:vAlign w:val="center"/>
          </w:tcPr>
          <w:p>
            <w:r>
              <w:rPr>
                <w:b/>
                <w:bCs/>
                <w:color w:val="FFFFFF"/>
                <w:sz w:val="18"/>
                <w:szCs w:val="18"/>
              </w:rPr>
              <w:t xml:space="preserve">User Type</w:t>
            </w:r>
          </w:p>
        </w:tc>
        <w:tc>
          <w:tcPr>
            <w:tcW w:type="dxa" w:w="1900"/>
            <w:shd w:fill="1F4E79" w:val="clear"/>
            <w:tcMar>
              <w:top w:type="dxa" w:w="60"/>
              <w:left w:type="dxa" w:w="80"/>
              <w:bottom w:type="dxa" w:w="60"/>
              <w:right w:type="dxa" w:w="80"/>
            </w:tcMar>
            <w:vAlign w:val="center"/>
          </w:tcPr>
          <w:p>
            <w:r>
              <w:rPr>
                <w:b/>
                <w:bCs/>
                <w:color w:val="FFFFFF"/>
                <w:sz w:val="18"/>
                <w:szCs w:val="18"/>
              </w:rPr>
              <w:t xml:space="preserve">Access Type</w:t>
            </w:r>
          </w:p>
        </w:tc>
        <w:tc>
          <w:tcPr>
            <w:tcW w:type="dxa" w:w="1600"/>
            <w:shd w:fill="1F4E79" w:val="clear"/>
            <w:tcMar>
              <w:top w:type="dxa" w:w="60"/>
              <w:left w:type="dxa" w:w="80"/>
              <w:bottom w:type="dxa" w:w="60"/>
              <w:right w:type="dxa" w:w="80"/>
            </w:tcMar>
            <w:vAlign w:val="center"/>
          </w:tcPr>
          <w:p>
            <w:r>
              <w:rPr>
                <w:b/>
                <w:bCs/>
                <w:color w:val="FFFFFF"/>
                <w:sz w:val="18"/>
                <w:szCs w:val="18"/>
              </w:rPr>
              <w:t xml:space="preserve">Approval Required</w:t>
            </w:r>
          </w:p>
        </w:tc>
        <w:tc>
          <w:tcPr>
            <w:tcW w:type="dxa" w:w="700"/>
            <w:shd w:fill="1F4E79" w:val="clear"/>
            <w:tcMar>
              <w:top w:type="dxa" w:w="60"/>
              <w:left w:type="dxa" w:w="80"/>
              <w:bottom w:type="dxa" w:w="60"/>
              <w:right w:type="dxa" w:w="80"/>
            </w:tcMar>
            <w:vAlign w:val="center"/>
          </w:tcPr>
          <w:p>
            <w:r>
              <w:rPr>
                <w:b/>
                <w:bCs/>
                <w:color w:val="FFFFFF"/>
                <w:sz w:val="18"/>
                <w:szCs w:val="18"/>
              </w:rPr>
              <w:t xml:space="preserve">MFA</w:t>
            </w:r>
          </w:p>
        </w:tc>
        <w:tc>
          <w:tcPr>
            <w:tcW w:type="dxa" w:w="1400"/>
            <w:shd w:fill="1F4E79" w:val="clear"/>
            <w:tcMar>
              <w:top w:type="dxa" w:w="60"/>
              <w:left w:type="dxa" w:w="80"/>
              <w:bottom w:type="dxa" w:w="60"/>
              <w:right w:type="dxa" w:w="80"/>
            </w:tcMar>
            <w:vAlign w:val="center"/>
          </w:tcPr>
          <w:p>
            <w:r>
              <w:rPr>
                <w:b/>
                <w:bCs/>
                <w:color w:val="FFFFFF"/>
                <w:sz w:val="18"/>
                <w:szCs w:val="18"/>
              </w:rPr>
              <w:t xml:space="preserve">Review Frequency</w:t>
            </w:r>
          </w:p>
        </w:tc>
        <w:tc>
          <w:tcPr>
            <w:tcW w:type="dxa" w:w="700"/>
            <w:shd w:fill="1F4E79" w:val="clear"/>
            <w:tcMar>
              <w:top w:type="dxa" w:w="60"/>
              <w:left w:type="dxa" w:w="80"/>
              <w:bottom w:type="dxa" w:w="60"/>
              <w:right w:type="dxa" w:w="80"/>
            </w:tcMar>
            <w:vAlign w:val="center"/>
          </w:tcPr>
          <w:p>
            <w:r>
              <w:rPr>
                <w:b/>
                <w:bCs/>
                <w:color w:val="FFFFFF"/>
                <w:sz w:val="18"/>
                <w:szCs w:val="18"/>
              </w:rPr>
              <w:t xml:space="preserve">Risk</w:t>
            </w:r>
          </w:p>
        </w:tc>
        <w:tc>
          <w:tcPr>
            <w:tcW w:type="dxa" w:w="2180"/>
            <w:shd w:fill="1F4E79" w:val="clear"/>
            <w:tcMar>
              <w:top w:type="dxa" w:w="60"/>
              <w:left w:type="dxa" w:w="80"/>
              <w:bottom w:type="dxa" w:w="60"/>
              <w:right w:type="dxa" w:w="80"/>
            </w:tcMar>
            <w:vAlign w:val="center"/>
          </w:tcPr>
          <w:p>
            <w:r>
              <w:rPr>
                <w:b/>
                <w:bCs/>
                <w:color w:val="FFFFFF"/>
                <w:sz w:val="18"/>
                <w:szCs w:val="18"/>
              </w:rPr>
              <w:t xml:space="preserve">Notes</w:t>
            </w:r>
          </w:p>
        </w:tc>
      </w:tr>
      <w:tr>
        <w:tc>
          <w:tcPr>
            <w:tcW w:type="dxa" w:w="1600"/>
            <w:shd w:fill="FFFFFF" w:val="clear"/>
            <w:tcMar>
              <w:top w:type="dxa" w:w="60"/>
              <w:left w:type="dxa" w:w="80"/>
              <w:bottom w:type="dxa" w:w="60"/>
              <w:right w:type="dxa" w:w="80"/>
            </w:tcMar>
            <w:vAlign w:val="center"/>
          </w:tcPr>
          <w:p>
            <w:r>
              <w:rPr>
                <w:b w:val="false"/>
                <w:bCs w:val="false"/>
                <w:sz w:val="18"/>
                <w:szCs w:val="18"/>
              </w:rPr>
              <w:t xml:space="preserve">Vendor Developer</w:t>
            </w:r>
          </w:p>
        </w:tc>
        <w:tc>
          <w:tcPr>
            <w:tcW w:type="dxa" w:w="1900"/>
            <w:shd w:fill="FFFFFF" w:val="clear"/>
            <w:tcMar>
              <w:top w:type="dxa" w:w="60"/>
              <w:left w:type="dxa" w:w="80"/>
              <w:bottom w:type="dxa" w:w="60"/>
              <w:right w:type="dxa" w:w="80"/>
            </w:tcMar>
            <w:vAlign w:val="center"/>
          </w:tcPr>
          <w:p>
            <w:r>
              <w:rPr>
                <w:b w:val="false"/>
                <w:bCs w:val="false"/>
                <w:sz w:val="18"/>
                <w:szCs w:val="18"/>
              </w:rPr>
              <w:t xml:space="preserve">Source code &amp; CI/CD</w:t>
            </w:r>
          </w:p>
        </w:tc>
        <w:tc>
          <w:tcPr>
            <w:tcW w:type="dxa" w:w="1600"/>
            <w:shd w:fill="FFFFFF" w:val="clear"/>
            <w:tcMar>
              <w:top w:type="dxa" w:w="60"/>
              <w:left w:type="dxa" w:w="80"/>
              <w:bottom w:type="dxa" w:w="60"/>
              <w:right w:type="dxa" w:w="80"/>
            </w:tcMar>
            <w:vAlign w:val="center"/>
          </w:tcPr>
          <w:p>
            <w:r>
              <w:rPr>
                <w:b w:val="false"/>
                <w:bCs w:val="false"/>
                <w:sz w:val="18"/>
                <w:szCs w:val="18"/>
              </w:rPr>
              <w:t xml:space="preserve">Manager + IT Security</w:t>
            </w:r>
          </w:p>
        </w:tc>
        <w:tc>
          <w:tcPr>
            <w:tcW w:type="dxa" w:w="700"/>
            <w:shd w:fill="FFFFFF" w:val="clear"/>
            <w:tcMar>
              <w:top w:type="dxa" w:w="60"/>
              <w:left w:type="dxa" w:w="80"/>
              <w:bottom w:type="dxa" w:w="60"/>
              <w:right w:type="dxa" w:w="80"/>
            </w:tcMar>
            <w:vAlign w:val="center"/>
          </w:tcPr>
          <w:p>
            <w:r>
              <w:rPr>
                <w:b w:val="false"/>
                <w:bCs w:val="false"/>
                <w:sz w:val="18"/>
                <w:szCs w:val="18"/>
              </w:rPr>
              <w:t xml:space="preserve">Yes</w:t>
            </w:r>
          </w:p>
        </w:tc>
        <w:tc>
          <w:tcPr>
            <w:tcW w:type="dxa" w:w="1400"/>
            <w:shd w:fill="FFFFFF" w:val="clear"/>
            <w:tcMar>
              <w:top w:type="dxa" w:w="60"/>
              <w:left w:type="dxa" w:w="80"/>
              <w:bottom w:type="dxa" w:w="60"/>
              <w:right w:type="dxa" w:w="80"/>
            </w:tcMar>
            <w:vAlign w:val="center"/>
          </w:tcPr>
          <w:p>
            <w:r>
              <w:rPr>
                <w:b w:val="false"/>
                <w:bCs w:val="false"/>
                <w:sz w:val="18"/>
                <w:szCs w:val="18"/>
              </w:rPr>
              <w:t xml:space="preserve">Quarterly</w:t>
            </w:r>
          </w:p>
        </w:tc>
        <w:tc>
          <w:tcPr>
            <w:tcW w:type="dxa" w:w="700"/>
            <w:shd w:fill="FFFFFF" w:val="clear"/>
            <w:tcMar>
              <w:top w:type="dxa" w:w="60"/>
              <w:left w:type="dxa" w:w="80"/>
              <w:bottom w:type="dxa" w:w="60"/>
              <w:right w:type="dxa" w:w="80"/>
            </w:tcMar>
            <w:vAlign w:val="center"/>
          </w:tcPr>
          <w:p>
            <w:r>
              <w:rPr>
                <w:b w:val="false"/>
                <w:bCs w:val="false"/>
                <w:sz w:val="18"/>
                <w:szCs w:val="18"/>
              </w:rPr>
              <w:t xml:space="preserve">High</w:t>
            </w:r>
          </w:p>
        </w:tc>
        <w:tc>
          <w:tcPr>
            <w:tcW w:type="dxa" w:w="2180"/>
            <w:shd w:fill="FFFFFF" w:val="clear"/>
            <w:tcMar>
              <w:top w:type="dxa" w:w="60"/>
              <w:left w:type="dxa" w:w="80"/>
              <w:bottom w:type="dxa" w:w="60"/>
              <w:right w:type="dxa" w:w="80"/>
            </w:tcMar>
            <w:vAlign w:val="center"/>
          </w:tcPr>
          <w:p>
            <w:r>
              <w:rPr>
                <w:b w:val="false"/>
                <w:bCs w:val="false"/>
                <w:sz w:val="18"/>
                <w:szCs w:val="18"/>
              </w:rPr>
              <w:t xml:space="preserve">Access critical to development; monitored for insider threat</w:t>
            </w:r>
          </w:p>
        </w:tc>
      </w:tr>
      <w:tr>
        <w:tc>
          <w:tcPr>
            <w:tcW w:type="dxa" w:w="1600"/>
            <w:shd w:fill="F2F2F2" w:val="clear"/>
            <w:tcMar>
              <w:top w:type="dxa" w:w="60"/>
              <w:left w:type="dxa" w:w="80"/>
              <w:bottom w:type="dxa" w:w="60"/>
              <w:right w:type="dxa" w:w="80"/>
            </w:tcMar>
            <w:vAlign w:val="center"/>
          </w:tcPr>
          <w:p>
            <w:r>
              <w:rPr>
                <w:b w:val="false"/>
                <w:bCs w:val="false"/>
                <w:sz w:val="18"/>
                <w:szCs w:val="18"/>
              </w:rPr>
              <w:t xml:space="preserve">Vendor Support</w:t>
            </w:r>
          </w:p>
        </w:tc>
        <w:tc>
          <w:tcPr>
            <w:tcW w:type="dxa" w:w="1900"/>
            <w:shd w:fill="F2F2F2" w:val="clear"/>
            <w:tcMar>
              <w:top w:type="dxa" w:w="60"/>
              <w:left w:type="dxa" w:w="80"/>
              <w:bottom w:type="dxa" w:w="60"/>
              <w:right w:type="dxa" w:w="80"/>
            </w:tcMar>
            <w:vAlign w:val="center"/>
          </w:tcPr>
          <w:p>
            <w:r>
              <w:rPr>
                <w:b w:val="false"/>
                <w:bCs w:val="false"/>
                <w:sz w:val="18"/>
                <w:szCs w:val="18"/>
              </w:rPr>
              <w:t xml:space="preserve">Production logs (read-only)</w:t>
            </w:r>
          </w:p>
        </w:tc>
        <w:tc>
          <w:tcPr>
            <w:tcW w:type="dxa" w:w="1600"/>
            <w:shd w:fill="F2F2F2" w:val="clear"/>
            <w:tcMar>
              <w:top w:type="dxa" w:w="60"/>
              <w:left w:type="dxa" w:w="80"/>
              <w:bottom w:type="dxa" w:w="60"/>
              <w:right w:type="dxa" w:w="80"/>
            </w:tcMar>
            <w:vAlign w:val="center"/>
          </w:tcPr>
          <w:p>
            <w:r>
              <w:rPr>
                <w:b w:val="false"/>
                <w:bCs w:val="false"/>
                <w:sz w:val="18"/>
                <w:szCs w:val="18"/>
              </w:rPr>
              <w:t xml:space="preserve">IT Security only</w:t>
            </w:r>
          </w:p>
        </w:tc>
        <w:tc>
          <w:tcPr>
            <w:tcW w:type="dxa" w:w="700"/>
            <w:shd w:fill="F2F2F2" w:val="clear"/>
            <w:tcMar>
              <w:top w:type="dxa" w:w="60"/>
              <w:left w:type="dxa" w:w="80"/>
              <w:bottom w:type="dxa" w:w="60"/>
              <w:right w:type="dxa" w:w="80"/>
            </w:tcMar>
            <w:vAlign w:val="center"/>
          </w:tcPr>
          <w:p>
            <w:r>
              <w:rPr>
                <w:b w:val="false"/>
                <w:bCs w:val="false"/>
                <w:sz w:val="18"/>
                <w:szCs w:val="18"/>
              </w:rPr>
              <w:t xml:space="preserve">Yes</w:t>
            </w:r>
          </w:p>
        </w:tc>
        <w:tc>
          <w:tcPr>
            <w:tcW w:type="dxa" w:w="1400"/>
            <w:shd w:fill="F2F2F2" w:val="clear"/>
            <w:tcMar>
              <w:top w:type="dxa" w:w="60"/>
              <w:left w:type="dxa" w:w="80"/>
              <w:bottom w:type="dxa" w:w="60"/>
              <w:right w:type="dxa" w:w="80"/>
            </w:tcMar>
            <w:vAlign w:val="center"/>
          </w:tcPr>
          <w:p>
            <w:r>
              <w:rPr>
                <w:b w:val="false"/>
                <w:bCs w:val="false"/>
                <w:sz w:val="18"/>
                <w:szCs w:val="18"/>
              </w:rPr>
              <w:t xml:space="preserve">Quarterly</w:t>
            </w:r>
          </w:p>
        </w:tc>
        <w:tc>
          <w:tcPr>
            <w:tcW w:type="dxa" w:w="700"/>
            <w:shd w:fill="F2F2F2" w:val="clear"/>
            <w:tcMar>
              <w:top w:type="dxa" w:w="60"/>
              <w:left w:type="dxa" w:w="80"/>
              <w:bottom w:type="dxa" w:w="60"/>
              <w:right w:type="dxa" w:w="80"/>
            </w:tcMar>
            <w:vAlign w:val="center"/>
          </w:tcPr>
          <w:p>
            <w:r>
              <w:rPr>
                <w:b w:val="false"/>
                <w:bCs w:val="false"/>
                <w:sz w:val="18"/>
                <w:szCs w:val="18"/>
              </w:rPr>
              <w:t xml:space="preserve">Medium</w:t>
            </w:r>
          </w:p>
        </w:tc>
        <w:tc>
          <w:tcPr>
            <w:tcW w:type="dxa" w:w="2180"/>
            <w:shd w:fill="F2F2F2" w:val="clear"/>
            <w:tcMar>
              <w:top w:type="dxa" w:w="60"/>
              <w:left w:type="dxa" w:w="80"/>
              <w:bottom w:type="dxa" w:w="60"/>
              <w:right w:type="dxa" w:w="80"/>
            </w:tcMar>
            <w:vAlign w:val="center"/>
          </w:tcPr>
          <w:p>
            <w:r>
              <w:rPr>
                <w:b w:val="false"/>
                <w:bCs w:val="false"/>
                <w:sz w:val="18"/>
                <w:szCs w:val="18"/>
              </w:rPr>
              <w:t xml:space="preserve">Limited read-only access to support operations</w:t>
            </w:r>
          </w:p>
        </w:tc>
      </w:tr>
      <w:tr>
        <w:tc>
          <w:tcPr>
            <w:tcW w:type="dxa" w:w="1600"/>
            <w:shd w:fill="FFFFFF" w:val="clear"/>
            <w:tcMar>
              <w:top w:type="dxa" w:w="60"/>
              <w:left w:type="dxa" w:w="80"/>
              <w:bottom w:type="dxa" w:w="60"/>
              <w:right w:type="dxa" w:w="80"/>
            </w:tcMar>
            <w:vAlign w:val="center"/>
          </w:tcPr>
          <w:p>
            <w:r>
              <w:rPr>
                <w:b w:val="false"/>
                <w:bCs w:val="false"/>
                <w:sz w:val="18"/>
                <w:szCs w:val="18"/>
              </w:rPr>
              <w:t xml:space="preserve">Vendor QA Engineer</w:t>
            </w:r>
          </w:p>
        </w:tc>
        <w:tc>
          <w:tcPr>
            <w:tcW w:type="dxa" w:w="1900"/>
            <w:shd w:fill="FFFFFF" w:val="clear"/>
            <w:tcMar>
              <w:top w:type="dxa" w:w="60"/>
              <w:left w:type="dxa" w:w="80"/>
              <w:bottom w:type="dxa" w:w="60"/>
              <w:right w:type="dxa" w:w="80"/>
            </w:tcMar>
            <w:vAlign w:val="center"/>
          </w:tcPr>
          <w:p>
            <w:r>
              <w:rPr>
                <w:b w:val="false"/>
                <w:bCs w:val="false"/>
                <w:sz w:val="18"/>
                <w:szCs w:val="18"/>
              </w:rPr>
              <w:t xml:space="preserve">Test environments</w:t>
            </w:r>
          </w:p>
        </w:tc>
        <w:tc>
          <w:tcPr>
            <w:tcW w:type="dxa" w:w="1600"/>
            <w:shd w:fill="FFFFFF" w:val="clear"/>
            <w:tcMar>
              <w:top w:type="dxa" w:w="60"/>
              <w:left w:type="dxa" w:w="80"/>
              <w:bottom w:type="dxa" w:w="60"/>
              <w:right w:type="dxa" w:w="80"/>
            </w:tcMar>
            <w:vAlign w:val="center"/>
          </w:tcPr>
          <w:p>
            <w:r>
              <w:rPr>
                <w:b w:val="false"/>
                <w:bCs w:val="false"/>
                <w:sz w:val="18"/>
                <w:szCs w:val="18"/>
              </w:rPr>
              <w:t xml:space="preserve">Manager + IT Security</w:t>
            </w:r>
          </w:p>
        </w:tc>
        <w:tc>
          <w:tcPr>
            <w:tcW w:type="dxa" w:w="700"/>
            <w:shd w:fill="FFFFFF" w:val="clear"/>
            <w:tcMar>
              <w:top w:type="dxa" w:w="60"/>
              <w:left w:type="dxa" w:w="80"/>
              <w:bottom w:type="dxa" w:w="60"/>
              <w:right w:type="dxa" w:w="80"/>
            </w:tcMar>
            <w:vAlign w:val="center"/>
          </w:tcPr>
          <w:p>
            <w:r>
              <w:rPr>
                <w:b w:val="false"/>
                <w:bCs w:val="false"/>
                <w:sz w:val="18"/>
                <w:szCs w:val="18"/>
              </w:rPr>
              <w:t xml:space="preserve">Yes</w:t>
            </w:r>
          </w:p>
        </w:tc>
        <w:tc>
          <w:tcPr>
            <w:tcW w:type="dxa" w:w="1400"/>
            <w:shd w:fill="FFFFFF" w:val="clear"/>
            <w:tcMar>
              <w:top w:type="dxa" w:w="60"/>
              <w:left w:type="dxa" w:w="80"/>
              <w:bottom w:type="dxa" w:w="60"/>
              <w:right w:type="dxa" w:w="80"/>
            </w:tcMar>
            <w:vAlign w:val="center"/>
          </w:tcPr>
          <w:p>
            <w:r>
              <w:rPr>
                <w:b w:val="false"/>
                <w:bCs w:val="false"/>
                <w:sz w:val="18"/>
                <w:szCs w:val="18"/>
              </w:rPr>
              <w:t xml:space="preserve">Quarterly</w:t>
            </w:r>
          </w:p>
        </w:tc>
        <w:tc>
          <w:tcPr>
            <w:tcW w:type="dxa" w:w="7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2180"/>
            <w:shd w:fill="FFFFFF" w:val="clear"/>
            <w:tcMar>
              <w:top w:type="dxa" w:w="60"/>
              <w:left w:type="dxa" w:w="80"/>
              <w:bottom w:type="dxa" w:w="60"/>
              <w:right w:type="dxa" w:w="80"/>
            </w:tcMar>
            <w:vAlign w:val="center"/>
          </w:tcPr>
          <w:p>
            <w:r>
              <w:rPr>
                <w:b w:val="false"/>
                <w:bCs w:val="false"/>
                <w:sz w:val="18"/>
                <w:szCs w:val="18"/>
              </w:rPr>
              <w:t xml:space="preserve">Access limited to QA tasks, no production access</w:t>
            </w:r>
          </w:p>
        </w:tc>
      </w:tr>
      <w:tr>
        <w:tc>
          <w:tcPr>
            <w:tcW w:type="dxa" w:w="1600"/>
            <w:shd w:fill="F2F2F2" w:val="clear"/>
            <w:tcMar>
              <w:top w:type="dxa" w:w="60"/>
              <w:left w:type="dxa" w:w="80"/>
              <w:bottom w:type="dxa" w:w="60"/>
              <w:right w:type="dxa" w:w="80"/>
            </w:tcMar>
            <w:vAlign w:val="center"/>
          </w:tcPr>
          <w:p>
            <w:r>
              <w:rPr>
                <w:b w:val="false"/>
                <w:bCs w:val="false"/>
                <w:sz w:val="18"/>
                <w:szCs w:val="18"/>
              </w:rPr>
              <w:t xml:space="preserve">Vendor Admin Staff</w:t>
            </w:r>
          </w:p>
        </w:tc>
        <w:tc>
          <w:tcPr>
            <w:tcW w:type="dxa" w:w="1900"/>
            <w:shd w:fill="F2F2F2" w:val="clear"/>
            <w:tcMar>
              <w:top w:type="dxa" w:w="60"/>
              <w:left w:type="dxa" w:w="80"/>
              <w:bottom w:type="dxa" w:w="60"/>
              <w:right w:type="dxa" w:w="80"/>
            </w:tcMar>
            <w:vAlign w:val="center"/>
          </w:tcPr>
          <w:p>
            <w:r>
              <w:rPr>
                <w:b w:val="false"/>
                <w:bCs w:val="false"/>
                <w:sz w:val="18"/>
                <w:szCs w:val="18"/>
              </w:rPr>
              <w:t xml:space="preserve">CI/CD &amp; monitoring tools</w:t>
            </w:r>
          </w:p>
        </w:tc>
        <w:tc>
          <w:tcPr>
            <w:tcW w:type="dxa" w:w="1600"/>
            <w:shd w:fill="F2F2F2" w:val="clear"/>
            <w:tcMar>
              <w:top w:type="dxa" w:w="60"/>
              <w:left w:type="dxa" w:w="80"/>
              <w:bottom w:type="dxa" w:w="60"/>
              <w:right w:type="dxa" w:w="80"/>
            </w:tcMar>
            <w:vAlign w:val="center"/>
          </w:tcPr>
          <w:p>
            <w:r>
              <w:rPr>
                <w:b w:val="false"/>
                <w:bCs w:val="false"/>
                <w:sz w:val="18"/>
                <w:szCs w:val="18"/>
              </w:rPr>
              <w:t xml:space="preserve">Manager + IT Security</w:t>
            </w:r>
          </w:p>
        </w:tc>
        <w:tc>
          <w:tcPr>
            <w:tcW w:type="dxa" w:w="700"/>
            <w:shd w:fill="F2F2F2" w:val="clear"/>
            <w:tcMar>
              <w:top w:type="dxa" w:w="60"/>
              <w:left w:type="dxa" w:w="80"/>
              <w:bottom w:type="dxa" w:w="60"/>
              <w:right w:type="dxa" w:w="80"/>
            </w:tcMar>
            <w:vAlign w:val="center"/>
          </w:tcPr>
          <w:p>
            <w:r>
              <w:rPr>
                <w:b w:val="false"/>
                <w:bCs w:val="false"/>
                <w:sz w:val="18"/>
                <w:szCs w:val="18"/>
              </w:rPr>
              <w:t xml:space="preserve">Yes</w:t>
            </w:r>
          </w:p>
        </w:tc>
        <w:tc>
          <w:tcPr>
            <w:tcW w:type="dxa" w:w="1400"/>
            <w:shd w:fill="F2F2F2" w:val="clear"/>
            <w:tcMar>
              <w:top w:type="dxa" w:w="60"/>
              <w:left w:type="dxa" w:w="80"/>
              <w:bottom w:type="dxa" w:w="60"/>
              <w:right w:type="dxa" w:w="80"/>
            </w:tcMar>
            <w:vAlign w:val="center"/>
          </w:tcPr>
          <w:p>
            <w:r>
              <w:rPr>
                <w:b w:val="false"/>
                <w:bCs w:val="false"/>
                <w:sz w:val="18"/>
                <w:szCs w:val="18"/>
              </w:rPr>
              <w:t xml:space="preserve">Quarterly</w:t>
            </w:r>
          </w:p>
        </w:tc>
        <w:tc>
          <w:tcPr>
            <w:tcW w:type="dxa" w:w="700"/>
            <w:shd w:fill="F2F2F2" w:val="clear"/>
            <w:tcMar>
              <w:top w:type="dxa" w:w="60"/>
              <w:left w:type="dxa" w:w="80"/>
              <w:bottom w:type="dxa" w:w="60"/>
              <w:right w:type="dxa" w:w="80"/>
            </w:tcMar>
            <w:vAlign w:val="center"/>
          </w:tcPr>
          <w:p>
            <w:r>
              <w:rPr>
                <w:b w:val="false"/>
                <w:bCs w:val="false"/>
                <w:sz w:val="18"/>
                <w:szCs w:val="18"/>
              </w:rPr>
              <w:t xml:space="preserve">High</w:t>
            </w:r>
          </w:p>
        </w:tc>
        <w:tc>
          <w:tcPr>
            <w:tcW w:type="dxa" w:w="2180"/>
            <w:shd w:fill="F2F2F2" w:val="clear"/>
            <w:tcMar>
              <w:top w:type="dxa" w:w="60"/>
              <w:left w:type="dxa" w:w="80"/>
              <w:bottom w:type="dxa" w:w="60"/>
              <w:right w:type="dxa" w:w="80"/>
            </w:tcMar>
            <w:vAlign w:val="center"/>
          </w:tcPr>
          <w:p>
            <w:r>
              <w:rPr>
                <w:b w:val="false"/>
                <w:bCs w:val="false"/>
                <w:sz w:val="18"/>
                <w:szCs w:val="18"/>
              </w:rPr>
              <w:t xml:space="preserve">Access to deployment pipelines; sensitive operational data</w:t>
            </w:r>
          </w:p>
        </w:tc>
      </w:tr>
      <w:tr>
        <w:tc>
          <w:tcPr>
            <w:tcW w:type="dxa" w:w="1600"/>
            <w:shd w:fill="FFFFFF" w:val="clear"/>
            <w:tcMar>
              <w:top w:type="dxa" w:w="60"/>
              <w:left w:type="dxa" w:w="80"/>
              <w:bottom w:type="dxa" w:w="60"/>
              <w:right w:type="dxa" w:w="80"/>
            </w:tcMar>
            <w:vAlign w:val="center"/>
          </w:tcPr>
          <w:p>
            <w:r>
              <w:rPr>
                <w:b w:val="false"/>
                <w:bCs w:val="false"/>
                <w:sz w:val="18"/>
                <w:szCs w:val="18"/>
              </w:rPr>
              <w:t xml:space="preserve">Vendor QA (Vendor B)</w:t>
            </w:r>
          </w:p>
        </w:tc>
        <w:tc>
          <w:tcPr>
            <w:tcW w:type="dxa" w:w="1900"/>
            <w:shd w:fill="FFFFFF" w:val="clear"/>
            <w:tcMar>
              <w:top w:type="dxa" w:w="60"/>
              <w:left w:type="dxa" w:w="80"/>
              <w:bottom w:type="dxa" w:w="60"/>
              <w:right w:type="dxa" w:w="80"/>
            </w:tcMar>
            <w:vAlign w:val="center"/>
          </w:tcPr>
          <w:p>
            <w:r>
              <w:rPr>
                <w:b w:val="false"/>
                <w:bCs w:val="false"/>
                <w:sz w:val="18"/>
                <w:szCs w:val="18"/>
              </w:rPr>
              <w:t xml:space="preserve">Test environments only</w:t>
            </w:r>
          </w:p>
        </w:tc>
        <w:tc>
          <w:tcPr>
            <w:tcW w:type="dxa" w:w="1600"/>
            <w:shd w:fill="FFFFFF" w:val="clear"/>
            <w:tcMar>
              <w:top w:type="dxa" w:w="60"/>
              <w:left w:type="dxa" w:w="80"/>
              <w:bottom w:type="dxa" w:w="60"/>
              <w:right w:type="dxa" w:w="80"/>
            </w:tcMar>
            <w:vAlign w:val="center"/>
          </w:tcPr>
          <w:p>
            <w:r>
              <w:rPr>
                <w:b w:val="false"/>
                <w:bCs w:val="false"/>
                <w:sz w:val="18"/>
                <w:szCs w:val="18"/>
              </w:rPr>
              <w:t xml:space="preserve">IT Security only</w:t>
            </w:r>
          </w:p>
        </w:tc>
        <w:tc>
          <w:tcPr>
            <w:tcW w:type="dxa" w:w="700"/>
            <w:shd w:fill="FFFFFF" w:val="clear"/>
            <w:tcMar>
              <w:top w:type="dxa" w:w="60"/>
              <w:left w:type="dxa" w:w="80"/>
              <w:bottom w:type="dxa" w:w="60"/>
              <w:right w:type="dxa" w:w="80"/>
            </w:tcMar>
            <w:vAlign w:val="center"/>
          </w:tcPr>
          <w:p>
            <w:r>
              <w:rPr>
                <w:b w:val="false"/>
                <w:bCs w:val="false"/>
                <w:sz w:val="18"/>
                <w:szCs w:val="18"/>
              </w:rPr>
              <w:t xml:space="preserve">Yes</w:t>
            </w:r>
          </w:p>
        </w:tc>
        <w:tc>
          <w:tcPr>
            <w:tcW w:type="dxa" w:w="1400"/>
            <w:shd w:fill="FFFFFF" w:val="clear"/>
            <w:tcMar>
              <w:top w:type="dxa" w:w="60"/>
              <w:left w:type="dxa" w:w="80"/>
              <w:bottom w:type="dxa" w:w="60"/>
              <w:right w:type="dxa" w:w="80"/>
            </w:tcMar>
            <w:vAlign w:val="center"/>
          </w:tcPr>
          <w:p>
            <w:r>
              <w:rPr>
                <w:b w:val="false"/>
                <w:bCs w:val="false"/>
                <w:sz w:val="18"/>
                <w:szCs w:val="18"/>
              </w:rPr>
              <w:t xml:space="preserve">Semi-annual</w:t>
            </w:r>
          </w:p>
        </w:tc>
        <w:tc>
          <w:tcPr>
            <w:tcW w:type="dxa" w:w="700"/>
            <w:shd w:fill="FFFFFF" w:val="clear"/>
            <w:tcMar>
              <w:top w:type="dxa" w:w="60"/>
              <w:left w:type="dxa" w:w="80"/>
              <w:bottom w:type="dxa" w:w="60"/>
              <w:right w:type="dxa" w:w="80"/>
            </w:tcMar>
            <w:vAlign w:val="center"/>
          </w:tcPr>
          <w:p>
            <w:r>
              <w:rPr>
                <w:b w:val="false"/>
                <w:bCs w:val="false"/>
                <w:sz w:val="18"/>
                <w:szCs w:val="18"/>
              </w:rPr>
              <w:t xml:space="preserve">Low</w:t>
            </w:r>
          </w:p>
        </w:tc>
        <w:tc>
          <w:tcPr>
            <w:tcW w:type="dxa" w:w="2180"/>
            <w:shd w:fill="FFFFFF" w:val="clear"/>
            <w:tcMar>
              <w:top w:type="dxa" w:w="60"/>
              <w:left w:type="dxa" w:w="80"/>
              <w:bottom w:type="dxa" w:w="60"/>
              <w:right w:type="dxa" w:w="80"/>
            </w:tcMar>
            <w:vAlign w:val="center"/>
          </w:tcPr>
          <w:p>
            <w:r>
              <w:rPr>
                <w:b w:val="false"/>
                <w:bCs w:val="false"/>
                <w:sz w:val="18"/>
                <w:szCs w:val="18"/>
              </w:rPr>
              <w:t xml:space="preserve">Synthetic data only; lowest-risk access tier</w:t>
            </w:r>
          </w:p>
        </w:tc>
      </w:tr>
      <w:tr>
        <w:tc>
          <w:tcPr>
            <w:tcW w:type="dxa" w:w="1600"/>
            <w:shd w:fill="F2F2F2" w:val="clear"/>
            <w:tcMar>
              <w:top w:type="dxa" w:w="60"/>
              <w:left w:type="dxa" w:w="80"/>
              <w:bottom w:type="dxa" w:w="60"/>
              <w:right w:type="dxa" w:w="80"/>
            </w:tcMar>
            <w:vAlign w:val="center"/>
          </w:tcPr>
          <w:p>
            <w:r>
              <w:rPr>
                <w:b w:val="false"/>
                <w:bCs w:val="false"/>
                <w:sz w:val="18"/>
                <w:szCs w:val="18"/>
              </w:rPr>
              <w:t xml:space="preserve">Vendor Developer (secondary)</w:t>
            </w:r>
          </w:p>
        </w:tc>
        <w:tc>
          <w:tcPr>
            <w:tcW w:type="dxa" w:w="1900"/>
            <w:shd w:fill="F2F2F2" w:val="clear"/>
            <w:tcMar>
              <w:top w:type="dxa" w:w="60"/>
              <w:left w:type="dxa" w:w="80"/>
              <w:bottom w:type="dxa" w:w="60"/>
              <w:right w:type="dxa" w:w="80"/>
            </w:tcMar>
            <w:vAlign w:val="center"/>
          </w:tcPr>
          <w:p>
            <w:r>
              <w:rPr>
                <w:b w:val="false"/>
                <w:bCs w:val="false"/>
                <w:sz w:val="18"/>
                <w:szCs w:val="18"/>
              </w:rPr>
              <w:t xml:space="preserve">Source code (read-only branch)</w:t>
            </w:r>
          </w:p>
        </w:tc>
        <w:tc>
          <w:tcPr>
            <w:tcW w:type="dxa" w:w="1600"/>
            <w:shd w:fill="F2F2F2" w:val="clear"/>
            <w:tcMar>
              <w:top w:type="dxa" w:w="60"/>
              <w:left w:type="dxa" w:w="80"/>
              <w:bottom w:type="dxa" w:w="60"/>
              <w:right w:type="dxa" w:w="80"/>
            </w:tcMar>
            <w:vAlign w:val="center"/>
          </w:tcPr>
          <w:p>
            <w:r>
              <w:rPr>
                <w:b w:val="false"/>
                <w:bCs w:val="false"/>
                <w:sz w:val="18"/>
                <w:szCs w:val="18"/>
              </w:rPr>
              <w:t xml:space="preserve">Manager only</w:t>
            </w:r>
          </w:p>
        </w:tc>
        <w:tc>
          <w:tcPr>
            <w:tcW w:type="dxa" w:w="700"/>
            <w:shd w:fill="F2F2F2" w:val="clear"/>
            <w:tcMar>
              <w:top w:type="dxa" w:w="60"/>
              <w:left w:type="dxa" w:w="80"/>
              <w:bottom w:type="dxa" w:w="60"/>
              <w:right w:type="dxa" w:w="80"/>
            </w:tcMar>
            <w:vAlign w:val="center"/>
          </w:tcPr>
          <w:p>
            <w:r>
              <w:rPr>
                <w:b w:val="false"/>
                <w:bCs w:val="false"/>
                <w:sz w:val="18"/>
                <w:szCs w:val="18"/>
              </w:rPr>
              <w:t xml:space="preserve">Yes</w:t>
            </w:r>
          </w:p>
        </w:tc>
        <w:tc>
          <w:tcPr>
            <w:tcW w:type="dxa" w:w="1400"/>
            <w:shd w:fill="F2F2F2" w:val="clear"/>
            <w:tcMar>
              <w:top w:type="dxa" w:w="60"/>
              <w:left w:type="dxa" w:w="80"/>
              <w:bottom w:type="dxa" w:w="60"/>
              <w:right w:type="dxa" w:w="80"/>
            </w:tcMar>
            <w:vAlign w:val="center"/>
          </w:tcPr>
          <w:p>
            <w:r>
              <w:rPr>
                <w:b w:val="false"/>
                <w:bCs w:val="false"/>
                <w:sz w:val="18"/>
                <w:szCs w:val="18"/>
              </w:rPr>
              <w:t xml:space="preserve">Quarterly</w:t>
            </w:r>
          </w:p>
        </w:tc>
        <w:tc>
          <w:tcPr>
            <w:tcW w:type="dxa" w:w="700"/>
            <w:shd w:fill="F2F2F2" w:val="clear"/>
            <w:tcMar>
              <w:top w:type="dxa" w:w="60"/>
              <w:left w:type="dxa" w:w="80"/>
              <w:bottom w:type="dxa" w:w="60"/>
              <w:right w:type="dxa" w:w="80"/>
            </w:tcMar>
            <w:vAlign w:val="center"/>
          </w:tcPr>
          <w:p>
            <w:r>
              <w:rPr>
                <w:b w:val="false"/>
                <w:bCs w:val="false"/>
                <w:sz w:val="18"/>
                <w:szCs w:val="18"/>
              </w:rPr>
              <w:t xml:space="preserve">Medium</w:t>
            </w:r>
          </w:p>
        </w:tc>
        <w:tc>
          <w:tcPr>
            <w:tcW w:type="dxa" w:w="2180"/>
            <w:shd w:fill="F2F2F2" w:val="clear"/>
            <w:tcMar>
              <w:top w:type="dxa" w:w="60"/>
              <w:left w:type="dxa" w:w="80"/>
              <w:bottom w:type="dxa" w:w="60"/>
              <w:right w:type="dxa" w:w="80"/>
            </w:tcMar>
            <w:vAlign w:val="center"/>
          </w:tcPr>
          <w:p>
            <w:r>
              <w:rPr>
                <w:b w:val="false"/>
                <w:bCs w:val="false"/>
                <w:sz w:val="18"/>
                <w:szCs w:val="18"/>
              </w:rPr>
              <w:t xml:space="preserve">Read-only for code review contributions</w:t>
            </w:r>
          </w:p>
        </w:tc>
      </w:tr>
    </w:tbl>
    <w:p>
      <w:pPr>
        <w:pStyle w:val="Heading2"/>
        <w:spacing w:after="120" w:before="240"/>
      </w:pPr>
      <w:r>
        <w:t xml:space="preserve">6.4 Due Diligence Register — Vendor HR &amp; Security Controls</w:t>
      </w:r>
    </w:p>
    <w:p>
      <w:pPr>
        <w:spacing w:after="160"/>
      </w:pPr>
      <w:r>
        <w:rPr>
          <w:b w:val="false"/>
          <w:bCs w:val="false"/>
          <w:i w:val="false"/>
          <w:iCs w:val="false"/>
          <w:sz w:val="22"/>
          <w:szCs w:val="22"/>
        </w:rPr>
        <w:t xml:space="preserve">Purpose: tracks the organization's assessment of vendor human-resource and security practices, ensuring vendor staff are properly vetted, trained, and governed.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300"/>
        <w:gridCol w:w="900"/>
        <w:gridCol w:w="3080"/>
      </w:tblGrid>
      <w:tr>
        <w:trPr>
          <w:tblHeader/>
        </w:trPr>
        <w:tc>
          <w:tcPr>
            <w:tcW w:type="dxa" w:w="1600"/>
            <w:shd w:fill="1F4E79" w:val="clear"/>
            <w:tcMar>
              <w:top w:type="dxa" w:w="60"/>
              <w:left w:type="dxa" w:w="80"/>
              <w:bottom w:type="dxa" w:w="60"/>
              <w:right w:type="dxa" w:w="80"/>
            </w:tcMar>
            <w:vAlign w:val="center"/>
          </w:tcPr>
          <w:p>
            <w:r>
              <w:rPr>
                <w:b/>
                <w:bCs/>
                <w:color w:val="FFFFFF"/>
                <w:sz w:val="18"/>
                <w:szCs w:val="18"/>
              </w:rPr>
              <w:t xml:space="preserve">Control Area</w:t>
            </w:r>
          </w:p>
        </w:tc>
        <w:tc>
          <w:tcPr>
            <w:tcW w:type="dxa" w:w="3200"/>
            <w:shd w:fill="1F4E79" w:val="clear"/>
            <w:tcMar>
              <w:top w:type="dxa" w:w="60"/>
              <w:left w:type="dxa" w:w="80"/>
              <w:bottom w:type="dxa" w:w="60"/>
              <w:right w:type="dxa" w:w="80"/>
            </w:tcMar>
            <w:vAlign w:val="center"/>
          </w:tcPr>
          <w:p>
            <w:r>
              <w:rPr>
                <w:b/>
                <w:bCs/>
                <w:color w:val="FFFFFF"/>
                <w:sz w:val="18"/>
                <w:szCs w:val="18"/>
              </w:rPr>
              <w:t xml:space="preserve">Question</w:t>
            </w:r>
          </w:p>
        </w:tc>
        <w:tc>
          <w:tcPr>
            <w:tcW w:type="dxa" w:w="1300"/>
            <w:shd w:fill="1F4E79" w:val="clear"/>
            <w:tcMar>
              <w:top w:type="dxa" w:w="60"/>
              <w:left w:type="dxa" w:w="80"/>
              <w:bottom w:type="dxa" w:w="60"/>
              <w:right w:type="dxa" w:w="80"/>
            </w:tcMar>
            <w:vAlign w:val="center"/>
          </w:tcPr>
          <w:p>
            <w:r>
              <w:rPr>
                <w:b/>
                <w:bCs/>
                <w:color w:val="FFFFFF"/>
                <w:sz w:val="18"/>
                <w:szCs w:val="18"/>
              </w:rPr>
              <w:t xml:space="preserve">Vendor Response</w:t>
            </w:r>
          </w:p>
        </w:tc>
        <w:tc>
          <w:tcPr>
            <w:tcW w:type="dxa" w:w="900"/>
            <w:shd w:fill="1F4E79" w:val="clear"/>
            <w:tcMar>
              <w:top w:type="dxa" w:w="60"/>
              <w:left w:type="dxa" w:w="80"/>
              <w:bottom w:type="dxa" w:w="60"/>
              <w:right w:type="dxa" w:w="80"/>
            </w:tcMar>
            <w:vAlign w:val="center"/>
          </w:tcPr>
          <w:p>
            <w:r>
              <w:rPr>
                <w:b/>
                <w:bCs/>
                <w:color w:val="FFFFFF"/>
                <w:sz w:val="18"/>
                <w:szCs w:val="18"/>
              </w:rPr>
              <w:t xml:space="preserve">Status</w:t>
            </w:r>
          </w:p>
        </w:tc>
        <w:tc>
          <w:tcPr>
            <w:tcW w:type="dxa" w:w="3080"/>
            <w:shd w:fill="1F4E79" w:val="clear"/>
            <w:tcMar>
              <w:top w:type="dxa" w:w="60"/>
              <w:left w:type="dxa" w:w="80"/>
              <w:bottom w:type="dxa" w:w="60"/>
              <w:right w:type="dxa" w:w="80"/>
            </w:tcMar>
            <w:vAlign w:val="center"/>
          </w:tcPr>
          <w:p>
            <w:r>
              <w:rPr>
                <w:b/>
                <w:bCs/>
                <w:color w:val="FFFFFF"/>
                <w:sz w:val="18"/>
                <w:szCs w:val="18"/>
              </w:rPr>
              <w:t xml:space="preserve">Comments / Actions Required</w:t>
            </w:r>
          </w:p>
        </w:tc>
      </w:tr>
      <w:tr>
        <w:tc>
          <w:tcPr>
            <w:tcW w:type="dxa" w:w="1600"/>
            <w:shd w:fill="FFFFFF" w:val="clear"/>
            <w:tcMar>
              <w:top w:type="dxa" w:w="60"/>
              <w:left w:type="dxa" w:w="80"/>
              <w:bottom w:type="dxa" w:w="60"/>
              <w:right w:type="dxa" w:w="80"/>
            </w:tcMar>
            <w:vAlign w:val="center"/>
          </w:tcPr>
          <w:p>
            <w:r>
              <w:rPr>
                <w:b w:val="false"/>
                <w:bCs w:val="false"/>
                <w:sz w:val="18"/>
                <w:szCs w:val="18"/>
              </w:rPr>
              <w:t xml:space="preserve">Background Checks</w:t>
            </w:r>
          </w:p>
        </w:tc>
        <w:tc>
          <w:tcPr>
            <w:tcW w:type="dxa" w:w="3200"/>
            <w:shd w:fill="FFFFFF" w:val="clear"/>
            <w:tcMar>
              <w:top w:type="dxa" w:w="60"/>
              <w:left w:type="dxa" w:w="80"/>
              <w:bottom w:type="dxa" w:w="60"/>
              <w:right w:type="dxa" w:w="80"/>
            </w:tcMar>
            <w:vAlign w:val="center"/>
          </w:tcPr>
          <w:p>
            <w:r>
              <w:rPr>
                <w:b w:val="false"/>
                <w:bCs w:val="false"/>
                <w:sz w:val="18"/>
                <w:szCs w:val="18"/>
              </w:rPr>
              <w:t xml:space="preserve">Are checks performed on vendor staff?</w:t>
            </w:r>
          </w:p>
        </w:tc>
        <w:tc>
          <w:tcPr>
            <w:tcW w:type="dxa" w:w="1300"/>
            <w:shd w:fill="FFFFFF" w:val="clear"/>
            <w:tcMar>
              <w:top w:type="dxa" w:w="60"/>
              <w:left w:type="dxa" w:w="80"/>
              <w:bottom w:type="dxa" w:w="60"/>
              <w:right w:type="dxa" w:w="80"/>
            </w:tcMar>
            <w:vAlign w:val="center"/>
          </w:tcPr>
          <w:p>
            <w:r>
              <w:rPr>
                <w:b w:val="false"/>
                <w:bCs w:val="false"/>
                <w:sz w:val="18"/>
                <w:szCs w:val="18"/>
              </w:rPr>
              <w:t xml:space="preserve">Yes</w:t>
            </w:r>
          </w:p>
        </w:tc>
        <w:tc>
          <w:tcPr>
            <w:tcW w:type="dxa" w:w="900"/>
            <w:shd w:fill="FFFFFF" w:val="clear"/>
            <w:tcMar>
              <w:top w:type="dxa" w:w="60"/>
              <w:left w:type="dxa" w:w="80"/>
              <w:bottom w:type="dxa" w:w="60"/>
              <w:right w:type="dxa" w:w="80"/>
            </w:tcMar>
            <w:vAlign w:val="center"/>
          </w:tcPr>
          <w:p>
            <w:r>
              <w:rPr>
                <w:b w:val="false"/>
                <w:bCs w:val="false"/>
                <w:sz w:val="18"/>
                <w:szCs w:val="18"/>
              </w:rPr>
              <w:t xml:space="preserve">OK</w:t>
            </w:r>
          </w:p>
        </w:tc>
        <w:tc>
          <w:tcPr>
            <w:tcW w:type="dxa" w:w="3080"/>
            <w:shd w:fill="FFFFFF" w:val="clear"/>
            <w:tcMar>
              <w:top w:type="dxa" w:w="60"/>
              <w:left w:type="dxa" w:w="80"/>
              <w:bottom w:type="dxa" w:w="60"/>
              <w:right w:type="dxa" w:w="80"/>
            </w:tcMar>
            <w:vAlign w:val="center"/>
          </w:tcPr>
          <w:p>
            <w:r>
              <w:rPr>
                <w:b w:val="false"/>
                <w:bCs w:val="false"/>
                <w:sz w:val="18"/>
                <w:szCs w:val="18"/>
              </w:rPr>
              <w:t xml:space="preserve">Checks performed annually; documented evidence available</w:t>
            </w:r>
          </w:p>
        </w:tc>
      </w:tr>
      <w:tr>
        <w:tc>
          <w:tcPr>
            <w:tcW w:type="dxa" w:w="1600"/>
            <w:shd w:fill="F2F2F2" w:val="clear"/>
            <w:tcMar>
              <w:top w:type="dxa" w:w="60"/>
              <w:left w:type="dxa" w:w="80"/>
              <w:bottom w:type="dxa" w:w="60"/>
              <w:right w:type="dxa" w:w="80"/>
            </w:tcMar>
            <w:vAlign w:val="center"/>
          </w:tcPr>
          <w:p>
            <w:r>
              <w:rPr>
                <w:b w:val="false"/>
                <w:bCs w:val="false"/>
                <w:sz w:val="18"/>
                <w:szCs w:val="18"/>
              </w:rPr>
              <w:t xml:space="preserve">Security Training</w:t>
            </w:r>
          </w:p>
        </w:tc>
        <w:tc>
          <w:tcPr>
            <w:tcW w:type="dxa" w:w="3200"/>
            <w:shd w:fill="F2F2F2" w:val="clear"/>
            <w:tcMar>
              <w:top w:type="dxa" w:w="60"/>
              <w:left w:type="dxa" w:w="80"/>
              <w:bottom w:type="dxa" w:w="60"/>
              <w:right w:type="dxa" w:w="80"/>
            </w:tcMar>
            <w:vAlign w:val="center"/>
          </w:tcPr>
          <w:p>
            <w:r>
              <w:rPr>
                <w:b w:val="false"/>
                <w:bCs w:val="false"/>
                <w:sz w:val="18"/>
                <w:szCs w:val="18"/>
              </w:rPr>
              <w:t xml:space="preserve">Is mandatory cybersecurity &amp; operational training provided?</w:t>
            </w:r>
          </w:p>
        </w:tc>
        <w:tc>
          <w:tcPr>
            <w:tcW w:type="dxa" w:w="1300"/>
            <w:shd w:fill="F2F2F2" w:val="clear"/>
            <w:tcMar>
              <w:top w:type="dxa" w:w="60"/>
              <w:left w:type="dxa" w:w="80"/>
              <w:bottom w:type="dxa" w:w="60"/>
              <w:right w:type="dxa" w:w="80"/>
            </w:tcMar>
            <w:vAlign w:val="center"/>
          </w:tcPr>
          <w:p>
            <w:r>
              <w:rPr>
                <w:b w:val="false"/>
                <w:bCs w:val="false"/>
                <w:sz w:val="18"/>
                <w:szCs w:val="18"/>
              </w:rPr>
              <w:t xml:space="preserve">No</w:t>
            </w:r>
          </w:p>
        </w:tc>
        <w:tc>
          <w:tcPr>
            <w:tcW w:type="dxa" w:w="900"/>
            <w:shd w:fill="F2F2F2" w:val="clear"/>
            <w:tcMar>
              <w:top w:type="dxa" w:w="60"/>
              <w:left w:type="dxa" w:w="80"/>
              <w:bottom w:type="dxa" w:w="60"/>
              <w:right w:type="dxa" w:w="80"/>
            </w:tcMar>
            <w:vAlign w:val="center"/>
          </w:tcPr>
          <w:p>
            <w:r>
              <w:rPr>
                <w:b w:val="false"/>
                <w:bCs w:val="false"/>
                <w:sz w:val="18"/>
                <w:szCs w:val="18"/>
              </w:rPr>
              <w:t xml:space="preserve">Gap</w:t>
            </w:r>
          </w:p>
        </w:tc>
        <w:tc>
          <w:tcPr>
            <w:tcW w:type="dxa" w:w="3080"/>
            <w:shd w:fill="F2F2F2" w:val="clear"/>
            <w:tcMar>
              <w:top w:type="dxa" w:w="60"/>
              <w:left w:type="dxa" w:w="80"/>
              <w:bottom w:type="dxa" w:w="60"/>
              <w:right w:type="dxa" w:w="80"/>
            </w:tcMar>
            <w:vAlign w:val="center"/>
          </w:tcPr>
          <w:p>
            <w:r>
              <w:rPr>
                <w:b w:val="false"/>
                <w:bCs w:val="false"/>
                <w:sz w:val="18"/>
                <w:szCs w:val="18"/>
              </w:rPr>
              <w:t xml:space="preserve">Implement training programme; track completion in Training Register</w:t>
            </w:r>
          </w:p>
        </w:tc>
      </w:tr>
      <w:tr>
        <w:tc>
          <w:tcPr>
            <w:tcW w:type="dxa" w:w="1600"/>
            <w:shd w:fill="FFFFFF" w:val="clear"/>
            <w:tcMar>
              <w:top w:type="dxa" w:w="60"/>
              <w:left w:type="dxa" w:w="80"/>
              <w:bottom w:type="dxa" w:w="60"/>
              <w:right w:type="dxa" w:w="80"/>
            </w:tcMar>
            <w:vAlign w:val="center"/>
          </w:tcPr>
          <w:p>
            <w:r>
              <w:rPr>
                <w:b w:val="false"/>
                <w:bCs w:val="false"/>
                <w:sz w:val="18"/>
                <w:szCs w:val="18"/>
              </w:rPr>
              <w:t xml:space="preserve">Access Management</w:t>
            </w:r>
          </w:p>
        </w:tc>
        <w:tc>
          <w:tcPr>
            <w:tcW w:type="dxa" w:w="3200"/>
            <w:shd w:fill="FFFFFF" w:val="clear"/>
            <w:tcMar>
              <w:top w:type="dxa" w:w="60"/>
              <w:left w:type="dxa" w:w="80"/>
              <w:bottom w:type="dxa" w:w="60"/>
              <w:right w:type="dxa" w:w="80"/>
            </w:tcMar>
            <w:vAlign w:val="center"/>
          </w:tcPr>
          <w:p>
            <w:r>
              <w:rPr>
                <w:b w:val="false"/>
                <w:bCs w:val="false"/>
                <w:sz w:val="18"/>
                <w:szCs w:val="18"/>
              </w:rPr>
              <w:t xml:space="preserve">Are individual user accounts assigned to vendor staff?</w:t>
            </w:r>
          </w:p>
        </w:tc>
        <w:tc>
          <w:tcPr>
            <w:tcW w:type="dxa" w:w="1300"/>
            <w:shd w:fill="FFFFFF" w:val="clear"/>
            <w:tcMar>
              <w:top w:type="dxa" w:w="60"/>
              <w:left w:type="dxa" w:w="80"/>
              <w:bottom w:type="dxa" w:w="60"/>
              <w:right w:type="dxa" w:w="80"/>
            </w:tcMar>
            <w:vAlign w:val="center"/>
          </w:tcPr>
          <w:p>
            <w:r>
              <w:rPr>
                <w:b w:val="false"/>
                <w:bCs w:val="false"/>
                <w:sz w:val="18"/>
                <w:szCs w:val="18"/>
              </w:rPr>
              <w:t xml:space="preserve">Yes</w:t>
            </w:r>
          </w:p>
        </w:tc>
        <w:tc>
          <w:tcPr>
            <w:tcW w:type="dxa" w:w="900"/>
            <w:shd w:fill="FFFFFF" w:val="clear"/>
            <w:tcMar>
              <w:top w:type="dxa" w:w="60"/>
              <w:left w:type="dxa" w:w="80"/>
              <w:bottom w:type="dxa" w:w="60"/>
              <w:right w:type="dxa" w:w="80"/>
            </w:tcMar>
            <w:vAlign w:val="center"/>
          </w:tcPr>
          <w:p>
            <w:r>
              <w:rPr>
                <w:b w:val="false"/>
                <w:bCs w:val="false"/>
                <w:sz w:val="18"/>
                <w:szCs w:val="18"/>
              </w:rPr>
              <w:t xml:space="preserve">OK</w:t>
            </w:r>
          </w:p>
        </w:tc>
        <w:tc>
          <w:tcPr>
            <w:tcW w:type="dxa" w:w="3080"/>
            <w:shd w:fill="FFFFFF" w:val="clear"/>
            <w:tcMar>
              <w:top w:type="dxa" w:w="60"/>
              <w:left w:type="dxa" w:w="80"/>
              <w:bottom w:type="dxa" w:w="60"/>
              <w:right w:type="dxa" w:w="80"/>
            </w:tcMar>
            <w:vAlign w:val="center"/>
          </w:tcPr>
          <w:p>
            <w:r>
              <w:rPr>
                <w:b w:val="false"/>
                <w:bCs w:val="false"/>
                <w:sz w:val="18"/>
                <w:szCs w:val="18"/>
              </w:rPr>
              <w:t xml:space="preserve">Enforce RBAC and MFA; reviewed quarterly</w:t>
            </w:r>
          </w:p>
        </w:tc>
      </w:tr>
      <w:tr>
        <w:tc>
          <w:tcPr>
            <w:tcW w:type="dxa" w:w="1600"/>
            <w:shd w:fill="F2F2F2" w:val="clear"/>
            <w:tcMar>
              <w:top w:type="dxa" w:w="60"/>
              <w:left w:type="dxa" w:w="80"/>
              <w:bottom w:type="dxa" w:w="60"/>
              <w:right w:type="dxa" w:w="80"/>
            </w:tcMar>
            <w:vAlign w:val="center"/>
          </w:tcPr>
          <w:p>
            <w:r>
              <w:rPr>
                <w:b w:val="false"/>
                <w:bCs w:val="false"/>
                <w:sz w:val="18"/>
                <w:szCs w:val="18"/>
              </w:rPr>
              <w:t xml:space="preserve">Exit Process</w:t>
            </w:r>
          </w:p>
        </w:tc>
        <w:tc>
          <w:tcPr>
            <w:tcW w:type="dxa" w:w="3200"/>
            <w:shd w:fill="F2F2F2" w:val="clear"/>
            <w:tcMar>
              <w:top w:type="dxa" w:w="60"/>
              <w:left w:type="dxa" w:w="80"/>
              <w:bottom w:type="dxa" w:w="60"/>
              <w:right w:type="dxa" w:w="80"/>
            </w:tcMar>
            <w:vAlign w:val="center"/>
          </w:tcPr>
          <w:p>
            <w:r>
              <w:rPr>
                <w:b w:val="false"/>
                <w:bCs w:val="false"/>
                <w:sz w:val="18"/>
                <w:szCs w:val="18"/>
              </w:rPr>
              <w:t xml:space="preserve">Are access-removal SLAs defined for leavers?</w:t>
            </w:r>
          </w:p>
        </w:tc>
        <w:tc>
          <w:tcPr>
            <w:tcW w:type="dxa" w:w="1300"/>
            <w:shd w:fill="F2F2F2" w:val="clear"/>
            <w:tcMar>
              <w:top w:type="dxa" w:w="60"/>
              <w:left w:type="dxa" w:w="80"/>
              <w:bottom w:type="dxa" w:w="60"/>
              <w:right w:type="dxa" w:w="80"/>
            </w:tcMar>
            <w:vAlign w:val="center"/>
          </w:tcPr>
          <w:p>
            <w:r>
              <w:rPr>
                <w:b w:val="false"/>
                <w:bCs w:val="false"/>
                <w:sz w:val="18"/>
                <w:szCs w:val="18"/>
              </w:rPr>
              <w:t xml:space="preserve">No</w:t>
            </w:r>
          </w:p>
        </w:tc>
        <w:tc>
          <w:tcPr>
            <w:tcW w:type="dxa" w:w="900"/>
            <w:shd w:fill="F2F2F2" w:val="clear"/>
            <w:tcMar>
              <w:top w:type="dxa" w:w="60"/>
              <w:left w:type="dxa" w:w="80"/>
              <w:bottom w:type="dxa" w:w="60"/>
              <w:right w:type="dxa" w:w="80"/>
            </w:tcMar>
            <w:vAlign w:val="center"/>
          </w:tcPr>
          <w:p>
            <w:r>
              <w:rPr>
                <w:b w:val="false"/>
                <w:bCs w:val="false"/>
                <w:sz w:val="18"/>
                <w:szCs w:val="18"/>
              </w:rPr>
              <w:t xml:space="preserve">Gap</w:t>
            </w:r>
          </w:p>
        </w:tc>
        <w:tc>
          <w:tcPr>
            <w:tcW w:type="dxa" w:w="3080"/>
            <w:shd w:fill="F2F2F2" w:val="clear"/>
            <w:tcMar>
              <w:top w:type="dxa" w:w="60"/>
              <w:left w:type="dxa" w:w="80"/>
              <w:bottom w:type="dxa" w:w="60"/>
              <w:right w:type="dxa" w:w="80"/>
            </w:tcMar>
            <w:vAlign w:val="center"/>
          </w:tcPr>
          <w:p>
            <w:r>
              <w:rPr>
                <w:b w:val="false"/>
                <w:bCs w:val="false"/>
                <w:sz w:val="18"/>
                <w:szCs w:val="18"/>
              </w:rPr>
              <w:t xml:space="preserve">Define SLA and integrate with JML process; high risk if delayed</w:t>
            </w:r>
          </w:p>
        </w:tc>
      </w:tr>
      <w:tr>
        <w:tc>
          <w:tcPr>
            <w:tcW w:type="dxa" w:w="1600"/>
            <w:shd w:fill="FFFFFF" w:val="clear"/>
            <w:tcMar>
              <w:top w:type="dxa" w:w="60"/>
              <w:left w:type="dxa" w:w="80"/>
              <w:bottom w:type="dxa" w:w="60"/>
              <w:right w:type="dxa" w:w="80"/>
            </w:tcMar>
            <w:vAlign w:val="center"/>
          </w:tcPr>
          <w:p>
            <w:r>
              <w:rPr>
                <w:b w:val="false"/>
                <w:bCs w:val="false"/>
                <w:sz w:val="18"/>
                <w:szCs w:val="18"/>
              </w:rPr>
              <w:t xml:space="preserve">Regulatory Awareness</w:t>
            </w:r>
          </w:p>
        </w:tc>
        <w:tc>
          <w:tcPr>
            <w:tcW w:type="dxa" w:w="3200"/>
            <w:shd w:fill="FFFFFF" w:val="clear"/>
            <w:tcMar>
              <w:top w:type="dxa" w:w="60"/>
              <w:left w:type="dxa" w:w="80"/>
              <w:bottom w:type="dxa" w:w="60"/>
              <w:right w:type="dxa" w:w="80"/>
            </w:tcMar>
            <w:vAlign w:val="center"/>
          </w:tcPr>
          <w:p>
            <w:r>
              <w:rPr>
                <w:b w:val="false"/>
                <w:bCs w:val="false"/>
                <w:sz w:val="18"/>
                <w:szCs w:val="18"/>
              </w:rPr>
              <w:t xml:space="preserve">Are vendor staff aware of DORA/ISO 27001 requirements?</w:t>
            </w:r>
          </w:p>
        </w:tc>
        <w:tc>
          <w:tcPr>
            <w:tcW w:type="dxa" w:w="1300"/>
            <w:shd w:fill="FFFFFF" w:val="clear"/>
            <w:tcMar>
              <w:top w:type="dxa" w:w="60"/>
              <w:left w:type="dxa" w:w="80"/>
              <w:bottom w:type="dxa" w:w="60"/>
              <w:right w:type="dxa" w:w="80"/>
            </w:tcMar>
            <w:vAlign w:val="center"/>
          </w:tcPr>
          <w:p>
            <w:r>
              <w:rPr>
                <w:b w:val="false"/>
                <w:bCs w:val="false"/>
                <w:sz w:val="18"/>
                <w:szCs w:val="18"/>
              </w:rPr>
              <w:t xml:space="preserve">Partial</w:t>
            </w:r>
          </w:p>
        </w:tc>
        <w:tc>
          <w:tcPr>
            <w:tcW w:type="dxa" w:w="900"/>
            <w:shd w:fill="FFFFFF" w:val="clear"/>
            <w:tcMar>
              <w:top w:type="dxa" w:w="60"/>
              <w:left w:type="dxa" w:w="80"/>
              <w:bottom w:type="dxa" w:w="60"/>
              <w:right w:type="dxa" w:w="80"/>
            </w:tcMar>
            <w:vAlign w:val="center"/>
          </w:tcPr>
          <w:p>
            <w:r>
              <w:rPr>
                <w:b w:val="false"/>
                <w:bCs w:val="false"/>
                <w:sz w:val="18"/>
                <w:szCs w:val="18"/>
              </w:rPr>
              <w:t xml:space="preserve">Gap</w:t>
            </w:r>
          </w:p>
        </w:tc>
        <w:tc>
          <w:tcPr>
            <w:tcW w:type="dxa" w:w="3080"/>
            <w:shd w:fill="FFFFFF" w:val="clear"/>
            <w:tcMar>
              <w:top w:type="dxa" w:w="60"/>
              <w:left w:type="dxa" w:w="80"/>
              <w:bottom w:type="dxa" w:w="60"/>
              <w:right w:type="dxa" w:w="80"/>
            </w:tcMar>
            <w:vAlign w:val="center"/>
          </w:tcPr>
          <w:p>
            <w:r>
              <w:rPr>
                <w:b w:val="false"/>
                <w:bCs w:val="false"/>
                <w:sz w:val="18"/>
                <w:szCs w:val="18"/>
              </w:rPr>
              <w:t xml:space="preserve">Provide awareness sessions; monitor completion</w:t>
            </w:r>
          </w:p>
        </w:tc>
      </w:tr>
      <w:tr>
        <w:tc>
          <w:tcPr>
            <w:tcW w:type="dxa" w:w="1600"/>
            <w:shd w:fill="F2F2F2" w:val="clear"/>
            <w:tcMar>
              <w:top w:type="dxa" w:w="60"/>
              <w:left w:type="dxa" w:w="80"/>
              <w:bottom w:type="dxa" w:w="60"/>
              <w:right w:type="dxa" w:w="80"/>
            </w:tcMar>
            <w:vAlign w:val="center"/>
          </w:tcPr>
          <w:p>
            <w:r>
              <w:rPr>
                <w:b w:val="false"/>
                <w:bCs w:val="false"/>
                <w:sz w:val="18"/>
                <w:szCs w:val="18"/>
              </w:rPr>
              <w:t xml:space="preserve">Incident Reporting</w:t>
            </w:r>
          </w:p>
        </w:tc>
        <w:tc>
          <w:tcPr>
            <w:tcW w:type="dxa" w:w="3200"/>
            <w:shd w:fill="F2F2F2" w:val="clear"/>
            <w:tcMar>
              <w:top w:type="dxa" w:w="60"/>
              <w:left w:type="dxa" w:w="80"/>
              <w:bottom w:type="dxa" w:w="60"/>
              <w:right w:type="dxa" w:w="80"/>
            </w:tcMar>
            <w:vAlign w:val="center"/>
          </w:tcPr>
          <w:p>
            <w:r>
              <w:rPr>
                <w:b w:val="false"/>
                <w:bCs w:val="false"/>
                <w:sz w:val="18"/>
                <w:szCs w:val="18"/>
              </w:rPr>
              <w:t xml:space="preserve">Is there a clear procedure for vendor staff to report incidents?</w:t>
            </w:r>
          </w:p>
        </w:tc>
        <w:tc>
          <w:tcPr>
            <w:tcW w:type="dxa" w:w="1300"/>
            <w:shd w:fill="F2F2F2" w:val="clear"/>
            <w:tcMar>
              <w:top w:type="dxa" w:w="60"/>
              <w:left w:type="dxa" w:w="80"/>
              <w:bottom w:type="dxa" w:w="60"/>
              <w:right w:type="dxa" w:w="80"/>
            </w:tcMar>
            <w:vAlign w:val="center"/>
          </w:tcPr>
          <w:p>
            <w:r>
              <w:rPr>
                <w:b w:val="false"/>
                <w:bCs w:val="false"/>
                <w:sz w:val="18"/>
                <w:szCs w:val="18"/>
              </w:rPr>
              <w:t xml:space="preserve">Yes</w:t>
            </w:r>
          </w:p>
        </w:tc>
        <w:tc>
          <w:tcPr>
            <w:tcW w:type="dxa" w:w="900"/>
            <w:shd w:fill="F2F2F2" w:val="clear"/>
            <w:tcMar>
              <w:top w:type="dxa" w:w="60"/>
              <w:left w:type="dxa" w:w="80"/>
              <w:bottom w:type="dxa" w:w="60"/>
              <w:right w:type="dxa" w:w="80"/>
            </w:tcMar>
            <w:vAlign w:val="center"/>
          </w:tcPr>
          <w:p>
            <w:r>
              <w:rPr>
                <w:b w:val="false"/>
                <w:bCs w:val="false"/>
                <w:sz w:val="18"/>
                <w:szCs w:val="18"/>
              </w:rPr>
              <w:t xml:space="preserve">OK</w:t>
            </w:r>
          </w:p>
        </w:tc>
        <w:tc>
          <w:tcPr>
            <w:tcW w:type="dxa" w:w="3080"/>
            <w:shd w:fill="F2F2F2" w:val="clear"/>
            <w:tcMar>
              <w:top w:type="dxa" w:w="60"/>
              <w:left w:type="dxa" w:w="80"/>
              <w:bottom w:type="dxa" w:w="60"/>
              <w:right w:type="dxa" w:w="80"/>
            </w:tcMar>
            <w:vAlign w:val="center"/>
          </w:tcPr>
          <w:p>
            <w:r>
              <w:rPr>
                <w:b w:val="false"/>
                <w:bCs w:val="false"/>
                <w:sz w:val="18"/>
                <w:szCs w:val="18"/>
              </w:rPr>
              <w:t xml:space="preserve">Escalation path aligns with Incident Register</w:t>
            </w:r>
          </w:p>
        </w:tc>
      </w:tr>
      <w:tr>
        <w:tc>
          <w:tcPr>
            <w:tcW w:type="dxa" w:w="1600"/>
            <w:shd w:fill="FFFFFF" w:val="clear"/>
            <w:tcMar>
              <w:top w:type="dxa" w:w="60"/>
              <w:left w:type="dxa" w:w="80"/>
              <w:bottom w:type="dxa" w:w="60"/>
              <w:right w:type="dxa" w:w="80"/>
            </w:tcMar>
            <w:vAlign w:val="center"/>
          </w:tcPr>
          <w:p>
            <w:r>
              <w:rPr>
                <w:b w:val="false"/>
                <w:bCs w:val="false"/>
                <w:sz w:val="18"/>
                <w:szCs w:val="18"/>
              </w:rPr>
              <w:t xml:space="preserve">Subcontracting Disclosure</w:t>
            </w:r>
          </w:p>
        </w:tc>
        <w:tc>
          <w:tcPr>
            <w:tcW w:type="dxa" w:w="3200"/>
            <w:shd w:fill="FFFFFF" w:val="clear"/>
            <w:tcMar>
              <w:top w:type="dxa" w:w="60"/>
              <w:left w:type="dxa" w:w="80"/>
              <w:bottom w:type="dxa" w:w="60"/>
              <w:right w:type="dxa" w:w="80"/>
            </w:tcMar>
            <w:vAlign w:val="center"/>
          </w:tcPr>
          <w:p>
            <w:r>
              <w:rPr>
                <w:b w:val="false"/>
                <w:bCs w:val="false"/>
                <w:sz w:val="18"/>
                <w:szCs w:val="18"/>
              </w:rPr>
              <w:t xml:space="preserve">Are subcontractors disclosed and vetted?</w:t>
            </w:r>
          </w:p>
        </w:tc>
        <w:tc>
          <w:tcPr>
            <w:tcW w:type="dxa" w:w="1300"/>
            <w:shd w:fill="FFFFFF" w:val="clear"/>
            <w:tcMar>
              <w:top w:type="dxa" w:w="60"/>
              <w:left w:type="dxa" w:w="80"/>
              <w:bottom w:type="dxa" w:w="60"/>
              <w:right w:type="dxa" w:w="80"/>
            </w:tcMar>
            <w:vAlign w:val="center"/>
          </w:tcPr>
          <w:p>
            <w:r>
              <w:rPr>
                <w:b w:val="false"/>
                <w:bCs w:val="false"/>
                <w:sz w:val="18"/>
                <w:szCs w:val="18"/>
              </w:rPr>
              <w:t xml:space="preserve">Partial</w:t>
            </w:r>
          </w:p>
        </w:tc>
        <w:tc>
          <w:tcPr>
            <w:tcW w:type="dxa" w:w="900"/>
            <w:shd w:fill="FFFFFF" w:val="clear"/>
            <w:tcMar>
              <w:top w:type="dxa" w:w="60"/>
              <w:left w:type="dxa" w:w="80"/>
              <w:bottom w:type="dxa" w:w="60"/>
              <w:right w:type="dxa" w:w="80"/>
            </w:tcMar>
            <w:vAlign w:val="center"/>
          </w:tcPr>
          <w:p>
            <w:r>
              <w:rPr>
                <w:b w:val="false"/>
                <w:bCs w:val="false"/>
                <w:sz w:val="18"/>
                <w:szCs w:val="18"/>
              </w:rPr>
              <w:t xml:space="preserve">Gap</w:t>
            </w:r>
          </w:p>
        </w:tc>
        <w:tc>
          <w:tcPr>
            <w:tcW w:type="dxa" w:w="3080"/>
            <w:shd w:fill="FFFFFF" w:val="clear"/>
            <w:tcMar>
              <w:top w:type="dxa" w:w="60"/>
              <w:left w:type="dxa" w:w="80"/>
              <w:bottom w:type="dxa" w:w="60"/>
              <w:right w:type="dxa" w:w="80"/>
            </w:tcMar>
            <w:vAlign w:val="center"/>
          </w:tcPr>
          <w:p>
            <w:r>
              <w:rPr>
                <w:b w:val="false"/>
                <w:bCs w:val="false"/>
                <w:sz w:val="18"/>
                <w:szCs w:val="18"/>
              </w:rPr>
              <w:t xml:space="preserve">Require disclosure and vetting per Art. 30(2)(a)</w:t>
            </w:r>
          </w:p>
        </w:tc>
      </w:tr>
      <w:tr>
        <w:tc>
          <w:tcPr>
            <w:tcW w:type="dxa" w:w="1600"/>
            <w:shd w:fill="F2F2F2" w:val="clear"/>
            <w:tcMar>
              <w:top w:type="dxa" w:w="60"/>
              <w:left w:type="dxa" w:w="80"/>
              <w:bottom w:type="dxa" w:w="60"/>
              <w:right w:type="dxa" w:w="80"/>
            </w:tcMar>
            <w:vAlign w:val="center"/>
          </w:tcPr>
          <w:p>
            <w:r>
              <w:rPr>
                <w:b w:val="false"/>
                <w:bCs w:val="false"/>
                <w:sz w:val="18"/>
                <w:szCs w:val="18"/>
              </w:rPr>
              <w:t xml:space="preserve">Data Handling Training</w:t>
            </w:r>
          </w:p>
        </w:tc>
        <w:tc>
          <w:tcPr>
            <w:tcW w:type="dxa" w:w="3200"/>
            <w:shd w:fill="F2F2F2" w:val="clear"/>
            <w:tcMar>
              <w:top w:type="dxa" w:w="60"/>
              <w:left w:type="dxa" w:w="80"/>
              <w:bottom w:type="dxa" w:w="60"/>
              <w:right w:type="dxa" w:w="80"/>
            </w:tcMar>
            <w:vAlign w:val="center"/>
          </w:tcPr>
          <w:p>
            <w:r>
              <w:rPr>
                <w:b w:val="false"/>
                <w:bCs w:val="false"/>
                <w:sz w:val="18"/>
                <w:szCs w:val="18"/>
              </w:rPr>
              <w:t xml:space="preserve">Are staff trained on data classification and handling?</w:t>
            </w:r>
          </w:p>
        </w:tc>
        <w:tc>
          <w:tcPr>
            <w:tcW w:type="dxa" w:w="1300"/>
            <w:shd w:fill="F2F2F2" w:val="clear"/>
            <w:tcMar>
              <w:top w:type="dxa" w:w="60"/>
              <w:left w:type="dxa" w:w="80"/>
              <w:bottom w:type="dxa" w:w="60"/>
              <w:right w:type="dxa" w:w="80"/>
            </w:tcMar>
            <w:vAlign w:val="center"/>
          </w:tcPr>
          <w:p>
            <w:r>
              <w:rPr>
                <w:b w:val="false"/>
                <w:bCs w:val="false"/>
                <w:sz w:val="18"/>
                <w:szCs w:val="18"/>
              </w:rPr>
              <w:t xml:space="preserve">No</w:t>
            </w:r>
          </w:p>
        </w:tc>
        <w:tc>
          <w:tcPr>
            <w:tcW w:type="dxa" w:w="900"/>
            <w:shd w:fill="F2F2F2" w:val="clear"/>
            <w:tcMar>
              <w:top w:type="dxa" w:w="60"/>
              <w:left w:type="dxa" w:w="80"/>
              <w:bottom w:type="dxa" w:w="60"/>
              <w:right w:type="dxa" w:w="80"/>
            </w:tcMar>
            <w:vAlign w:val="center"/>
          </w:tcPr>
          <w:p>
            <w:r>
              <w:rPr>
                <w:b w:val="false"/>
                <w:bCs w:val="false"/>
                <w:sz w:val="18"/>
                <w:szCs w:val="18"/>
              </w:rPr>
              <w:t xml:space="preserve">Gap</w:t>
            </w:r>
          </w:p>
        </w:tc>
        <w:tc>
          <w:tcPr>
            <w:tcW w:type="dxa" w:w="3080"/>
            <w:shd w:fill="F2F2F2" w:val="clear"/>
            <w:tcMar>
              <w:top w:type="dxa" w:w="60"/>
              <w:left w:type="dxa" w:w="80"/>
              <w:bottom w:type="dxa" w:w="60"/>
              <w:right w:type="dxa" w:w="80"/>
            </w:tcMar>
            <w:vAlign w:val="center"/>
          </w:tcPr>
          <w:p>
            <w:r>
              <w:rPr>
                <w:b w:val="false"/>
                <w:bCs w:val="false"/>
                <w:sz w:val="18"/>
                <w:szCs w:val="18"/>
              </w:rPr>
              <w:t xml:space="preserve">Add module to onboarding training track</w:t>
            </w:r>
          </w:p>
        </w:tc>
      </w:tr>
    </w:tbl>
    <w:p>
      <w:pPr>
        <w:pStyle w:val="Heading2"/>
        <w:spacing w:after="120" w:before="240"/>
      </w:pPr>
      <w:r>
        <w:t xml:space="preserve">6.5 Incident Register — Vendor Human Resource Incidents</w:t>
      </w:r>
    </w:p>
    <w:p>
      <w:pPr>
        <w:spacing w:after="160"/>
      </w:pPr>
      <w:r>
        <w:rPr>
          <w:b w:val="false"/>
          <w:bCs w:val="false"/>
          <w:i w:val="false"/>
          <w:iCs w:val="false"/>
          <w:sz w:val="22"/>
          <w:szCs w:val="22"/>
        </w:rPr>
        <w:t xml:space="preserve">Purpose: tracks human-related security and operational incidents involving outsourced vendor staff, ensuring documentation, escalation, and resolution in line with DORA and ISO/IEC 27001 A.16.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600"/>
        <w:gridCol w:w="800"/>
        <w:gridCol w:w="2400"/>
        <w:gridCol w:w="700"/>
        <w:gridCol w:w="1380"/>
      </w:tblGrid>
      <w:tr>
        <w:trPr>
          <w:tblHeader/>
        </w:trPr>
        <w:tc>
          <w:tcPr>
            <w:tcW w:type="dxa" w:w="700"/>
            <w:shd w:fill="1F4E79" w:val="clear"/>
            <w:tcMar>
              <w:top w:type="dxa" w:w="60"/>
              <w:left w:type="dxa" w:w="80"/>
              <w:bottom w:type="dxa" w:w="60"/>
              <w:right w:type="dxa" w:w="80"/>
            </w:tcMar>
            <w:vAlign w:val="center"/>
          </w:tcPr>
          <w:p>
            <w:r>
              <w:rPr>
                <w:b/>
                <w:bCs/>
                <w:color w:val="FFFFFF"/>
                <w:sz w:val="18"/>
                <w:szCs w:val="18"/>
              </w:rPr>
              <w:t xml:space="preserve">ID</w:t>
            </w:r>
          </w:p>
        </w:tc>
        <w:tc>
          <w:tcPr>
            <w:tcW w:type="dxa" w:w="1500"/>
            <w:shd w:fill="1F4E79" w:val="clear"/>
            <w:tcMar>
              <w:top w:type="dxa" w:w="60"/>
              <w:left w:type="dxa" w:w="80"/>
              <w:bottom w:type="dxa" w:w="60"/>
              <w:right w:type="dxa" w:w="80"/>
            </w:tcMar>
            <w:vAlign w:val="center"/>
          </w:tcPr>
          <w:p>
            <w:r>
              <w:rPr>
                <w:b/>
                <w:bCs/>
                <w:color w:val="FFFFFF"/>
                <w:sz w:val="18"/>
                <w:szCs w:val="18"/>
              </w:rPr>
              <w:t xml:space="preserve">Role Involved</w:t>
            </w:r>
          </w:p>
        </w:tc>
        <w:tc>
          <w:tcPr>
            <w:tcW w:type="dxa" w:w="2600"/>
            <w:shd w:fill="1F4E79" w:val="clear"/>
            <w:tcMar>
              <w:top w:type="dxa" w:w="60"/>
              <w:left w:type="dxa" w:w="80"/>
              <w:bottom w:type="dxa" w:w="60"/>
              <w:right w:type="dxa" w:w="80"/>
            </w:tcMar>
            <w:vAlign w:val="center"/>
          </w:tcPr>
          <w:p>
            <w:r>
              <w:rPr>
                <w:b/>
                <w:bCs/>
                <w:color w:val="FFFFFF"/>
                <w:sz w:val="18"/>
                <w:szCs w:val="18"/>
              </w:rPr>
              <w:t xml:space="preserve">Description</w:t>
            </w:r>
          </w:p>
        </w:tc>
        <w:tc>
          <w:tcPr>
            <w:tcW w:type="dxa" w:w="800"/>
            <w:shd w:fill="1F4E79" w:val="clear"/>
            <w:tcMar>
              <w:top w:type="dxa" w:w="60"/>
              <w:left w:type="dxa" w:w="80"/>
              <w:bottom w:type="dxa" w:w="60"/>
              <w:right w:type="dxa" w:w="80"/>
            </w:tcMar>
            <w:vAlign w:val="center"/>
          </w:tcPr>
          <w:p>
            <w:r>
              <w:rPr>
                <w:b/>
                <w:bCs/>
                <w:color w:val="FFFFFF"/>
                <w:sz w:val="18"/>
                <w:szCs w:val="18"/>
              </w:rPr>
              <w:t xml:space="preserve">Impact</w:t>
            </w:r>
          </w:p>
        </w:tc>
        <w:tc>
          <w:tcPr>
            <w:tcW w:type="dxa" w:w="2400"/>
            <w:shd w:fill="1F4E79" w:val="clear"/>
            <w:tcMar>
              <w:top w:type="dxa" w:w="60"/>
              <w:left w:type="dxa" w:w="80"/>
              <w:bottom w:type="dxa" w:w="60"/>
              <w:right w:type="dxa" w:w="80"/>
            </w:tcMar>
            <w:vAlign w:val="center"/>
          </w:tcPr>
          <w:p>
            <w:r>
              <w:rPr>
                <w:b/>
                <w:bCs/>
                <w:color w:val="FFFFFF"/>
                <w:sz w:val="18"/>
                <w:szCs w:val="18"/>
              </w:rPr>
              <w:t xml:space="preserve">Action Taken</w:t>
            </w:r>
          </w:p>
        </w:tc>
        <w:tc>
          <w:tcPr>
            <w:tcW w:type="dxa" w:w="700"/>
            <w:shd w:fill="1F4E79" w:val="clear"/>
            <w:tcMar>
              <w:top w:type="dxa" w:w="60"/>
              <w:left w:type="dxa" w:w="80"/>
              <w:bottom w:type="dxa" w:w="60"/>
              <w:right w:type="dxa" w:w="80"/>
            </w:tcMar>
            <w:vAlign w:val="center"/>
          </w:tcPr>
          <w:p>
            <w:r>
              <w:rPr>
                <w:b/>
                <w:bCs/>
                <w:color w:val="FFFFFF"/>
                <w:sz w:val="18"/>
                <w:szCs w:val="18"/>
              </w:rPr>
              <w:t xml:space="preserve">Status</w:t>
            </w:r>
          </w:p>
        </w:tc>
        <w:tc>
          <w:tcPr>
            <w:tcW w:type="dxa" w:w="1380"/>
            <w:shd w:fill="1F4E79" w:val="clear"/>
            <w:tcMar>
              <w:top w:type="dxa" w:w="60"/>
              <w:left w:type="dxa" w:w="80"/>
              <w:bottom w:type="dxa" w:w="60"/>
              <w:right w:type="dxa" w:w="80"/>
            </w:tcMar>
            <w:vAlign w:val="center"/>
          </w:tcPr>
          <w:p>
            <w:r>
              <w:rPr>
                <w:b/>
                <w:bCs/>
                <w:color w:val="FFFFFF"/>
                <w:sz w:val="18"/>
                <w:szCs w:val="18"/>
              </w:rPr>
              <w:t xml:space="preserve">Escalation Path</w:t>
            </w:r>
          </w:p>
        </w:tc>
      </w:tr>
      <w:tr>
        <w:tc>
          <w:tcPr>
            <w:tcW w:type="dxa" w:w="700"/>
            <w:shd w:fill="FFFFFF" w:val="clear"/>
            <w:tcMar>
              <w:top w:type="dxa" w:w="60"/>
              <w:left w:type="dxa" w:w="80"/>
              <w:bottom w:type="dxa" w:w="60"/>
              <w:right w:type="dxa" w:w="80"/>
            </w:tcMar>
            <w:vAlign w:val="center"/>
          </w:tcPr>
          <w:p>
            <w:r>
              <w:rPr>
                <w:b w:val="false"/>
                <w:bCs w:val="false"/>
                <w:sz w:val="18"/>
                <w:szCs w:val="18"/>
              </w:rPr>
              <w:t xml:space="preserve">INC-01</w:t>
            </w:r>
          </w:p>
        </w:tc>
        <w:tc>
          <w:tcPr>
            <w:tcW w:type="dxa" w:w="1500"/>
            <w:shd w:fill="FFFFFF" w:val="clear"/>
            <w:tcMar>
              <w:top w:type="dxa" w:w="60"/>
              <w:left w:type="dxa" w:w="80"/>
              <w:bottom w:type="dxa" w:w="60"/>
              <w:right w:type="dxa" w:w="80"/>
            </w:tcMar>
            <w:vAlign w:val="center"/>
          </w:tcPr>
          <w:p>
            <w:r>
              <w:rPr>
                <w:b w:val="false"/>
                <w:bCs w:val="false"/>
                <w:sz w:val="18"/>
                <w:szCs w:val="18"/>
              </w:rPr>
              <w:t xml:space="preserve">Developer</w:t>
            </w:r>
          </w:p>
        </w:tc>
        <w:tc>
          <w:tcPr>
            <w:tcW w:type="dxa" w:w="2600"/>
            <w:shd w:fill="FFFFFF" w:val="clear"/>
            <w:tcMar>
              <w:top w:type="dxa" w:w="60"/>
              <w:left w:type="dxa" w:w="80"/>
              <w:bottom w:type="dxa" w:w="60"/>
              <w:right w:type="dxa" w:w="80"/>
            </w:tcMar>
            <w:vAlign w:val="center"/>
          </w:tcPr>
          <w:p>
            <w:r>
              <w:rPr>
                <w:b w:val="false"/>
                <w:bCs w:val="false"/>
                <w:sz w:val="18"/>
                <w:szCs w:val="18"/>
              </w:rPr>
              <w:t xml:space="preserve">Access not removed after exit</w:t>
            </w:r>
          </w:p>
        </w:tc>
        <w:tc>
          <w:tcPr>
            <w:tcW w:type="dxa" w:w="8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2400"/>
            <w:shd w:fill="FFFFFF" w:val="clear"/>
            <w:tcMar>
              <w:top w:type="dxa" w:w="60"/>
              <w:left w:type="dxa" w:w="80"/>
              <w:bottom w:type="dxa" w:w="60"/>
              <w:right w:type="dxa" w:w="80"/>
            </w:tcMar>
            <w:vAlign w:val="center"/>
          </w:tcPr>
          <w:p>
            <w:r>
              <w:rPr>
                <w:b w:val="false"/>
                <w:bCs w:val="false"/>
                <w:sz w:val="18"/>
                <w:szCs w:val="18"/>
              </w:rPr>
              <w:t xml:space="preserve">Access revoked</w:t>
            </w:r>
          </w:p>
        </w:tc>
        <w:tc>
          <w:tcPr>
            <w:tcW w:type="dxa" w:w="700"/>
            <w:shd w:fill="FFFFFF" w:val="clear"/>
            <w:tcMar>
              <w:top w:type="dxa" w:w="60"/>
              <w:left w:type="dxa" w:w="80"/>
              <w:bottom w:type="dxa" w:w="60"/>
              <w:right w:type="dxa" w:w="80"/>
            </w:tcMar>
            <w:vAlign w:val="center"/>
          </w:tcPr>
          <w:p>
            <w:r>
              <w:rPr>
                <w:b w:val="false"/>
                <w:bCs w:val="false"/>
                <w:sz w:val="18"/>
                <w:szCs w:val="18"/>
              </w:rPr>
              <w:t xml:space="preserve">Closed</w:t>
            </w:r>
          </w:p>
        </w:tc>
        <w:tc>
          <w:tcPr>
            <w:tcW w:type="dxa" w:w="1380"/>
            <w:shd w:fill="FFFFFF" w:val="clear"/>
            <w:tcMar>
              <w:top w:type="dxa" w:w="60"/>
              <w:left w:type="dxa" w:w="80"/>
              <w:bottom w:type="dxa" w:w="60"/>
              <w:right w:type="dxa" w:w="80"/>
            </w:tcMar>
            <w:vAlign w:val="center"/>
          </w:tcPr>
          <w:p>
            <w:r>
              <w:rPr>
                <w:b w:val="false"/>
                <w:bCs w:val="false"/>
                <w:sz w:val="18"/>
                <w:szCs w:val="18"/>
              </w:rPr>
              <w:t xml:space="preserve">IT Security / GRC</w:t>
            </w:r>
          </w:p>
        </w:tc>
      </w:tr>
      <w:tr>
        <w:tc>
          <w:tcPr>
            <w:tcW w:type="dxa" w:w="700"/>
            <w:shd w:fill="F2F2F2" w:val="clear"/>
            <w:tcMar>
              <w:top w:type="dxa" w:w="60"/>
              <w:left w:type="dxa" w:w="80"/>
              <w:bottom w:type="dxa" w:w="60"/>
              <w:right w:type="dxa" w:w="80"/>
            </w:tcMar>
            <w:vAlign w:val="center"/>
          </w:tcPr>
          <w:p>
            <w:r>
              <w:rPr>
                <w:b w:val="false"/>
                <w:bCs w:val="false"/>
                <w:sz w:val="18"/>
                <w:szCs w:val="18"/>
              </w:rPr>
              <w:t xml:space="preserve">INC-02</w:t>
            </w:r>
          </w:p>
        </w:tc>
        <w:tc>
          <w:tcPr>
            <w:tcW w:type="dxa" w:w="1500"/>
            <w:shd w:fill="F2F2F2" w:val="clear"/>
            <w:tcMar>
              <w:top w:type="dxa" w:w="60"/>
              <w:left w:type="dxa" w:w="80"/>
              <w:bottom w:type="dxa" w:w="60"/>
              <w:right w:type="dxa" w:w="80"/>
            </w:tcMar>
            <w:vAlign w:val="center"/>
          </w:tcPr>
          <w:p>
            <w:r>
              <w:rPr>
                <w:b w:val="false"/>
                <w:bCs w:val="false"/>
                <w:sz w:val="18"/>
                <w:szCs w:val="18"/>
              </w:rPr>
              <w:t xml:space="preserve">Support Engineer</w:t>
            </w:r>
          </w:p>
        </w:tc>
        <w:tc>
          <w:tcPr>
            <w:tcW w:type="dxa" w:w="2600"/>
            <w:shd w:fill="F2F2F2" w:val="clear"/>
            <w:tcMar>
              <w:top w:type="dxa" w:w="60"/>
              <w:left w:type="dxa" w:w="80"/>
              <w:bottom w:type="dxa" w:w="60"/>
              <w:right w:type="dxa" w:w="80"/>
            </w:tcMar>
            <w:vAlign w:val="center"/>
          </w:tcPr>
          <w:p>
            <w:r>
              <w:rPr>
                <w:b w:val="false"/>
                <w:bCs w:val="false"/>
                <w:sz w:val="18"/>
                <w:szCs w:val="18"/>
              </w:rPr>
              <w:t xml:space="preserve">Unauthorized read of production logs</w:t>
            </w:r>
          </w:p>
        </w:tc>
        <w:tc>
          <w:tcPr>
            <w:tcW w:type="dxa" w:w="800"/>
            <w:shd w:fill="F2F2F2" w:val="clear"/>
            <w:tcMar>
              <w:top w:type="dxa" w:w="60"/>
              <w:left w:type="dxa" w:w="80"/>
              <w:bottom w:type="dxa" w:w="60"/>
              <w:right w:type="dxa" w:w="80"/>
            </w:tcMar>
            <w:vAlign w:val="center"/>
          </w:tcPr>
          <w:p>
            <w:r>
              <w:rPr>
                <w:b w:val="false"/>
                <w:bCs w:val="false"/>
                <w:sz w:val="18"/>
                <w:szCs w:val="18"/>
              </w:rPr>
              <w:t xml:space="preserve">High</w:t>
            </w:r>
          </w:p>
        </w:tc>
        <w:tc>
          <w:tcPr>
            <w:tcW w:type="dxa" w:w="2400"/>
            <w:shd w:fill="F2F2F2" w:val="clear"/>
            <w:tcMar>
              <w:top w:type="dxa" w:w="60"/>
              <w:left w:type="dxa" w:w="80"/>
              <w:bottom w:type="dxa" w:w="60"/>
              <w:right w:type="dxa" w:w="80"/>
            </w:tcMar>
            <w:vAlign w:val="center"/>
          </w:tcPr>
          <w:p>
            <w:r>
              <w:rPr>
                <w:b w:val="false"/>
                <w:bCs w:val="false"/>
                <w:sz w:val="18"/>
                <w:szCs w:val="18"/>
              </w:rPr>
              <w:t xml:space="preserve">User debriefed, access restricted</w:t>
            </w:r>
          </w:p>
        </w:tc>
        <w:tc>
          <w:tcPr>
            <w:tcW w:type="dxa" w:w="700"/>
            <w:shd w:fill="F2F2F2" w:val="clear"/>
            <w:tcMar>
              <w:top w:type="dxa" w:w="60"/>
              <w:left w:type="dxa" w:w="80"/>
              <w:bottom w:type="dxa" w:w="60"/>
              <w:right w:type="dxa" w:w="80"/>
            </w:tcMar>
            <w:vAlign w:val="center"/>
          </w:tcPr>
          <w:p>
            <w:r>
              <w:rPr>
                <w:b w:val="false"/>
                <w:bCs w:val="false"/>
                <w:sz w:val="18"/>
                <w:szCs w:val="18"/>
              </w:rPr>
              <w:t xml:space="preserve">Closed</w:t>
            </w:r>
          </w:p>
        </w:tc>
        <w:tc>
          <w:tcPr>
            <w:tcW w:type="dxa" w:w="1380"/>
            <w:shd w:fill="F2F2F2" w:val="clear"/>
            <w:tcMar>
              <w:top w:type="dxa" w:w="60"/>
              <w:left w:type="dxa" w:w="80"/>
              <w:bottom w:type="dxa" w:w="60"/>
              <w:right w:type="dxa" w:w="80"/>
            </w:tcMar>
            <w:vAlign w:val="center"/>
          </w:tcPr>
          <w:p>
            <w:r>
              <w:rPr>
                <w:b w:val="false"/>
                <w:bCs w:val="false"/>
                <w:sz w:val="18"/>
                <w:szCs w:val="18"/>
              </w:rPr>
              <w:t xml:space="preserve">IT Security + Manager</w:t>
            </w:r>
          </w:p>
        </w:tc>
      </w:tr>
      <w:tr>
        <w:tc>
          <w:tcPr>
            <w:tcW w:type="dxa" w:w="700"/>
            <w:shd w:fill="FFFFFF" w:val="clear"/>
            <w:tcMar>
              <w:top w:type="dxa" w:w="60"/>
              <w:left w:type="dxa" w:w="80"/>
              <w:bottom w:type="dxa" w:w="60"/>
              <w:right w:type="dxa" w:w="80"/>
            </w:tcMar>
            <w:vAlign w:val="center"/>
          </w:tcPr>
          <w:p>
            <w:r>
              <w:rPr>
                <w:b w:val="false"/>
                <w:bCs w:val="false"/>
                <w:sz w:val="18"/>
                <w:szCs w:val="18"/>
              </w:rPr>
              <w:t xml:space="preserve">INC-03</w:t>
            </w:r>
          </w:p>
        </w:tc>
        <w:tc>
          <w:tcPr>
            <w:tcW w:type="dxa" w:w="1500"/>
            <w:shd w:fill="FFFFFF" w:val="clear"/>
            <w:tcMar>
              <w:top w:type="dxa" w:w="60"/>
              <w:left w:type="dxa" w:w="80"/>
              <w:bottom w:type="dxa" w:w="60"/>
              <w:right w:type="dxa" w:w="80"/>
            </w:tcMar>
            <w:vAlign w:val="center"/>
          </w:tcPr>
          <w:p>
            <w:r>
              <w:rPr>
                <w:b w:val="false"/>
                <w:bCs w:val="false"/>
                <w:sz w:val="18"/>
                <w:szCs w:val="18"/>
              </w:rPr>
              <w:t xml:space="preserve">QA Engineer</w:t>
            </w:r>
          </w:p>
        </w:tc>
        <w:tc>
          <w:tcPr>
            <w:tcW w:type="dxa" w:w="2600"/>
            <w:shd w:fill="FFFFFF" w:val="clear"/>
            <w:tcMar>
              <w:top w:type="dxa" w:w="60"/>
              <w:left w:type="dxa" w:w="80"/>
              <w:bottom w:type="dxa" w:w="60"/>
              <w:right w:type="dxa" w:w="80"/>
            </w:tcMar>
            <w:vAlign w:val="center"/>
          </w:tcPr>
          <w:p>
            <w:r>
              <w:rPr>
                <w:b w:val="false"/>
                <w:bCs w:val="false"/>
                <w:sz w:val="18"/>
                <w:szCs w:val="18"/>
              </w:rPr>
              <w:t xml:space="preserve">Test environment misconfiguration</w:t>
            </w:r>
          </w:p>
        </w:tc>
        <w:tc>
          <w:tcPr>
            <w:tcW w:type="dxa" w:w="8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2400"/>
            <w:shd w:fill="FFFFFF" w:val="clear"/>
            <w:tcMar>
              <w:top w:type="dxa" w:w="60"/>
              <w:left w:type="dxa" w:w="80"/>
              <w:bottom w:type="dxa" w:w="60"/>
              <w:right w:type="dxa" w:w="80"/>
            </w:tcMar>
            <w:vAlign w:val="center"/>
          </w:tcPr>
          <w:p>
            <w:r>
              <w:rPr>
                <w:b w:val="false"/>
                <w:bCs w:val="false"/>
                <w:sz w:val="18"/>
                <w:szCs w:val="18"/>
              </w:rPr>
              <w:t xml:space="preserve">Config reverted; team retrained</w:t>
            </w:r>
          </w:p>
        </w:tc>
        <w:tc>
          <w:tcPr>
            <w:tcW w:type="dxa" w:w="700"/>
            <w:shd w:fill="FFFFFF" w:val="clear"/>
            <w:tcMar>
              <w:top w:type="dxa" w:w="60"/>
              <w:left w:type="dxa" w:w="80"/>
              <w:bottom w:type="dxa" w:w="60"/>
              <w:right w:type="dxa" w:w="80"/>
            </w:tcMar>
            <w:vAlign w:val="center"/>
          </w:tcPr>
          <w:p>
            <w:r>
              <w:rPr>
                <w:b w:val="false"/>
                <w:bCs w:val="false"/>
                <w:sz w:val="18"/>
                <w:szCs w:val="18"/>
              </w:rPr>
              <w:t xml:space="preserve">Closed</w:t>
            </w:r>
          </w:p>
        </w:tc>
        <w:tc>
          <w:tcPr>
            <w:tcW w:type="dxa" w:w="1380"/>
            <w:shd w:fill="FFFFFF" w:val="clear"/>
            <w:tcMar>
              <w:top w:type="dxa" w:w="60"/>
              <w:left w:type="dxa" w:w="80"/>
              <w:bottom w:type="dxa" w:w="60"/>
              <w:right w:type="dxa" w:w="80"/>
            </w:tcMar>
            <w:vAlign w:val="center"/>
          </w:tcPr>
          <w:p>
            <w:r>
              <w:rPr>
                <w:b w:val="false"/>
                <w:bCs w:val="false"/>
                <w:sz w:val="18"/>
                <w:szCs w:val="18"/>
              </w:rPr>
              <w:t xml:space="preserve">Team Lead + IT Security</w:t>
            </w:r>
          </w:p>
        </w:tc>
      </w:tr>
      <w:tr>
        <w:tc>
          <w:tcPr>
            <w:tcW w:type="dxa" w:w="700"/>
            <w:shd w:fill="F2F2F2" w:val="clear"/>
            <w:tcMar>
              <w:top w:type="dxa" w:w="60"/>
              <w:left w:type="dxa" w:w="80"/>
              <w:bottom w:type="dxa" w:w="60"/>
              <w:right w:type="dxa" w:w="80"/>
            </w:tcMar>
            <w:vAlign w:val="center"/>
          </w:tcPr>
          <w:p>
            <w:r>
              <w:rPr>
                <w:b w:val="false"/>
                <w:bCs w:val="false"/>
                <w:sz w:val="18"/>
                <w:szCs w:val="18"/>
              </w:rPr>
              <w:t xml:space="preserve">INC-04</w:t>
            </w:r>
          </w:p>
        </w:tc>
        <w:tc>
          <w:tcPr>
            <w:tcW w:type="dxa" w:w="1500"/>
            <w:shd w:fill="F2F2F2" w:val="clear"/>
            <w:tcMar>
              <w:top w:type="dxa" w:w="60"/>
              <w:left w:type="dxa" w:w="80"/>
              <w:bottom w:type="dxa" w:w="60"/>
              <w:right w:type="dxa" w:w="80"/>
            </w:tcMar>
            <w:vAlign w:val="center"/>
          </w:tcPr>
          <w:p>
            <w:r>
              <w:rPr>
                <w:b w:val="false"/>
                <w:bCs w:val="false"/>
                <w:sz w:val="18"/>
                <w:szCs w:val="18"/>
              </w:rPr>
              <w:t xml:space="preserve">Vendor Admin Staff</w:t>
            </w:r>
          </w:p>
        </w:tc>
        <w:tc>
          <w:tcPr>
            <w:tcW w:type="dxa" w:w="2600"/>
            <w:shd w:fill="F2F2F2" w:val="clear"/>
            <w:tcMar>
              <w:top w:type="dxa" w:w="60"/>
              <w:left w:type="dxa" w:w="80"/>
              <w:bottom w:type="dxa" w:w="60"/>
              <w:right w:type="dxa" w:w="80"/>
            </w:tcMar>
            <w:vAlign w:val="center"/>
          </w:tcPr>
          <w:p>
            <w:r>
              <w:rPr>
                <w:b w:val="false"/>
                <w:bCs w:val="false"/>
                <w:sz w:val="18"/>
                <w:szCs w:val="18"/>
              </w:rPr>
              <w:t xml:space="preserve">Deployment pipeline error caused downtime</w:t>
            </w:r>
          </w:p>
        </w:tc>
        <w:tc>
          <w:tcPr>
            <w:tcW w:type="dxa" w:w="800"/>
            <w:shd w:fill="F2F2F2" w:val="clear"/>
            <w:tcMar>
              <w:top w:type="dxa" w:w="60"/>
              <w:left w:type="dxa" w:w="80"/>
              <w:bottom w:type="dxa" w:w="60"/>
              <w:right w:type="dxa" w:w="80"/>
            </w:tcMar>
            <w:vAlign w:val="center"/>
          </w:tcPr>
          <w:p>
            <w:r>
              <w:rPr>
                <w:b w:val="false"/>
                <w:bCs w:val="false"/>
                <w:sz w:val="18"/>
                <w:szCs w:val="18"/>
              </w:rPr>
              <w:t xml:space="preserve">High</w:t>
            </w:r>
          </w:p>
        </w:tc>
        <w:tc>
          <w:tcPr>
            <w:tcW w:type="dxa" w:w="2400"/>
            <w:shd w:fill="F2F2F2" w:val="clear"/>
            <w:tcMar>
              <w:top w:type="dxa" w:w="60"/>
              <w:left w:type="dxa" w:w="80"/>
              <w:bottom w:type="dxa" w:w="60"/>
              <w:right w:type="dxa" w:w="80"/>
            </w:tcMar>
            <w:vAlign w:val="center"/>
          </w:tcPr>
          <w:p>
            <w:r>
              <w:rPr>
                <w:b w:val="false"/>
                <w:bCs w:val="false"/>
                <w:sz w:val="18"/>
                <w:szCs w:val="18"/>
              </w:rPr>
              <w:t xml:space="preserve">Incident resolved; pipeline access reviewed</w:t>
            </w:r>
          </w:p>
        </w:tc>
        <w:tc>
          <w:tcPr>
            <w:tcW w:type="dxa" w:w="700"/>
            <w:shd w:fill="F2F2F2" w:val="clear"/>
            <w:tcMar>
              <w:top w:type="dxa" w:w="60"/>
              <w:left w:type="dxa" w:w="80"/>
              <w:bottom w:type="dxa" w:w="60"/>
              <w:right w:type="dxa" w:w="80"/>
            </w:tcMar>
            <w:vAlign w:val="center"/>
          </w:tcPr>
          <w:p>
            <w:r>
              <w:rPr>
                <w:b w:val="false"/>
                <w:bCs w:val="false"/>
                <w:sz w:val="18"/>
                <w:szCs w:val="18"/>
              </w:rPr>
              <w:t xml:space="preserve">Closed</w:t>
            </w:r>
          </w:p>
        </w:tc>
        <w:tc>
          <w:tcPr>
            <w:tcW w:type="dxa" w:w="1380"/>
            <w:shd w:fill="F2F2F2" w:val="clear"/>
            <w:tcMar>
              <w:top w:type="dxa" w:w="60"/>
              <w:left w:type="dxa" w:w="80"/>
              <w:bottom w:type="dxa" w:w="60"/>
              <w:right w:type="dxa" w:w="80"/>
            </w:tcMar>
            <w:vAlign w:val="center"/>
          </w:tcPr>
          <w:p>
            <w:r>
              <w:rPr>
                <w:b w:val="false"/>
                <w:bCs w:val="false"/>
                <w:sz w:val="18"/>
                <w:szCs w:val="18"/>
              </w:rPr>
              <w:t xml:space="preserve">IT Ops + GRC</w:t>
            </w:r>
          </w:p>
        </w:tc>
      </w:tr>
      <w:tr>
        <w:tc>
          <w:tcPr>
            <w:tcW w:type="dxa" w:w="700"/>
            <w:shd w:fill="FFFFFF" w:val="clear"/>
            <w:tcMar>
              <w:top w:type="dxa" w:w="60"/>
              <w:left w:type="dxa" w:w="80"/>
              <w:bottom w:type="dxa" w:w="60"/>
              <w:right w:type="dxa" w:w="80"/>
            </w:tcMar>
            <w:vAlign w:val="center"/>
          </w:tcPr>
          <w:p>
            <w:r>
              <w:rPr>
                <w:b w:val="false"/>
                <w:bCs w:val="false"/>
                <w:sz w:val="18"/>
                <w:szCs w:val="18"/>
              </w:rPr>
              <w:t xml:space="preserve">INC-05</w:t>
            </w:r>
          </w:p>
        </w:tc>
        <w:tc>
          <w:tcPr>
            <w:tcW w:type="dxa" w:w="1500"/>
            <w:shd w:fill="FFFFFF" w:val="clear"/>
            <w:tcMar>
              <w:top w:type="dxa" w:w="60"/>
              <w:left w:type="dxa" w:w="80"/>
              <w:bottom w:type="dxa" w:w="60"/>
              <w:right w:type="dxa" w:w="80"/>
            </w:tcMar>
            <w:vAlign w:val="center"/>
          </w:tcPr>
          <w:p>
            <w:r>
              <w:rPr>
                <w:b w:val="false"/>
                <w:bCs w:val="false"/>
                <w:sz w:val="18"/>
                <w:szCs w:val="18"/>
              </w:rPr>
              <w:t xml:space="preserve">Developer</w:t>
            </w:r>
          </w:p>
        </w:tc>
        <w:tc>
          <w:tcPr>
            <w:tcW w:type="dxa" w:w="2600"/>
            <w:shd w:fill="FFFFFF" w:val="clear"/>
            <w:tcMar>
              <w:top w:type="dxa" w:w="60"/>
              <w:left w:type="dxa" w:w="80"/>
              <w:bottom w:type="dxa" w:w="60"/>
              <w:right w:type="dxa" w:w="80"/>
            </w:tcMar>
            <w:vAlign w:val="center"/>
          </w:tcPr>
          <w:p>
            <w:r>
              <w:rPr>
                <w:b w:val="false"/>
                <w:bCs w:val="false"/>
                <w:sz w:val="18"/>
                <w:szCs w:val="18"/>
              </w:rPr>
              <w:t xml:space="preserve">Failed regulatory awareness training completion</w:t>
            </w:r>
          </w:p>
        </w:tc>
        <w:tc>
          <w:tcPr>
            <w:tcW w:type="dxa" w:w="8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2400"/>
            <w:shd w:fill="FFFFFF" w:val="clear"/>
            <w:tcMar>
              <w:top w:type="dxa" w:w="60"/>
              <w:left w:type="dxa" w:w="80"/>
              <w:bottom w:type="dxa" w:w="60"/>
              <w:right w:type="dxa" w:w="80"/>
            </w:tcMar>
            <w:vAlign w:val="center"/>
          </w:tcPr>
          <w:p>
            <w:r>
              <w:rPr>
                <w:b w:val="false"/>
                <w:bCs w:val="false"/>
                <w:sz w:val="18"/>
                <w:szCs w:val="18"/>
              </w:rPr>
              <w:t xml:space="preserve">Scheduled training; completion tracked</w:t>
            </w:r>
          </w:p>
        </w:tc>
        <w:tc>
          <w:tcPr>
            <w:tcW w:type="dxa" w:w="700"/>
            <w:shd w:fill="FFFFFF" w:val="clear"/>
            <w:tcMar>
              <w:top w:type="dxa" w:w="60"/>
              <w:left w:type="dxa" w:w="80"/>
              <w:bottom w:type="dxa" w:w="60"/>
              <w:right w:type="dxa" w:w="80"/>
            </w:tcMar>
            <w:vAlign w:val="center"/>
          </w:tcPr>
          <w:p>
            <w:r>
              <w:rPr>
                <w:b w:val="false"/>
                <w:bCs w:val="false"/>
                <w:sz w:val="18"/>
                <w:szCs w:val="18"/>
              </w:rPr>
              <w:t xml:space="preserve">Open</w:t>
            </w:r>
          </w:p>
        </w:tc>
        <w:tc>
          <w:tcPr>
            <w:tcW w:type="dxa" w:w="1380"/>
            <w:shd w:fill="FFFFFF" w:val="clear"/>
            <w:tcMar>
              <w:top w:type="dxa" w:w="60"/>
              <w:left w:type="dxa" w:w="80"/>
              <w:bottom w:type="dxa" w:w="60"/>
              <w:right w:type="dxa" w:w="80"/>
            </w:tcMar>
            <w:vAlign w:val="center"/>
          </w:tcPr>
          <w:p>
            <w:r>
              <w:rPr>
                <w:b w:val="false"/>
                <w:bCs w:val="false"/>
                <w:sz w:val="18"/>
                <w:szCs w:val="18"/>
              </w:rPr>
              <w:t xml:space="preserve">GRC / HR</w:t>
            </w:r>
          </w:p>
        </w:tc>
      </w:tr>
      <w:tr>
        <w:tc>
          <w:tcPr>
            <w:tcW w:type="dxa" w:w="700"/>
            <w:shd w:fill="F2F2F2" w:val="clear"/>
            <w:tcMar>
              <w:top w:type="dxa" w:w="60"/>
              <w:left w:type="dxa" w:w="80"/>
              <w:bottom w:type="dxa" w:w="60"/>
              <w:right w:type="dxa" w:w="80"/>
            </w:tcMar>
            <w:vAlign w:val="center"/>
          </w:tcPr>
          <w:p>
            <w:r>
              <w:rPr>
                <w:b w:val="false"/>
                <w:bCs w:val="false"/>
                <w:sz w:val="18"/>
                <w:szCs w:val="18"/>
              </w:rPr>
              <w:t xml:space="preserve">INC-06</w:t>
            </w:r>
          </w:p>
        </w:tc>
        <w:tc>
          <w:tcPr>
            <w:tcW w:type="dxa" w:w="1500"/>
            <w:shd w:fill="F2F2F2" w:val="clear"/>
            <w:tcMar>
              <w:top w:type="dxa" w:w="60"/>
              <w:left w:type="dxa" w:w="80"/>
              <w:bottom w:type="dxa" w:w="60"/>
              <w:right w:type="dxa" w:w="80"/>
            </w:tcMar>
            <w:vAlign w:val="center"/>
          </w:tcPr>
          <w:p>
            <w:r>
              <w:rPr>
                <w:b w:val="false"/>
                <w:bCs w:val="false"/>
                <w:sz w:val="18"/>
                <w:szCs w:val="18"/>
              </w:rPr>
              <w:t xml:space="preserve">Developer</w:t>
            </w:r>
          </w:p>
        </w:tc>
        <w:tc>
          <w:tcPr>
            <w:tcW w:type="dxa" w:w="2600"/>
            <w:shd w:fill="F2F2F2" w:val="clear"/>
            <w:tcMar>
              <w:top w:type="dxa" w:w="60"/>
              <w:left w:type="dxa" w:w="80"/>
              <w:bottom w:type="dxa" w:w="60"/>
              <w:right w:type="dxa" w:w="80"/>
            </w:tcMar>
            <w:vAlign w:val="center"/>
          </w:tcPr>
          <w:p>
            <w:r>
              <w:rPr>
                <w:b w:val="false"/>
                <w:bCs w:val="false"/>
                <w:sz w:val="18"/>
                <w:szCs w:val="18"/>
              </w:rPr>
              <w:t xml:space="preserve">Shared credentials used for source-code access</w:t>
            </w:r>
          </w:p>
        </w:tc>
        <w:tc>
          <w:tcPr>
            <w:tcW w:type="dxa" w:w="800"/>
            <w:shd w:fill="F2F2F2" w:val="clear"/>
            <w:tcMar>
              <w:top w:type="dxa" w:w="60"/>
              <w:left w:type="dxa" w:w="80"/>
              <w:bottom w:type="dxa" w:w="60"/>
              <w:right w:type="dxa" w:w="80"/>
            </w:tcMar>
            <w:vAlign w:val="center"/>
          </w:tcPr>
          <w:p>
            <w:r>
              <w:rPr>
                <w:b w:val="false"/>
                <w:bCs w:val="false"/>
                <w:sz w:val="18"/>
                <w:szCs w:val="18"/>
              </w:rPr>
              <w:t xml:space="preserve">High</w:t>
            </w:r>
          </w:p>
        </w:tc>
        <w:tc>
          <w:tcPr>
            <w:tcW w:type="dxa" w:w="2400"/>
            <w:shd w:fill="F2F2F2" w:val="clear"/>
            <w:tcMar>
              <w:top w:type="dxa" w:w="60"/>
              <w:left w:type="dxa" w:w="80"/>
              <w:bottom w:type="dxa" w:w="60"/>
              <w:right w:type="dxa" w:w="80"/>
            </w:tcMar>
            <w:vAlign w:val="center"/>
          </w:tcPr>
          <w:p>
            <w:r>
              <w:rPr>
                <w:b w:val="false"/>
                <w:bCs w:val="false"/>
                <w:sz w:val="18"/>
                <w:szCs w:val="18"/>
              </w:rPr>
              <w:t xml:space="preserve">Credentials rotated; individual accounts enforced</w:t>
            </w:r>
          </w:p>
        </w:tc>
        <w:tc>
          <w:tcPr>
            <w:tcW w:type="dxa" w:w="700"/>
            <w:shd w:fill="F2F2F2" w:val="clear"/>
            <w:tcMar>
              <w:top w:type="dxa" w:w="60"/>
              <w:left w:type="dxa" w:w="80"/>
              <w:bottom w:type="dxa" w:w="60"/>
              <w:right w:type="dxa" w:w="80"/>
            </w:tcMar>
            <w:vAlign w:val="center"/>
          </w:tcPr>
          <w:p>
            <w:r>
              <w:rPr>
                <w:b w:val="false"/>
                <w:bCs w:val="false"/>
                <w:sz w:val="18"/>
                <w:szCs w:val="18"/>
              </w:rPr>
              <w:t xml:space="preserve">Closed</w:t>
            </w:r>
          </w:p>
        </w:tc>
        <w:tc>
          <w:tcPr>
            <w:tcW w:type="dxa" w:w="1380"/>
            <w:shd w:fill="F2F2F2" w:val="clear"/>
            <w:tcMar>
              <w:top w:type="dxa" w:w="60"/>
              <w:left w:type="dxa" w:w="80"/>
              <w:bottom w:type="dxa" w:w="60"/>
              <w:right w:type="dxa" w:w="80"/>
            </w:tcMar>
            <w:vAlign w:val="center"/>
          </w:tcPr>
          <w:p>
            <w:r>
              <w:rPr>
                <w:b w:val="false"/>
                <w:bCs w:val="false"/>
                <w:sz w:val="18"/>
                <w:szCs w:val="18"/>
              </w:rPr>
              <w:t xml:space="preserve">IT Security</w:t>
            </w:r>
          </w:p>
        </w:tc>
      </w:tr>
      <w:tr>
        <w:tc>
          <w:tcPr>
            <w:tcW w:type="dxa" w:w="700"/>
            <w:shd w:fill="FFFFFF" w:val="clear"/>
            <w:tcMar>
              <w:top w:type="dxa" w:w="60"/>
              <w:left w:type="dxa" w:w="80"/>
              <w:bottom w:type="dxa" w:w="60"/>
              <w:right w:type="dxa" w:w="80"/>
            </w:tcMar>
            <w:vAlign w:val="center"/>
          </w:tcPr>
          <w:p>
            <w:r>
              <w:rPr>
                <w:b w:val="false"/>
                <w:bCs w:val="false"/>
                <w:sz w:val="18"/>
                <w:szCs w:val="18"/>
              </w:rPr>
              <w:t xml:space="preserve">INC-07</w:t>
            </w:r>
          </w:p>
        </w:tc>
        <w:tc>
          <w:tcPr>
            <w:tcW w:type="dxa" w:w="1500"/>
            <w:shd w:fill="FFFFFF" w:val="clear"/>
            <w:tcMar>
              <w:top w:type="dxa" w:w="60"/>
              <w:left w:type="dxa" w:w="80"/>
              <w:bottom w:type="dxa" w:w="60"/>
              <w:right w:type="dxa" w:w="80"/>
            </w:tcMar>
            <w:vAlign w:val="center"/>
          </w:tcPr>
          <w:p>
            <w:r>
              <w:rPr>
                <w:b w:val="false"/>
                <w:bCs w:val="false"/>
                <w:sz w:val="18"/>
                <w:szCs w:val="18"/>
              </w:rPr>
              <w:t xml:space="preserve">Support Engineer</w:t>
            </w:r>
          </w:p>
        </w:tc>
        <w:tc>
          <w:tcPr>
            <w:tcW w:type="dxa" w:w="2600"/>
            <w:shd w:fill="FFFFFF" w:val="clear"/>
            <w:tcMar>
              <w:top w:type="dxa" w:w="60"/>
              <w:left w:type="dxa" w:w="80"/>
              <w:bottom w:type="dxa" w:w="60"/>
              <w:right w:type="dxa" w:w="80"/>
            </w:tcMar>
            <w:vAlign w:val="center"/>
          </w:tcPr>
          <w:p>
            <w:r>
              <w:rPr>
                <w:b w:val="false"/>
                <w:bCs w:val="false"/>
                <w:sz w:val="18"/>
                <w:szCs w:val="18"/>
              </w:rPr>
              <w:t xml:space="preserve">Delayed reporting of a suspicious login</w:t>
            </w:r>
          </w:p>
        </w:tc>
        <w:tc>
          <w:tcPr>
            <w:tcW w:type="dxa" w:w="800"/>
            <w:shd w:fill="FFFFFF" w:val="clear"/>
            <w:tcMar>
              <w:top w:type="dxa" w:w="60"/>
              <w:left w:type="dxa" w:w="80"/>
              <w:bottom w:type="dxa" w:w="60"/>
              <w:right w:type="dxa" w:w="80"/>
            </w:tcMar>
            <w:vAlign w:val="center"/>
          </w:tcPr>
          <w:p>
            <w:r>
              <w:rPr>
                <w:b w:val="false"/>
                <w:bCs w:val="false"/>
                <w:sz w:val="18"/>
                <w:szCs w:val="18"/>
              </w:rPr>
              <w:t xml:space="preserve">Medium</w:t>
            </w:r>
          </w:p>
        </w:tc>
        <w:tc>
          <w:tcPr>
            <w:tcW w:type="dxa" w:w="2400"/>
            <w:shd w:fill="FFFFFF" w:val="clear"/>
            <w:tcMar>
              <w:top w:type="dxa" w:w="60"/>
              <w:left w:type="dxa" w:w="80"/>
              <w:bottom w:type="dxa" w:w="60"/>
              <w:right w:type="dxa" w:w="80"/>
            </w:tcMar>
            <w:vAlign w:val="center"/>
          </w:tcPr>
          <w:p>
            <w:r>
              <w:rPr>
                <w:b w:val="false"/>
                <w:bCs w:val="false"/>
                <w:sz w:val="18"/>
                <w:szCs w:val="18"/>
              </w:rPr>
              <w:t xml:space="preserve">Reporting SLA reinforced with vendor</w:t>
            </w:r>
          </w:p>
        </w:tc>
        <w:tc>
          <w:tcPr>
            <w:tcW w:type="dxa" w:w="700"/>
            <w:shd w:fill="FFFFFF" w:val="clear"/>
            <w:tcMar>
              <w:top w:type="dxa" w:w="60"/>
              <w:left w:type="dxa" w:w="80"/>
              <w:bottom w:type="dxa" w:w="60"/>
              <w:right w:type="dxa" w:w="80"/>
            </w:tcMar>
            <w:vAlign w:val="center"/>
          </w:tcPr>
          <w:p>
            <w:r>
              <w:rPr>
                <w:b w:val="false"/>
                <w:bCs w:val="false"/>
                <w:sz w:val="18"/>
                <w:szCs w:val="18"/>
              </w:rPr>
              <w:t xml:space="preserve">Open</w:t>
            </w:r>
          </w:p>
        </w:tc>
        <w:tc>
          <w:tcPr>
            <w:tcW w:type="dxa" w:w="1380"/>
            <w:shd w:fill="FFFFFF" w:val="clear"/>
            <w:tcMar>
              <w:top w:type="dxa" w:w="60"/>
              <w:left w:type="dxa" w:w="80"/>
              <w:bottom w:type="dxa" w:w="60"/>
              <w:right w:type="dxa" w:w="80"/>
            </w:tcMar>
            <w:vAlign w:val="center"/>
          </w:tcPr>
          <w:p>
            <w:r>
              <w:rPr>
                <w:b w:val="false"/>
                <w:bCs w:val="false"/>
                <w:sz w:val="18"/>
                <w:szCs w:val="18"/>
              </w:rPr>
              <w:t xml:space="preserve">IT Security</w:t>
            </w:r>
          </w:p>
        </w:tc>
      </w:tr>
    </w:tbl>
    <w:p>
      <w:pPr>
        <w:pStyle w:val="Heading2"/>
        <w:spacing w:after="120" w:before="240"/>
      </w:pPr>
      <w:r>
        <w:t xml:space="preserve">6.6 Monitoring Register — Outsourced Vendor Staff</w:t>
      </w:r>
    </w:p>
    <w:p>
      <w:pPr>
        <w:spacing w:after="160"/>
      </w:pPr>
      <w:r>
        <w:rPr>
          <w:b w:val="false"/>
          <w:bCs w:val="false"/>
          <w:i w:val="false"/>
          <w:iCs w:val="false"/>
          <w:sz w:val="22"/>
          <w:szCs w:val="22"/>
        </w:rPr>
        <w:t xml:space="preserve">Purpose: tracks ongoing oversight of vendor personnel — access, training, incidents, and compliance — in line with DORA continuous-monitoring expectations.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300"/>
        <w:gridCol w:w="1500"/>
        <w:gridCol w:w="2280"/>
      </w:tblGrid>
      <w:tr>
        <w:trPr>
          <w:tblHeader/>
        </w:trPr>
        <w:tc>
          <w:tcPr>
            <w:tcW w:type="dxa" w:w="2000"/>
            <w:shd w:fill="1F4E79" w:val="clear"/>
            <w:tcMar>
              <w:top w:type="dxa" w:w="60"/>
              <w:left w:type="dxa" w:w="80"/>
              <w:bottom w:type="dxa" w:w="60"/>
              <w:right w:type="dxa" w:w="80"/>
            </w:tcMar>
            <w:vAlign w:val="center"/>
          </w:tcPr>
          <w:p>
            <w:r>
              <w:rPr>
                <w:b/>
                <w:bCs/>
                <w:color w:val="FFFFFF"/>
                <w:sz w:val="18"/>
                <w:szCs w:val="18"/>
              </w:rPr>
              <w:t xml:space="preserve">Monitoring Item</w:t>
            </w:r>
          </w:p>
        </w:tc>
        <w:tc>
          <w:tcPr>
            <w:tcW w:type="dxa" w:w="3000"/>
            <w:shd w:fill="1F4E79" w:val="clear"/>
            <w:tcMar>
              <w:top w:type="dxa" w:w="60"/>
              <w:left w:type="dxa" w:w="80"/>
              <w:bottom w:type="dxa" w:w="60"/>
              <w:right w:type="dxa" w:w="80"/>
            </w:tcMar>
            <w:vAlign w:val="center"/>
          </w:tcPr>
          <w:p>
            <w:r>
              <w:rPr>
                <w:b/>
                <w:bCs/>
                <w:color w:val="FFFFFF"/>
                <w:sz w:val="18"/>
                <w:szCs w:val="18"/>
              </w:rPr>
              <w:t xml:space="preserve">What Is Checked</w:t>
            </w:r>
          </w:p>
        </w:tc>
        <w:tc>
          <w:tcPr>
            <w:tcW w:type="dxa" w:w="1300"/>
            <w:shd w:fill="1F4E79" w:val="clear"/>
            <w:tcMar>
              <w:top w:type="dxa" w:w="60"/>
              <w:left w:type="dxa" w:w="80"/>
              <w:bottom w:type="dxa" w:w="60"/>
              <w:right w:type="dxa" w:w="80"/>
            </w:tcMar>
            <w:vAlign w:val="center"/>
          </w:tcPr>
          <w:p>
            <w:r>
              <w:rPr>
                <w:b/>
                <w:bCs/>
                <w:color w:val="FFFFFF"/>
                <w:sz w:val="18"/>
                <w:szCs w:val="18"/>
              </w:rPr>
              <w:t xml:space="preserve">Frequency</w:t>
            </w:r>
          </w:p>
        </w:tc>
        <w:tc>
          <w:tcPr>
            <w:tcW w:type="dxa" w:w="1500"/>
            <w:shd w:fill="1F4E79" w:val="clear"/>
            <w:tcMar>
              <w:top w:type="dxa" w:w="60"/>
              <w:left w:type="dxa" w:w="80"/>
              <w:bottom w:type="dxa" w:w="60"/>
              <w:right w:type="dxa" w:w="80"/>
            </w:tcMar>
            <w:vAlign w:val="center"/>
          </w:tcPr>
          <w:p>
            <w:r>
              <w:rPr>
                <w:b/>
                <w:bCs/>
                <w:color w:val="FFFFFF"/>
                <w:sz w:val="18"/>
                <w:szCs w:val="18"/>
              </w:rPr>
              <w:t xml:space="preserve">Owner</w:t>
            </w:r>
          </w:p>
        </w:tc>
        <w:tc>
          <w:tcPr>
            <w:tcW w:type="dxa" w:w="2280"/>
            <w:shd w:fill="1F4E79" w:val="clear"/>
            <w:tcMar>
              <w:top w:type="dxa" w:w="60"/>
              <w:left w:type="dxa" w:w="80"/>
              <w:bottom w:type="dxa" w:w="60"/>
              <w:right w:type="dxa" w:w="80"/>
            </w:tcMar>
            <w:vAlign w:val="center"/>
          </w:tcPr>
          <w:p>
            <w:r>
              <w:rPr>
                <w:b/>
                <w:bCs/>
                <w:color w:val="FFFFFF"/>
                <w:sz w:val="18"/>
                <w:szCs w:val="18"/>
              </w:rPr>
              <w:t xml:space="preserve">Status / Notes</w:t>
            </w:r>
          </w:p>
        </w:tc>
      </w:tr>
      <w:tr>
        <w:tc>
          <w:tcPr>
            <w:tcW w:type="dxa" w:w="2000"/>
            <w:shd w:fill="FFFFFF" w:val="clear"/>
            <w:tcMar>
              <w:top w:type="dxa" w:w="60"/>
              <w:left w:type="dxa" w:w="80"/>
              <w:bottom w:type="dxa" w:w="60"/>
              <w:right w:type="dxa" w:w="80"/>
            </w:tcMar>
            <w:vAlign w:val="center"/>
          </w:tcPr>
          <w:p>
            <w:r>
              <w:rPr>
                <w:b w:val="false"/>
                <w:bCs w:val="false"/>
                <w:sz w:val="18"/>
                <w:szCs w:val="18"/>
              </w:rPr>
              <w:t xml:space="preserve">Access Review</w:t>
            </w:r>
          </w:p>
        </w:tc>
        <w:tc>
          <w:tcPr>
            <w:tcW w:type="dxa" w:w="3000"/>
            <w:shd w:fill="FFFFFF" w:val="clear"/>
            <w:tcMar>
              <w:top w:type="dxa" w:w="60"/>
              <w:left w:type="dxa" w:w="80"/>
              <w:bottom w:type="dxa" w:w="60"/>
              <w:right w:type="dxa" w:w="80"/>
            </w:tcMar>
            <w:vAlign w:val="center"/>
          </w:tcPr>
          <w:p>
            <w:r>
              <w:rPr>
                <w:b w:val="false"/>
                <w:bCs w:val="false"/>
                <w:sz w:val="18"/>
                <w:szCs w:val="18"/>
              </w:rPr>
              <w:t xml:space="preserve">Vendor staff access to systems (source code, CI/CD, test, production)</w:t>
            </w:r>
          </w:p>
        </w:tc>
        <w:tc>
          <w:tcPr>
            <w:tcW w:type="dxa" w:w="1300"/>
            <w:shd w:fill="FFFFFF" w:val="clear"/>
            <w:tcMar>
              <w:top w:type="dxa" w:w="60"/>
              <w:left w:type="dxa" w:w="80"/>
              <w:bottom w:type="dxa" w:w="60"/>
              <w:right w:type="dxa" w:w="80"/>
            </w:tcMar>
            <w:vAlign w:val="center"/>
          </w:tcPr>
          <w:p>
            <w:r>
              <w:rPr>
                <w:b w:val="false"/>
                <w:bCs w:val="false"/>
                <w:sz w:val="18"/>
                <w:szCs w:val="18"/>
              </w:rPr>
              <w:t xml:space="preserve">Quarterly</w:t>
            </w:r>
          </w:p>
        </w:tc>
        <w:tc>
          <w:tcPr>
            <w:tcW w:type="dxa" w:w="1500"/>
            <w:shd w:fill="FFFFFF" w:val="clear"/>
            <w:tcMar>
              <w:top w:type="dxa" w:w="60"/>
              <w:left w:type="dxa" w:w="80"/>
              <w:bottom w:type="dxa" w:w="60"/>
              <w:right w:type="dxa" w:w="80"/>
            </w:tcMar>
            <w:vAlign w:val="center"/>
          </w:tcPr>
          <w:p>
            <w:r>
              <w:rPr>
                <w:b w:val="false"/>
                <w:bCs w:val="false"/>
                <w:sz w:val="18"/>
                <w:szCs w:val="18"/>
              </w:rPr>
              <w:t xml:space="preserve">IT Security</w:t>
            </w:r>
          </w:p>
        </w:tc>
        <w:tc>
          <w:tcPr>
            <w:tcW w:type="dxa" w:w="2280"/>
            <w:shd w:fill="FFFFFF" w:val="clear"/>
            <w:tcMar>
              <w:top w:type="dxa" w:w="60"/>
              <w:left w:type="dxa" w:w="80"/>
              <w:bottom w:type="dxa" w:w="60"/>
              <w:right w:type="dxa" w:w="80"/>
            </w:tcMar>
            <w:vAlign w:val="center"/>
          </w:tcPr>
          <w:p>
            <w:r>
              <w:rPr>
                <w:b w:val="false"/>
                <w:bCs w:val="false"/>
                <w:sz w:val="18"/>
                <w:szCs w:val="18"/>
              </w:rPr>
              <w:t xml:space="preserve">Ongoing; linked to Access Control Register</w:t>
            </w:r>
          </w:p>
        </w:tc>
      </w:tr>
      <w:tr>
        <w:tc>
          <w:tcPr>
            <w:tcW w:type="dxa" w:w="2000"/>
            <w:shd w:fill="F2F2F2" w:val="clear"/>
            <w:tcMar>
              <w:top w:type="dxa" w:w="60"/>
              <w:left w:type="dxa" w:w="80"/>
              <w:bottom w:type="dxa" w:w="60"/>
              <w:right w:type="dxa" w:w="80"/>
            </w:tcMar>
            <w:vAlign w:val="center"/>
          </w:tcPr>
          <w:p>
            <w:r>
              <w:rPr>
                <w:b w:val="false"/>
                <w:bCs w:val="false"/>
                <w:sz w:val="18"/>
                <w:szCs w:val="18"/>
              </w:rPr>
              <w:t xml:space="preserve">Training Review</w:t>
            </w:r>
          </w:p>
        </w:tc>
        <w:tc>
          <w:tcPr>
            <w:tcW w:type="dxa" w:w="3000"/>
            <w:shd w:fill="F2F2F2" w:val="clear"/>
            <w:tcMar>
              <w:top w:type="dxa" w:w="60"/>
              <w:left w:type="dxa" w:w="80"/>
              <w:bottom w:type="dxa" w:w="60"/>
              <w:right w:type="dxa" w:w="80"/>
            </w:tcMar>
            <w:vAlign w:val="center"/>
          </w:tcPr>
          <w:p>
            <w:r>
              <w:rPr>
                <w:b w:val="false"/>
                <w:bCs w:val="false"/>
                <w:sz w:val="18"/>
                <w:szCs w:val="18"/>
              </w:rPr>
              <w:t xml:space="preserve">Completion of mandatory cybersecurity &amp; regulatory training</w:t>
            </w:r>
          </w:p>
        </w:tc>
        <w:tc>
          <w:tcPr>
            <w:tcW w:type="dxa" w:w="1300"/>
            <w:shd w:fill="F2F2F2" w:val="clear"/>
            <w:tcMar>
              <w:top w:type="dxa" w:w="60"/>
              <w:left w:type="dxa" w:w="80"/>
              <w:bottom w:type="dxa" w:w="60"/>
              <w:right w:type="dxa" w:w="80"/>
            </w:tcMar>
            <w:vAlign w:val="center"/>
          </w:tcPr>
          <w:p>
            <w:r>
              <w:rPr>
                <w:b w:val="false"/>
                <w:bCs w:val="false"/>
                <w:sz w:val="18"/>
                <w:szCs w:val="18"/>
              </w:rPr>
              <w:t xml:space="preserve">Annual</w:t>
            </w:r>
          </w:p>
        </w:tc>
        <w:tc>
          <w:tcPr>
            <w:tcW w:type="dxa" w:w="1500"/>
            <w:shd w:fill="F2F2F2" w:val="clear"/>
            <w:tcMar>
              <w:top w:type="dxa" w:w="60"/>
              <w:left w:type="dxa" w:w="80"/>
              <w:bottom w:type="dxa" w:w="60"/>
              <w:right w:type="dxa" w:w="80"/>
            </w:tcMar>
            <w:vAlign w:val="center"/>
          </w:tcPr>
          <w:p>
            <w:r>
              <w:rPr>
                <w:b w:val="false"/>
                <w:bCs w:val="false"/>
                <w:sz w:val="18"/>
                <w:szCs w:val="18"/>
              </w:rPr>
              <w:t xml:space="preserve">GRC</w:t>
            </w:r>
          </w:p>
        </w:tc>
        <w:tc>
          <w:tcPr>
            <w:tcW w:type="dxa" w:w="2280"/>
            <w:shd w:fill="F2F2F2" w:val="clear"/>
            <w:tcMar>
              <w:top w:type="dxa" w:w="60"/>
              <w:left w:type="dxa" w:w="80"/>
              <w:bottom w:type="dxa" w:w="60"/>
              <w:right w:type="dxa" w:w="80"/>
            </w:tcMar>
            <w:vAlign w:val="center"/>
          </w:tcPr>
          <w:p>
            <w:r>
              <w:rPr>
                <w:b w:val="false"/>
                <w:bCs w:val="false"/>
                <w:sz w:val="18"/>
                <w:szCs w:val="18"/>
              </w:rPr>
              <w:t xml:space="preserve">Planned; gaps tracked via Training Register</w:t>
            </w:r>
          </w:p>
        </w:tc>
      </w:tr>
      <w:tr>
        <w:tc>
          <w:tcPr>
            <w:tcW w:type="dxa" w:w="2000"/>
            <w:shd w:fill="FFFFFF" w:val="clear"/>
            <w:tcMar>
              <w:top w:type="dxa" w:w="60"/>
              <w:left w:type="dxa" w:w="80"/>
              <w:bottom w:type="dxa" w:w="60"/>
              <w:right w:type="dxa" w:w="80"/>
            </w:tcMar>
            <w:vAlign w:val="center"/>
          </w:tcPr>
          <w:p>
            <w:r>
              <w:rPr>
                <w:b w:val="false"/>
                <w:bCs w:val="false"/>
                <w:sz w:val="18"/>
                <w:szCs w:val="18"/>
              </w:rPr>
              <w:t xml:space="preserve">Incident Review</w:t>
            </w:r>
          </w:p>
        </w:tc>
        <w:tc>
          <w:tcPr>
            <w:tcW w:type="dxa" w:w="3000"/>
            <w:shd w:fill="FFFFFF" w:val="clear"/>
            <w:tcMar>
              <w:top w:type="dxa" w:w="60"/>
              <w:left w:type="dxa" w:w="80"/>
              <w:bottom w:type="dxa" w:w="60"/>
              <w:right w:type="dxa" w:w="80"/>
            </w:tcMar>
            <w:vAlign w:val="center"/>
          </w:tcPr>
          <w:p>
            <w:r>
              <w:rPr>
                <w:b w:val="false"/>
                <w:bCs w:val="false"/>
                <w:sz w:val="18"/>
                <w:szCs w:val="18"/>
              </w:rPr>
              <w:t xml:space="preserve">Human-related incidents; remediation and lessons learned</w:t>
            </w:r>
          </w:p>
        </w:tc>
        <w:tc>
          <w:tcPr>
            <w:tcW w:type="dxa" w:w="1300"/>
            <w:shd w:fill="FFFFFF" w:val="clear"/>
            <w:tcMar>
              <w:top w:type="dxa" w:w="60"/>
              <w:left w:type="dxa" w:w="80"/>
              <w:bottom w:type="dxa" w:w="60"/>
              <w:right w:type="dxa" w:w="80"/>
            </w:tcMar>
            <w:vAlign w:val="center"/>
          </w:tcPr>
          <w:p>
            <w:r>
              <w:rPr>
                <w:b w:val="false"/>
                <w:bCs w:val="false"/>
                <w:sz w:val="18"/>
                <w:szCs w:val="18"/>
              </w:rPr>
              <w:t xml:space="preserve">As needed</w:t>
            </w:r>
          </w:p>
        </w:tc>
        <w:tc>
          <w:tcPr>
            <w:tcW w:type="dxa" w:w="1500"/>
            <w:shd w:fill="FFFFFF" w:val="clear"/>
            <w:tcMar>
              <w:top w:type="dxa" w:w="60"/>
              <w:left w:type="dxa" w:w="80"/>
              <w:bottom w:type="dxa" w:w="60"/>
              <w:right w:type="dxa" w:w="80"/>
            </w:tcMar>
            <w:vAlign w:val="center"/>
          </w:tcPr>
          <w:p>
            <w:r>
              <w:rPr>
                <w:b w:val="false"/>
                <w:bCs w:val="false"/>
                <w:sz w:val="18"/>
                <w:szCs w:val="18"/>
              </w:rPr>
              <w:t xml:space="preserve">GRC</w:t>
            </w:r>
          </w:p>
        </w:tc>
        <w:tc>
          <w:tcPr>
            <w:tcW w:type="dxa" w:w="2280"/>
            <w:shd w:fill="FFFFFF" w:val="clear"/>
            <w:tcMar>
              <w:top w:type="dxa" w:w="60"/>
              <w:left w:type="dxa" w:w="80"/>
              <w:bottom w:type="dxa" w:w="60"/>
              <w:right w:type="dxa" w:w="80"/>
            </w:tcMar>
            <w:vAlign w:val="center"/>
          </w:tcPr>
          <w:p>
            <w:r>
              <w:rPr>
                <w:b w:val="false"/>
                <w:bCs w:val="false"/>
                <w:sz w:val="18"/>
                <w:szCs w:val="18"/>
              </w:rPr>
              <w:t xml:space="preserve">Ongoing; references Incident Register</w:t>
            </w:r>
          </w:p>
        </w:tc>
      </w:tr>
      <w:tr>
        <w:tc>
          <w:tcPr>
            <w:tcW w:type="dxa" w:w="2000"/>
            <w:shd w:fill="F2F2F2" w:val="clear"/>
            <w:tcMar>
              <w:top w:type="dxa" w:w="60"/>
              <w:left w:type="dxa" w:w="80"/>
              <w:bottom w:type="dxa" w:w="60"/>
              <w:right w:type="dxa" w:w="80"/>
            </w:tcMar>
            <w:vAlign w:val="center"/>
          </w:tcPr>
          <w:p>
            <w:r>
              <w:rPr>
                <w:b w:val="false"/>
                <w:bCs w:val="false"/>
                <w:sz w:val="18"/>
                <w:szCs w:val="18"/>
              </w:rPr>
              <w:t xml:space="preserve">Compliance Review</w:t>
            </w:r>
          </w:p>
        </w:tc>
        <w:tc>
          <w:tcPr>
            <w:tcW w:type="dxa" w:w="3000"/>
            <w:shd w:fill="F2F2F2" w:val="clear"/>
            <w:tcMar>
              <w:top w:type="dxa" w:w="60"/>
              <w:left w:type="dxa" w:w="80"/>
              <w:bottom w:type="dxa" w:w="60"/>
              <w:right w:type="dxa" w:w="80"/>
            </w:tcMar>
            <w:vAlign w:val="center"/>
          </w:tcPr>
          <w:p>
            <w:r>
              <w:rPr>
                <w:b w:val="false"/>
                <w:bCs w:val="false"/>
                <w:sz w:val="18"/>
                <w:szCs w:val="18"/>
              </w:rPr>
              <w:t xml:space="preserve">Vendor activity compliance with DORA &amp; ISO/IEC 27001</w:t>
            </w:r>
          </w:p>
        </w:tc>
        <w:tc>
          <w:tcPr>
            <w:tcW w:type="dxa" w:w="1300"/>
            <w:shd w:fill="F2F2F2" w:val="clear"/>
            <w:tcMar>
              <w:top w:type="dxa" w:w="60"/>
              <w:left w:type="dxa" w:w="80"/>
              <w:bottom w:type="dxa" w:w="60"/>
              <w:right w:type="dxa" w:w="80"/>
            </w:tcMar>
            <w:vAlign w:val="center"/>
          </w:tcPr>
          <w:p>
            <w:r>
              <w:rPr>
                <w:b w:val="false"/>
                <w:bCs w:val="false"/>
                <w:sz w:val="18"/>
                <w:szCs w:val="18"/>
              </w:rPr>
              <w:t xml:space="preserve">Semi-Annual</w:t>
            </w:r>
          </w:p>
        </w:tc>
        <w:tc>
          <w:tcPr>
            <w:tcW w:type="dxa" w:w="1500"/>
            <w:shd w:fill="F2F2F2" w:val="clear"/>
            <w:tcMar>
              <w:top w:type="dxa" w:w="60"/>
              <w:left w:type="dxa" w:w="80"/>
              <w:bottom w:type="dxa" w:w="60"/>
              <w:right w:type="dxa" w:w="80"/>
            </w:tcMar>
            <w:vAlign w:val="center"/>
          </w:tcPr>
          <w:p>
            <w:r>
              <w:rPr>
                <w:b w:val="false"/>
                <w:bCs w:val="false"/>
                <w:sz w:val="18"/>
                <w:szCs w:val="18"/>
              </w:rPr>
              <w:t xml:space="preserve">GRC / Risk Team</w:t>
            </w:r>
          </w:p>
        </w:tc>
        <w:tc>
          <w:tcPr>
            <w:tcW w:type="dxa" w:w="2280"/>
            <w:shd w:fill="F2F2F2" w:val="clear"/>
            <w:tcMar>
              <w:top w:type="dxa" w:w="60"/>
              <w:left w:type="dxa" w:w="80"/>
              <w:bottom w:type="dxa" w:w="60"/>
              <w:right w:type="dxa" w:w="80"/>
            </w:tcMar>
            <w:vAlign w:val="center"/>
          </w:tcPr>
          <w:p>
            <w:r>
              <w:rPr>
                <w:b w:val="false"/>
                <w:bCs w:val="false"/>
                <w:sz w:val="18"/>
                <w:szCs w:val="18"/>
              </w:rPr>
              <w:t xml:space="preserve">Planned; linked to Due Diligence &amp; Vendor Risk Registers</w:t>
            </w:r>
          </w:p>
        </w:tc>
      </w:tr>
      <w:tr>
        <w:tc>
          <w:tcPr>
            <w:tcW w:type="dxa" w:w="2000"/>
            <w:shd w:fill="FFFFFF" w:val="clear"/>
            <w:tcMar>
              <w:top w:type="dxa" w:w="60"/>
              <w:left w:type="dxa" w:w="80"/>
              <w:bottom w:type="dxa" w:w="60"/>
              <w:right w:type="dxa" w:w="80"/>
            </w:tcMar>
            <w:vAlign w:val="center"/>
          </w:tcPr>
          <w:p>
            <w:r>
              <w:rPr>
                <w:b w:val="false"/>
                <w:bCs w:val="false"/>
                <w:sz w:val="18"/>
                <w:szCs w:val="18"/>
              </w:rPr>
              <w:t xml:space="preserve">JML Process Verification</w:t>
            </w:r>
          </w:p>
        </w:tc>
        <w:tc>
          <w:tcPr>
            <w:tcW w:type="dxa" w:w="3000"/>
            <w:shd w:fill="FFFFFF" w:val="clear"/>
            <w:tcMar>
              <w:top w:type="dxa" w:w="60"/>
              <w:left w:type="dxa" w:w="80"/>
              <w:bottom w:type="dxa" w:w="60"/>
              <w:right w:type="dxa" w:w="80"/>
            </w:tcMar>
            <w:vAlign w:val="center"/>
          </w:tcPr>
          <w:p>
            <w:r>
              <w:rPr>
                <w:b w:val="false"/>
                <w:bCs w:val="false"/>
                <w:sz w:val="18"/>
                <w:szCs w:val="18"/>
              </w:rPr>
              <w:t xml:space="preserve">Timely Joiner–Mover–Leaver execution</w:t>
            </w:r>
          </w:p>
        </w:tc>
        <w:tc>
          <w:tcPr>
            <w:tcW w:type="dxa" w:w="1300"/>
            <w:shd w:fill="FFFFFF" w:val="clear"/>
            <w:tcMar>
              <w:top w:type="dxa" w:w="60"/>
              <w:left w:type="dxa" w:w="80"/>
              <w:bottom w:type="dxa" w:w="60"/>
              <w:right w:type="dxa" w:w="80"/>
            </w:tcMar>
            <w:vAlign w:val="center"/>
          </w:tcPr>
          <w:p>
            <w:r>
              <w:rPr>
                <w:b w:val="false"/>
                <w:bCs w:val="false"/>
                <w:sz w:val="18"/>
                <w:szCs w:val="18"/>
              </w:rPr>
              <w:t xml:space="preserve">Quarterly</w:t>
            </w:r>
          </w:p>
        </w:tc>
        <w:tc>
          <w:tcPr>
            <w:tcW w:type="dxa" w:w="1500"/>
            <w:shd w:fill="FFFFFF" w:val="clear"/>
            <w:tcMar>
              <w:top w:type="dxa" w:w="60"/>
              <w:left w:type="dxa" w:w="80"/>
              <w:bottom w:type="dxa" w:w="60"/>
              <w:right w:type="dxa" w:w="80"/>
            </w:tcMar>
            <w:vAlign w:val="center"/>
          </w:tcPr>
          <w:p>
            <w:r>
              <w:rPr>
                <w:b w:val="false"/>
                <w:bCs w:val="false"/>
                <w:sz w:val="18"/>
                <w:szCs w:val="18"/>
              </w:rPr>
              <w:t xml:space="preserve">IT Security + HR</w:t>
            </w:r>
          </w:p>
        </w:tc>
        <w:tc>
          <w:tcPr>
            <w:tcW w:type="dxa" w:w="2280"/>
            <w:shd w:fill="FFFFFF" w:val="clear"/>
            <w:tcMar>
              <w:top w:type="dxa" w:w="60"/>
              <w:left w:type="dxa" w:w="80"/>
              <w:bottom w:type="dxa" w:w="60"/>
              <w:right w:type="dxa" w:w="80"/>
            </w:tcMar>
            <w:vAlign w:val="center"/>
          </w:tcPr>
          <w:p>
            <w:r>
              <w:rPr>
                <w:b w:val="false"/>
                <w:bCs w:val="false"/>
                <w:sz w:val="18"/>
                <w:szCs w:val="18"/>
              </w:rPr>
              <w:t xml:space="preserve">Ongoing; cross-checked with Access &amp; Exit Registers</w:t>
            </w:r>
          </w:p>
        </w:tc>
      </w:tr>
      <w:tr>
        <w:tc>
          <w:tcPr>
            <w:tcW w:type="dxa" w:w="2000"/>
            <w:shd w:fill="F2F2F2" w:val="clear"/>
            <w:tcMar>
              <w:top w:type="dxa" w:w="60"/>
              <w:left w:type="dxa" w:w="80"/>
              <w:bottom w:type="dxa" w:w="60"/>
              <w:right w:type="dxa" w:w="80"/>
            </w:tcMar>
            <w:vAlign w:val="center"/>
          </w:tcPr>
          <w:p>
            <w:r>
              <w:rPr>
                <w:b w:val="false"/>
                <w:bCs w:val="false"/>
                <w:sz w:val="18"/>
                <w:szCs w:val="18"/>
              </w:rPr>
              <w:t xml:space="preserve">Exit Strategy Monitoring</w:t>
            </w:r>
          </w:p>
        </w:tc>
        <w:tc>
          <w:tcPr>
            <w:tcW w:type="dxa" w:w="3000"/>
            <w:shd w:fill="F2F2F2" w:val="clear"/>
            <w:tcMar>
              <w:top w:type="dxa" w:w="60"/>
              <w:left w:type="dxa" w:w="80"/>
              <w:bottom w:type="dxa" w:w="60"/>
              <w:right w:type="dxa" w:w="80"/>
            </w:tcMar>
            <w:vAlign w:val="center"/>
          </w:tcPr>
          <w:p>
            <w:r>
              <w:rPr>
                <w:b w:val="false"/>
                <w:bCs w:val="false"/>
                <w:sz w:val="18"/>
                <w:szCs w:val="18"/>
              </w:rPr>
              <w:t xml:space="preserve">Exit actions completed for unresolved-risk vendors</w:t>
            </w:r>
          </w:p>
        </w:tc>
        <w:tc>
          <w:tcPr>
            <w:tcW w:type="dxa" w:w="1300"/>
            <w:shd w:fill="F2F2F2" w:val="clear"/>
            <w:tcMar>
              <w:top w:type="dxa" w:w="60"/>
              <w:left w:type="dxa" w:w="80"/>
              <w:bottom w:type="dxa" w:w="60"/>
              <w:right w:type="dxa" w:w="80"/>
            </w:tcMar>
            <w:vAlign w:val="center"/>
          </w:tcPr>
          <w:p>
            <w:r>
              <w:rPr>
                <w:b w:val="false"/>
                <w:bCs w:val="false"/>
                <w:sz w:val="18"/>
                <w:szCs w:val="18"/>
              </w:rPr>
              <w:t xml:space="preserve">As triggered</w:t>
            </w:r>
          </w:p>
        </w:tc>
        <w:tc>
          <w:tcPr>
            <w:tcW w:type="dxa" w:w="1500"/>
            <w:shd w:fill="F2F2F2" w:val="clear"/>
            <w:tcMar>
              <w:top w:type="dxa" w:w="60"/>
              <w:left w:type="dxa" w:w="80"/>
              <w:bottom w:type="dxa" w:w="60"/>
              <w:right w:type="dxa" w:w="80"/>
            </w:tcMar>
            <w:vAlign w:val="center"/>
          </w:tcPr>
          <w:p>
            <w:r>
              <w:rPr>
                <w:b w:val="false"/>
                <w:bCs w:val="false"/>
                <w:sz w:val="18"/>
                <w:szCs w:val="18"/>
              </w:rPr>
              <w:t xml:space="preserve">GRC / IT Security</w:t>
            </w:r>
          </w:p>
        </w:tc>
        <w:tc>
          <w:tcPr>
            <w:tcW w:type="dxa" w:w="2280"/>
            <w:shd w:fill="F2F2F2" w:val="clear"/>
            <w:tcMar>
              <w:top w:type="dxa" w:w="60"/>
              <w:left w:type="dxa" w:w="80"/>
              <w:bottom w:type="dxa" w:w="60"/>
              <w:right w:type="dxa" w:w="80"/>
            </w:tcMar>
            <w:vAlign w:val="center"/>
          </w:tcPr>
          <w:p>
            <w:r>
              <w:rPr>
                <w:b w:val="false"/>
                <w:bCs w:val="false"/>
                <w:sz w:val="18"/>
                <w:szCs w:val="18"/>
              </w:rPr>
              <w:t xml:space="preserve">Ongoing; ensures access revocation and handover</w:t>
            </w:r>
          </w:p>
        </w:tc>
      </w:tr>
      <w:tr>
        <w:tc>
          <w:tcPr>
            <w:tcW w:type="dxa" w:w="2000"/>
            <w:shd w:fill="FFFFFF" w:val="clear"/>
            <w:tcMar>
              <w:top w:type="dxa" w:w="60"/>
              <w:left w:type="dxa" w:w="80"/>
              <w:bottom w:type="dxa" w:w="60"/>
              <w:right w:type="dxa" w:w="80"/>
            </w:tcMar>
            <w:vAlign w:val="center"/>
          </w:tcPr>
          <w:p>
            <w:r>
              <w:rPr>
                <w:b w:val="false"/>
                <w:bCs w:val="false"/>
                <w:sz w:val="18"/>
                <w:szCs w:val="18"/>
              </w:rPr>
              <w:t xml:space="preserve">Concentration Risk Review</w:t>
            </w:r>
          </w:p>
        </w:tc>
        <w:tc>
          <w:tcPr>
            <w:tcW w:type="dxa" w:w="3000"/>
            <w:shd w:fill="FFFFFF" w:val="clear"/>
            <w:tcMar>
              <w:top w:type="dxa" w:w="60"/>
              <w:left w:type="dxa" w:w="80"/>
              <w:bottom w:type="dxa" w:w="60"/>
              <w:right w:type="dxa" w:w="80"/>
            </w:tcMar>
            <w:vAlign w:val="center"/>
          </w:tcPr>
          <w:p>
            <w:r>
              <w:rPr>
                <w:b w:val="false"/>
                <w:bCs w:val="false"/>
                <w:sz w:val="18"/>
                <w:szCs w:val="18"/>
              </w:rPr>
              <w:t xml:space="preserve">Single-vendor dependency assessment (Art. 29)</w:t>
            </w:r>
          </w:p>
        </w:tc>
        <w:tc>
          <w:tcPr>
            <w:tcW w:type="dxa" w:w="1300"/>
            <w:shd w:fill="FFFFFF" w:val="clear"/>
            <w:tcMar>
              <w:top w:type="dxa" w:w="60"/>
              <w:left w:type="dxa" w:w="80"/>
              <w:bottom w:type="dxa" w:w="60"/>
              <w:right w:type="dxa" w:w="80"/>
            </w:tcMar>
            <w:vAlign w:val="center"/>
          </w:tcPr>
          <w:p>
            <w:r>
              <w:rPr>
                <w:b w:val="false"/>
                <w:bCs w:val="false"/>
                <w:sz w:val="18"/>
                <w:szCs w:val="18"/>
              </w:rPr>
              <w:t xml:space="preserve">Annual</w:t>
            </w:r>
          </w:p>
        </w:tc>
        <w:tc>
          <w:tcPr>
            <w:tcW w:type="dxa" w:w="1500"/>
            <w:shd w:fill="FFFFFF" w:val="clear"/>
            <w:tcMar>
              <w:top w:type="dxa" w:w="60"/>
              <w:left w:type="dxa" w:w="80"/>
              <w:bottom w:type="dxa" w:w="60"/>
              <w:right w:type="dxa" w:w="80"/>
            </w:tcMar>
            <w:vAlign w:val="center"/>
          </w:tcPr>
          <w:p>
            <w:r>
              <w:rPr>
                <w:b w:val="false"/>
                <w:bCs w:val="false"/>
                <w:sz w:val="18"/>
                <w:szCs w:val="18"/>
              </w:rPr>
              <w:t xml:space="preserve">GRC / Procurement</w:t>
            </w:r>
          </w:p>
        </w:tc>
        <w:tc>
          <w:tcPr>
            <w:tcW w:type="dxa" w:w="2280"/>
            <w:shd w:fill="FFFFFF" w:val="clear"/>
            <w:tcMar>
              <w:top w:type="dxa" w:w="60"/>
              <w:left w:type="dxa" w:w="80"/>
              <w:bottom w:type="dxa" w:w="60"/>
              <w:right w:type="dxa" w:w="80"/>
            </w:tcMar>
            <w:vAlign w:val="center"/>
          </w:tcPr>
          <w:p>
            <w:r>
              <w:rPr>
                <w:b w:val="false"/>
                <w:bCs w:val="false"/>
                <w:sz w:val="18"/>
                <w:szCs w:val="18"/>
              </w:rPr>
              <w:t xml:space="preserve">Open item — first formal review pending</w:t>
            </w:r>
          </w:p>
        </w:tc>
      </w:tr>
    </w:tbl>
    <w:p>
      <w:pPr>
        <w:pStyle w:val="Heading2"/>
        <w:spacing w:after="120" w:before="240"/>
      </w:pPr>
      <w:r>
        <w:t xml:space="preserve">6.7 Exit Strategy Register — Outsourced Vendor Staff</w:t>
      </w:r>
    </w:p>
    <w:p>
      <w:pPr>
        <w:spacing w:after="160"/>
      </w:pPr>
      <w:r>
        <w:rPr>
          <w:b w:val="false"/>
          <w:bCs w:val="false"/>
          <w:i w:val="false"/>
          <w:iCs w:val="false"/>
          <w:sz w:val="22"/>
          <w:szCs w:val="22"/>
        </w:rPr>
        <w:t xml:space="preserve">Purpose: defines triggers, actions, and governance for the exit of vendor personnel or termination of vendor contracts, ensuring access is revoked and data secured.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600"/>
        <w:gridCol w:w="1500"/>
        <w:gridCol w:w="1480"/>
      </w:tblGrid>
      <w:tr>
        <w:trPr>
          <w:tblHeader/>
        </w:trPr>
        <w:tc>
          <w:tcPr>
            <w:tcW w:type="dxa" w:w="1600"/>
            <w:shd w:fill="1F4E79" w:val="clear"/>
            <w:tcMar>
              <w:top w:type="dxa" w:w="60"/>
              <w:left w:type="dxa" w:w="80"/>
              <w:bottom w:type="dxa" w:w="60"/>
              <w:right w:type="dxa" w:w="80"/>
            </w:tcMar>
            <w:vAlign w:val="center"/>
          </w:tcPr>
          <w:p>
            <w:r>
              <w:rPr>
                <w:b/>
                <w:bCs/>
                <w:color w:val="FFFFFF"/>
                <w:sz w:val="18"/>
                <w:szCs w:val="18"/>
              </w:rPr>
              <w:t xml:space="preserve">Exit Trigger</w:t>
            </w:r>
          </w:p>
        </w:tc>
        <w:tc>
          <w:tcPr>
            <w:tcW w:type="dxa" w:w="2900"/>
            <w:shd w:fill="1F4E79" w:val="clear"/>
            <w:tcMar>
              <w:top w:type="dxa" w:w="60"/>
              <w:left w:type="dxa" w:w="80"/>
              <w:bottom w:type="dxa" w:w="60"/>
              <w:right w:type="dxa" w:w="80"/>
            </w:tcMar>
            <w:vAlign w:val="center"/>
          </w:tcPr>
          <w:p>
            <w:r>
              <w:rPr>
                <w:b/>
                <w:bCs/>
                <w:color w:val="FFFFFF"/>
                <w:sz w:val="18"/>
                <w:szCs w:val="18"/>
              </w:rPr>
              <w:t xml:space="preserve">Description</w:t>
            </w:r>
          </w:p>
        </w:tc>
        <w:tc>
          <w:tcPr>
            <w:tcW w:type="dxa" w:w="2600"/>
            <w:shd w:fill="1F4E79" w:val="clear"/>
            <w:tcMar>
              <w:top w:type="dxa" w:w="60"/>
              <w:left w:type="dxa" w:w="80"/>
              <w:bottom w:type="dxa" w:w="60"/>
              <w:right w:type="dxa" w:w="80"/>
            </w:tcMar>
            <w:vAlign w:val="center"/>
          </w:tcPr>
          <w:p>
            <w:r>
              <w:rPr>
                <w:b/>
                <w:bCs/>
                <w:color w:val="FFFFFF"/>
                <w:sz w:val="18"/>
                <w:szCs w:val="18"/>
              </w:rPr>
              <w:t xml:space="preserve">Action Required</w:t>
            </w:r>
          </w:p>
        </w:tc>
        <w:tc>
          <w:tcPr>
            <w:tcW w:type="dxa" w:w="1500"/>
            <w:shd w:fill="1F4E79" w:val="clear"/>
            <w:tcMar>
              <w:top w:type="dxa" w:w="60"/>
              <w:left w:type="dxa" w:w="80"/>
              <w:bottom w:type="dxa" w:w="60"/>
              <w:right w:type="dxa" w:w="80"/>
            </w:tcMar>
            <w:vAlign w:val="center"/>
          </w:tcPr>
          <w:p>
            <w:r>
              <w:rPr>
                <w:b/>
                <w:bCs/>
                <w:color w:val="FFFFFF"/>
                <w:sz w:val="18"/>
                <w:szCs w:val="18"/>
              </w:rPr>
              <w:t xml:space="preserve">Owner</w:t>
            </w:r>
          </w:p>
        </w:tc>
        <w:tc>
          <w:tcPr>
            <w:tcW w:type="dxa" w:w="1480"/>
            <w:shd w:fill="1F4E79" w:val="clear"/>
            <w:tcMar>
              <w:top w:type="dxa" w:w="60"/>
              <w:left w:type="dxa" w:w="80"/>
              <w:bottom w:type="dxa" w:w="60"/>
              <w:right w:type="dxa" w:w="80"/>
            </w:tcMar>
            <w:vAlign w:val="center"/>
          </w:tcPr>
          <w:p>
            <w:r>
              <w:rPr>
                <w:b/>
                <w:bCs/>
                <w:color w:val="FFFFFF"/>
                <w:sz w:val="18"/>
                <w:szCs w:val="18"/>
              </w:rPr>
              <w:t xml:space="preserve">Notes</w:t>
            </w:r>
          </w:p>
        </w:tc>
      </w:tr>
      <w:tr>
        <w:tc>
          <w:tcPr>
            <w:tcW w:type="dxa" w:w="1600"/>
            <w:shd w:fill="FFFFFF" w:val="clear"/>
            <w:tcMar>
              <w:top w:type="dxa" w:w="60"/>
              <w:left w:type="dxa" w:w="80"/>
              <w:bottom w:type="dxa" w:w="60"/>
              <w:right w:type="dxa" w:w="80"/>
            </w:tcMar>
            <w:vAlign w:val="center"/>
          </w:tcPr>
          <w:p>
            <w:r>
              <w:rPr>
                <w:b w:val="false"/>
                <w:bCs w:val="false"/>
                <w:sz w:val="18"/>
                <w:szCs w:val="18"/>
              </w:rPr>
              <w:t xml:space="preserve">High Unresolved Risk</w:t>
            </w:r>
          </w:p>
        </w:tc>
        <w:tc>
          <w:tcPr>
            <w:tcW w:type="dxa" w:w="2900"/>
            <w:shd w:fill="FFFFFF" w:val="clear"/>
            <w:tcMar>
              <w:top w:type="dxa" w:w="60"/>
              <w:left w:type="dxa" w:w="80"/>
              <w:bottom w:type="dxa" w:w="60"/>
              <w:right w:type="dxa" w:w="80"/>
            </w:tcMar>
            <w:vAlign w:val="center"/>
          </w:tcPr>
          <w:p>
            <w:r>
              <w:rPr>
                <w:b w:val="false"/>
                <w:bCs w:val="false"/>
                <w:sz w:val="18"/>
                <w:szCs w:val="18"/>
              </w:rPr>
              <w:t xml:space="preserve">Vendor fails to remediate identified high/critical risks</w:t>
            </w:r>
          </w:p>
        </w:tc>
        <w:tc>
          <w:tcPr>
            <w:tcW w:type="dxa" w:w="2600"/>
            <w:shd w:fill="FFFFFF" w:val="clear"/>
            <w:tcMar>
              <w:top w:type="dxa" w:w="60"/>
              <w:left w:type="dxa" w:w="80"/>
              <w:bottom w:type="dxa" w:w="60"/>
              <w:right w:type="dxa" w:w="80"/>
            </w:tcMar>
            <w:vAlign w:val="center"/>
          </w:tcPr>
          <w:p>
            <w:r>
              <w:rPr>
                <w:b w:val="false"/>
                <w:bCs w:val="false"/>
                <w:sz w:val="18"/>
                <w:szCs w:val="18"/>
              </w:rPr>
              <w:t xml:space="preserve">Terminate contract; revoke all access; secure data</w:t>
            </w:r>
          </w:p>
        </w:tc>
        <w:tc>
          <w:tcPr>
            <w:tcW w:type="dxa" w:w="1500"/>
            <w:shd w:fill="FFFFFF" w:val="clear"/>
            <w:tcMar>
              <w:top w:type="dxa" w:w="60"/>
              <w:left w:type="dxa" w:w="80"/>
              <w:bottom w:type="dxa" w:w="60"/>
              <w:right w:type="dxa" w:w="80"/>
            </w:tcMar>
            <w:vAlign w:val="center"/>
          </w:tcPr>
          <w:p>
            <w:r>
              <w:rPr>
                <w:b w:val="false"/>
                <w:bCs w:val="false"/>
                <w:sz w:val="18"/>
                <w:szCs w:val="18"/>
              </w:rPr>
              <w:t xml:space="preserve">GRC / IT Security</w:t>
            </w:r>
          </w:p>
        </w:tc>
        <w:tc>
          <w:tcPr>
            <w:tcW w:type="dxa" w:w="1480"/>
            <w:shd w:fill="FFFFFF" w:val="clear"/>
            <w:tcMar>
              <w:top w:type="dxa" w:w="60"/>
              <w:left w:type="dxa" w:w="80"/>
              <w:bottom w:type="dxa" w:w="60"/>
              <w:right w:type="dxa" w:w="80"/>
            </w:tcMar>
            <w:vAlign w:val="center"/>
          </w:tcPr>
          <w:p>
            <w:r>
              <w:rPr>
                <w:b w:val="false"/>
                <w:bCs w:val="false"/>
                <w:sz w:val="18"/>
                <w:szCs w:val="18"/>
              </w:rPr>
              <w:t xml:space="preserve">Exit plan defined in vendor agreement</w:t>
            </w:r>
          </w:p>
        </w:tc>
      </w:tr>
      <w:tr>
        <w:tc>
          <w:tcPr>
            <w:tcW w:type="dxa" w:w="1600"/>
            <w:shd w:fill="F2F2F2" w:val="clear"/>
            <w:tcMar>
              <w:top w:type="dxa" w:w="60"/>
              <w:left w:type="dxa" w:w="80"/>
              <w:bottom w:type="dxa" w:w="60"/>
              <w:right w:type="dxa" w:w="80"/>
            </w:tcMar>
            <w:vAlign w:val="center"/>
          </w:tcPr>
          <w:p>
            <w:r>
              <w:rPr>
                <w:b w:val="false"/>
                <w:bCs w:val="false"/>
                <w:sz w:val="18"/>
                <w:szCs w:val="18"/>
              </w:rPr>
              <w:t xml:space="preserve">Repeated Incidents</w:t>
            </w:r>
          </w:p>
        </w:tc>
        <w:tc>
          <w:tcPr>
            <w:tcW w:type="dxa" w:w="2900"/>
            <w:shd w:fill="F2F2F2" w:val="clear"/>
            <w:tcMar>
              <w:top w:type="dxa" w:w="60"/>
              <w:left w:type="dxa" w:w="80"/>
              <w:bottom w:type="dxa" w:w="60"/>
              <w:right w:type="dxa" w:w="80"/>
            </w:tcMar>
            <w:vAlign w:val="center"/>
          </w:tcPr>
          <w:p>
            <w:r>
              <w:rPr>
                <w:b w:val="false"/>
                <w:bCs w:val="false"/>
                <w:sz w:val="18"/>
                <w:szCs w:val="18"/>
              </w:rPr>
              <w:t xml:space="preserve">Multiple human-related incidents (access misuse, errors)</w:t>
            </w:r>
          </w:p>
        </w:tc>
        <w:tc>
          <w:tcPr>
            <w:tcW w:type="dxa" w:w="2600"/>
            <w:shd w:fill="F2F2F2" w:val="clear"/>
            <w:tcMar>
              <w:top w:type="dxa" w:w="60"/>
              <w:left w:type="dxa" w:w="80"/>
              <w:bottom w:type="dxa" w:w="60"/>
              <w:right w:type="dxa" w:w="80"/>
            </w:tcMar>
            <w:vAlign w:val="center"/>
          </w:tcPr>
          <w:p>
            <w:r>
              <w:rPr>
                <w:b w:val="false"/>
                <w:bCs w:val="false"/>
                <w:sz w:val="18"/>
                <w:szCs w:val="18"/>
              </w:rPr>
              <w:t xml:space="preserve">Switch vendor or reassign resources; review incidents</w:t>
            </w:r>
          </w:p>
        </w:tc>
        <w:tc>
          <w:tcPr>
            <w:tcW w:type="dxa" w:w="1500"/>
            <w:shd w:fill="F2F2F2" w:val="clear"/>
            <w:tcMar>
              <w:top w:type="dxa" w:w="60"/>
              <w:left w:type="dxa" w:w="80"/>
              <w:bottom w:type="dxa" w:w="60"/>
              <w:right w:type="dxa" w:w="80"/>
            </w:tcMar>
            <w:vAlign w:val="center"/>
          </w:tcPr>
          <w:p>
            <w:r>
              <w:rPr>
                <w:b w:val="false"/>
                <w:bCs w:val="false"/>
                <w:sz w:val="18"/>
                <w:szCs w:val="18"/>
              </w:rPr>
              <w:t xml:space="preserve">IT Security / Ops</w:t>
            </w:r>
          </w:p>
        </w:tc>
        <w:tc>
          <w:tcPr>
            <w:tcW w:type="dxa" w:w="1480"/>
            <w:shd w:fill="F2F2F2" w:val="clear"/>
            <w:tcMar>
              <w:top w:type="dxa" w:w="60"/>
              <w:left w:type="dxa" w:w="80"/>
              <w:bottom w:type="dxa" w:w="60"/>
              <w:right w:type="dxa" w:w="80"/>
            </w:tcMar>
            <w:vAlign w:val="center"/>
          </w:tcPr>
          <w:p>
            <w:r>
              <w:rPr>
                <w:b w:val="false"/>
                <w:bCs w:val="false"/>
                <w:sz w:val="18"/>
                <w:szCs w:val="18"/>
              </w:rPr>
              <w:t xml:space="preserve">Root-cause analysis before onboarding replacement staff</w:t>
            </w:r>
          </w:p>
        </w:tc>
      </w:tr>
      <w:tr>
        <w:tc>
          <w:tcPr>
            <w:tcW w:type="dxa" w:w="1600"/>
            <w:shd w:fill="FFFFFF" w:val="clear"/>
            <w:tcMar>
              <w:top w:type="dxa" w:w="60"/>
              <w:left w:type="dxa" w:w="80"/>
              <w:bottom w:type="dxa" w:w="60"/>
              <w:right w:type="dxa" w:w="80"/>
            </w:tcMar>
            <w:vAlign w:val="center"/>
          </w:tcPr>
          <w:p>
            <w:r>
              <w:rPr>
                <w:b w:val="false"/>
                <w:bCs w:val="false"/>
                <w:sz w:val="18"/>
                <w:szCs w:val="18"/>
              </w:rPr>
              <w:t xml:space="preserve">Regulatory Non-Compliance</w:t>
            </w:r>
          </w:p>
        </w:tc>
        <w:tc>
          <w:tcPr>
            <w:tcW w:type="dxa" w:w="2900"/>
            <w:shd w:fill="FFFFFF" w:val="clear"/>
            <w:tcMar>
              <w:top w:type="dxa" w:w="60"/>
              <w:left w:type="dxa" w:w="80"/>
              <w:bottom w:type="dxa" w:w="60"/>
              <w:right w:type="dxa" w:w="80"/>
            </w:tcMar>
            <w:vAlign w:val="center"/>
          </w:tcPr>
          <w:p>
            <w:r>
              <w:rPr>
                <w:b w:val="false"/>
                <w:bCs w:val="false"/>
                <w:sz w:val="18"/>
                <w:szCs w:val="18"/>
              </w:rPr>
              <w:t xml:space="preserve">Vendor fails to meet DORA / ISO/IEC 27001 requirements</w:t>
            </w:r>
          </w:p>
        </w:tc>
        <w:tc>
          <w:tcPr>
            <w:tcW w:type="dxa" w:w="2600"/>
            <w:shd w:fill="FFFFFF" w:val="clear"/>
            <w:tcMar>
              <w:top w:type="dxa" w:w="60"/>
              <w:left w:type="dxa" w:w="80"/>
              <w:bottom w:type="dxa" w:w="60"/>
              <w:right w:type="dxa" w:w="80"/>
            </w:tcMar>
            <w:vAlign w:val="center"/>
          </w:tcPr>
          <w:p>
            <w:r>
              <w:rPr>
                <w:b w:val="false"/>
                <w:bCs w:val="false"/>
                <w:sz w:val="18"/>
                <w:szCs w:val="18"/>
              </w:rPr>
              <w:t xml:space="preserve">Immediate exit; revoke access; ensure data retrieval</w:t>
            </w:r>
          </w:p>
        </w:tc>
        <w:tc>
          <w:tcPr>
            <w:tcW w:type="dxa" w:w="1500"/>
            <w:shd w:fill="FFFFFF" w:val="clear"/>
            <w:tcMar>
              <w:top w:type="dxa" w:w="60"/>
              <w:left w:type="dxa" w:w="80"/>
              <w:bottom w:type="dxa" w:w="60"/>
              <w:right w:type="dxa" w:w="80"/>
            </w:tcMar>
            <w:vAlign w:val="center"/>
          </w:tcPr>
          <w:p>
            <w:r>
              <w:rPr>
                <w:b w:val="false"/>
                <w:bCs w:val="false"/>
                <w:sz w:val="18"/>
                <w:szCs w:val="18"/>
              </w:rPr>
              <w:t xml:space="preserve">GRC / Compliance</w:t>
            </w:r>
          </w:p>
        </w:tc>
        <w:tc>
          <w:tcPr>
            <w:tcW w:type="dxa" w:w="1480"/>
            <w:shd w:fill="FFFFFF" w:val="clear"/>
            <w:tcMar>
              <w:top w:type="dxa" w:w="60"/>
              <w:left w:type="dxa" w:w="80"/>
              <w:bottom w:type="dxa" w:w="60"/>
              <w:right w:type="dxa" w:w="80"/>
            </w:tcMar>
            <w:vAlign w:val="center"/>
          </w:tcPr>
          <w:p>
            <w:r>
              <w:rPr>
                <w:b w:val="false"/>
                <w:bCs w:val="false"/>
                <w:sz w:val="18"/>
                <w:szCs w:val="18"/>
              </w:rPr>
              <w:t xml:space="preserve">Cross-check with Due Diligence Register</w:t>
            </w:r>
          </w:p>
        </w:tc>
      </w:tr>
      <w:tr>
        <w:tc>
          <w:tcPr>
            <w:tcW w:type="dxa" w:w="1600"/>
            <w:shd w:fill="F2F2F2" w:val="clear"/>
            <w:tcMar>
              <w:top w:type="dxa" w:w="60"/>
              <w:left w:type="dxa" w:w="80"/>
              <w:bottom w:type="dxa" w:w="60"/>
              <w:right w:type="dxa" w:w="80"/>
            </w:tcMar>
            <w:vAlign w:val="center"/>
          </w:tcPr>
          <w:p>
            <w:r>
              <w:rPr>
                <w:b w:val="false"/>
                <w:bCs w:val="false"/>
                <w:sz w:val="18"/>
                <w:szCs w:val="18"/>
              </w:rPr>
              <w:t xml:space="preserve">Contract Expiry</w:t>
            </w:r>
          </w:p>
        </w:tc>
        <w:tc>
          <w:tcPr>
            <w:tcW w:type="dxa" w:w="2900"/>
            <w:shd w:fill="F2F2F2" w:val="clear"/>
            <w:tcMar>
              <w:top w:type="dxa" w:w="60"/>
              <w:left w:type="dxa" w:w="80"/>
              <w:bottom w:type="dxa" w:w="60"/>
              <w:right w:type="dxa" w:w="80"/>
            </w:tcMar>
            <w:vAlign w:val="center"/>
          </w:tcPr>
          <w:p>
            <w:r>
              <w:rPr>
                <w:b w:val="false"/>
                <w:bCs w:val="false"/>
                <w:sz w:val="18"/>
                <w:szCs w:val="18"/>
              </w:rPr>
              <w:t xml:space="preserve">Vendor contract ends or project completes</w:t>
            </w:r>
          </w:p>
        </w:tc>
        <w:tc>
          <w:tcPr>
            <w:tcW w:type="dxa" w:w="2600"/>
            <w:shd w:fill="F2F2F2" w:val="clear"/>
            <w:tcMar>
              <w:top w:type="dxa" w:w="60"/>
              <w:left w:type="dxa" w:w="80"/>
              <w:bottom w:type="dxa" w:w="60"/>
              <w:right w:type="dxa" w:w="80"/>
            </w:tcMar>
            <w:vAlign w:val="center"/>
          </w:tcPr>
          <w:p>
            <w:r>
              <w:rPr>
                <w:b w:val="false"/>
                <w:bCs w:val="false"/>
                <w:sz w:val="18"/>
                <w:szCs w:val="18"/>
              </w:rPr>
              <w:t xml:space="preserve">Offboard staff; revoke access; transfer work</w:t>
            </w:r>
          </w:p>
        </w:tc>
        <w:tc>
          <w:tcPr>
            <w:tcW w:type="dxa" w:w="1500"/>
            <w:shd w:fill="F2F2F2" w:val="clear"/>
            <w:tcMar>
              <w:top w:type="dxa" w:w="60"/>
              <w:left w:type="dxa" w:w="80"/>
              <w:bottom w:type="dxa" w:w="60"/>
              <w:right w:type="dxa" w:w="80"/>
            </w:tcMar>
            <w:vAlign w:val="center"/>
          </w:tcPr>
          <w:p>
            <w:r>
              <w:rPr>
                <w:b w:val="false"/>
                <w:bCs w:val="false"/>
                <w:sz w:val="18"/>
                <w:szCs w:val="18"/>
              </w:rPr>
              <w:t xml:space="preserve">IT Security + HR</w:t>
            </w:r>
          </w:p>
        </w:tc>
        <w:tc>
          <w:tcPr>
            <w:tcW w:type="dxa" w:w="1480"/>
            <w:shd w:fill="F2F2F2" w:val="clear"/>
            <w:tcMar>
              <w:top w:type="dxa" w:w="60"/>
              <w:left w:type="dxa" w:w="80"/>
              <w:bottom w:type="dxa" w:w="60"/>
              <w:right w:type="dxa" w:w="80"/>
            </w:tcMar>
            <w:vAlign w:val="center"/>
          </w:tcPr>
          <w:p>
            <w:r>
              <w:rPr>
                <w:b w:val="false"/>
                <w:bCs w:val="false"/>
                <w:sz w:val="18"/>
                <w:szCs w:val="18"/>
              </w:rPr>
              <w:t xml:space="preserve">JML process completed; registers updated</w:t>
            </w:r>
          </w:p>
        </w:tc>
      </w:tr>
      <w:tr>
        <w:tc>
          <w:tcPr>
            <w:tcW w:type="dxa" w:w="1600"/>
            <w:shd w:fill="FFFFFF" w:val="clear"/>
            <w:tcMar>
              <w:top w:type="dxa" w:w="60"/>
              <w:left w:type="dxa" w:w="80"/>
              <w:bottom w:type="dxa" w:w="60"/>
              <w:right w:type="dxa" w:w="80"/>
            </w:tcMar>
            <w:vAlign w:val="center"/>
          </w:tcPr>
          <w:p>
            <w:r>
              <w:rPr>
                <w:b w:val="false"/>
                <w:bCs w:val="false"/>
                <w:sz w:val="18"/>
                <w:szCs w:val="18"/>
              </w:rPr>
              <w:t xml:space="preserve">Vendor Insolvency</w:t>
            </w:r>
          </w:p>
        </w:tc>
        <w:tc>
          <w:tcPr>
            <w:tcW w:type="dxa" w:w="2900"/>
            <w:shd w:fill="FFFFFF" w:val="clear"/>
            <w:tcMar>
              <w:top w:type="dxa" w:w="60"/>
              <w:left w:type="dxa" w:w="80"/>
              <w:bottom w:type="dxa" w:w="60"/>
              <w:right w:type="dxa" w:w="80"/>
            </w:tcMar>
            <w:vAlign w:val="center"/>
          </w:tcPr>
          <w:p>
            <w:r>
              <w:rPr>
                <w:b w:val="false"/>
                <w:bCs w:val="false"/>
                <w:sz w:val="18"/>
                <w:szCs w:val="18"/>
              </w:rPr>
              <w:t xml:space="preserve">Vendor unable to continue services</w:t>
            </w:r>
          </w:p>
        </w:tc>
        <w:tc>
          <w:tcPr>
            <w:tcW w:type="dxa" w:w="2600"/>
            <w:shd w:fill="FFFFFF" w:val="clear"/>
            <w:tcMar>
              <w:top w:type="dxa" w:w="60"/>
              <w:left w:type="dxa" w:w="80"/>
              <w:bottom w:type="dxa" w:w="60"/>
              <w:right w:type="dxa" w:w="80"/>
            </w:tcMar>
            <w:vAlign w:val="center"/>
          </w:tcPr>
          <w:p>
            <w:r>
              <w:rPr>
                <w:b w:val="false"/>
                <w:bCs w:val="false"/>
                <w:sz w:val="18"/>
                <w:szCs w:val="18"/>
              </w:rPr>
              <w:t xml:space="preserve">Exit vendor; reassign or procure new vendor</w:t>
            </w:r>
          </w:p>
        </w:tc>
        <w:tc>
          <w:tcPr>
            <w:tcW w:type="dxa" w:w="1500"/>
            <w:shd w:fill="FFFFFF" w:val="clear"/>
            <w:tcMar>
              <w:top w:type="dxa" w:w="60"/>
              <w:left w:type="dxa" w:w="80"/>
              <w:bottom w:type="dxa" w:w="60"/>
              <w:right w:type="dxa" w:w="80"/>
            </w:tcMar>
            <w:vAlign w:val="center"/>
          </w:tcPr>
          <w:p>
            <w:r>
              <w:rPr>
                <w:b w:val="false"/>
                <w:bCs w:val="false"/>
                <w:sz w:val="18"/>
                <w:szCs w:val="18"/>
              </w:rPr>
              <w:t xml:space="preserve">GRC / Procurement</w:t>
            </w:r>
          </w:p>
        </w:tc>
        <w:tc>
          <w:tcPr>
            <w:tcW w:type="dxa" w:w="1480"/>
            <w:shd w:fill="FFFFFF" w:val="clear"/>
            <w:tcMar>
              <w:top w:type="dxa" w:w="60"/>
              <w:left w:type="dxa" w:w="80"/>
              <w:bottom w:type="dxa" w:w="60"/>
              <w:right w:type="dxa" w:w="80"/>
            </w:tcMar>
            <w:vAlign w:val="center"/>
          </w:tcPr>
          <w:p>
            <w:r>
              <w:rPr>
                <w:b w:val="false"/>
                <w:bCs w:val="false"/>
                <w:sz w:val="18"/>
                <w:szCs w:val="18"/>
              </w:rPr>
              <w:t xml:space="preserve">Contingency plan and backup vendors validated in advance</w:t>
            </w:r>
          </w:p>
        </w:tc>
      </w:tr>
    </w:tbl>
    <w:p>
      <w:r>
        <w:br w:type="page"/>
      </w:r>
    </w:p>
    <w:p>
      <w:pPr>
        <w:pStyle w:val="Heading1"/>
        <w:spacing w:after="160" w:before="300"/>
      </w:pPr>
      <w:r>
        <w:t xml:space="preserve">7. Joiner–Mover–Leaver (JML) Process</w:t>
      </w:r>
    </w:p>
    <w:p>
      <w:pPr>
        <w:spacing w:after="160"/>
      </w:pPr>
      <w:r>
        <w:rPr>
          <w:b w:val="false"/>
          <w:bCs w:val="false"/>
          <w:i w:val="false"/>
          <w:iCs w:val="false"/>
          <w:sz w:val="22"/>
          <w:szCs w:val="22"/>
        </w:rPr>
        <w:t xml:space="preserve">The JML process governs the full lifecycle of vendor personnel access — onboarding, role change, and departure — and is the single control most directly tied to the two highest-rated open risks in the Vendor Risk Register (VR-01, VR-02).</w:t>
      </w:r>
    </w:p>
    <w:p>
      <w:pPr>
        <w:spacing w:after="200" w:before="12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619500"/>
                    </a:xfrm>
                    <a:prstGeom prst="rect">
                      <a:avLst/>
                    </a:prstGeom>
                  </pic:spPr>
                </pic:pic>
              </a:graphicData>
            </a:graphic>
          </wp:inline>
        </w:drawing>
      </w:r>
    </w:p>
    <w:p>
      <w:pPr>
        <w:pStyle w:val="Heading2"/>
        <w:spacing w:after="120" w:before="240"/>
      </w:pPr>
      <w:r>
        <w:t xml:space="preserve">7.1 Joiner (Onboarding Vendor Staff)</w:t>
      </w:r>
    </w:p>
    <w:p>
      <w:pPr>
        <w:pStyle w:val="ListParagraph"/>
        <w:numPr>
          <w:ilvl w:val="0"/>
          <w:numId w:val="1"/>
        </w:numPr>
        <w:spacing w:after="80"/>
      </w:pPr>
      <w:r>
        <w:t xml:space="preserve">Access Approval — Manager + IT Security approve access based on role (RBAC applied)</w:t>
      </w:r>
    </w:p>
    <w:p>
      <w:pPr>
        <w:pStyle w:val="ListParagraph"/>
        <w:numPr>
          <w:ilvl w:val="0"/>
          <w:numId w:val="1"/>
        </w:numPr>
        <w:spacing w:after="80"/>
      </w:pPr>
      <w:r>
        <w:t xml:space="preserve">Account Creation — individual user accounts created for internal systems</w:t>
      </w:r>
    </w:p>
    <w:p>
      <w:pPr>
        <w:pStyle w:val="ListParagraph"/>
        <w:numPr>
          <w:ilvl w:val="0"/>
          <w:numId w:val="1"/>
        </w:numPr>
        <w:spacing w:after="80"/>
      </w:pPr>
      <w:r>
        <w:t xml:space="preserve">Training Completion — mandatory cybersecurity, operational resilience, and regulatory awareness training tracked in the Training Register</w:t>
      </w:r>
    </w:p>
    <w:p>
      <w:pPr>
        <w:pStyle w:val="ListParagraph"/>
        <w:numPr>
          <w:ilvl w:val="0"/>
          <w:numId w:val="1"/>
        </w:numPr>
        <w:spacing w:after="80"/>
      </w:pPr>
      <w:r>
        <w:t xml:space="preserve">Documentation — recorded in Access Control, Outsourced Resource, and Due Diligence Registers</w:t>
      </w:r>
    </w:p>
    <w:p>
      <w:pPr>
        <w:pStyle w:val="ListParagraph"/>
        <w:numPr>
          <w:ilvl w:val="0"/>
          <w:numId w:val="1"/>
        </w:numPr>
        <w:spacing w:after="80"/>
      </w:pPr>
      <w:r>
        <w:t xml:space="preserve">Compliance Check — confirm vendor staff understand DORA and ISO 27001 obligations</w:t>
      </w:r>
    </w:p>
    <w:p>
      <w:pPr>
        <w:pStyle w:val="Heading2"/>
        <w:spacing w:after="120" w:before="240"/>
      </w:pPr>
      <w:r>
        <w:t xml:space="preserve">7.2 Mover (Role / Access Changes)</w:t>
      </w:r>
    </w:p>
    <w:p>
      <w:pPr>
        <w:pStyle w:val="ListParagraph"/>
        <w:numPr>
          <w:ilvl w:val="0"/>
          <w:numId w:val="1"/>
        </w:numPr>
        <w:spacing w:after="80"/>
      </w:pPr>
      <w:r>
        <w:t xml:space="preserve">Access Review — validate current system access against the new role</w:t>
      </w:r>
    </w:p>
    <w:p>
      <w:pPr>
        <w:pStyle w:val="ListParagraph"/>
        <w:numPr>
          <w:ilvl w:val="0"/>
          <w:numId w:val="1"/>
        </w:numPr>
        <w:spacing w:after="80"/>
      </w:pPr>
      <w:r>
        <w:t xml:space="preserve">Role Updates — adjust permissions in line with new responsibilities; ensure RBAC/MFA compliance</w:t>
      </w:r>
    </w:p>
    <w:p>
      <w:pPr>
        <w:pStyle w:val="ListParagraph"/>
        <w:numPr>
          <w:ilvl w:val="0"/>
          <w:numId w:val="1"/>
        </w:numPr>
        <w:spacing w:after="80"/>
      </w:pPr>
      <w:r>
        <w:t xml:space="preserve">Approval Recorded — Manager + IT Security approve the change</w:t>
      </w:r>
    </w:p>
    <w:p>
      <w:pPr>
        <w:pStyle w:val="ListParagraph"/>
        <w:numPr>
          <w:ilvl w:val="0"/>
          <w:numId w:val="1"/>
        </w:numPr>
        <w:spacing w:after="80"/>
      </w:pPr>
      <w:r>
        <w:t xml:space="preserve">Training Updates — verify completion of any new role-specific training</w:t>
      </w:r>
    </w:p>
    <w:p>
      <w:pPr>
        <w:pStyle w:val="ListParagraph"/>
        <w:numPr>
          <w:ilvl w:val="0"/>
          <w:numId w:val="1"/>
        </w:numPr>
        <w:spacing w:after="80"/>
      </w:pPr>
      <w:r>
        <w:t xml:space="preserve">Register Updates — Access Control, Outsourced Resource, and Monitoring Registers updated</w:t>
      </w:r>
    </w:p>
    <w:p>
      <w:pPr>
        <w:pStyle w:val="Heading2"/>
        <w:spacing w:after="120" w:before="240"/>
      </w:pPr>
      <w:r>
        <w:t xml:space="preserve">7.3 Leaver (Offboarding Vendor Staff)</w:t>
      </w:r>
    </w:p>
    <w:p>
      <w:pPr>
        <w:pStyle w:val="ListParagraph"/>
        <w:numPr>
          <w:ilvl w:val="0"/>
          <w:numId w:val="1"/>
        </w:numPr>
        <w:spacing w:after="80"/>
      </w:pPr>
      <w:r>
        <w:t xml:space="preserve">Access Removal — immediately remove system access (source code, CI/CD, test, production)</w:t>
      </w:r>
    </w:p>
    <w:p>
      <w:pPr>
        <w:pStyle w:val="ListParagraph"/>
        <w:numPr>
          <w:ilvl w:val="0"/>
          <w:numId w:val="1"/>
        </w:numPr>
        <w:spacing w:after="80"/>
      </w:pPr>
      <w:r>
        <w:t xml:space="preserve">Account Deactivation — disable individual accounts and MFA</w:t>
      </w:r>
    </w:p>
    <w:p>
      <w:pPr>
        <w:pStyle w:val="ListParagraph"/>
        <w:numPr>
          <w:ilvl w:val="0"/>
          <w:numId w:val="1"/>
        </w:numPr>
        <w:spacing w:after="80"/>
      </w:pPr>
      <w:r>
        <w:t xml:space="preserve">Data Retrieval / Deletion — ensure all company data is returned or securely deleted; documented in the Exit Strategy Register</w:t>
      </w:r>
    </w:p>
    <w:p>
      <w:pPr>
        <w:pStyle w:val="ListParagraph"/>
        <w:numPr>
          <w:ilvl w:val="0"/>
          <w:numId w:val="1"/>
        </w:numPr>
        <w:spacing w:after="80"/>
      </w:pPr>
      <w:r>
        <w:t xml:space="preserve">Work Transfer — reassign ongoing tasks to internal teams or an alternative vendor</w:t>
      </w:r>
    </w:p>
    <w:p>
      <w:pPr>
        <w:pStyle w:val="ListParagraph"/>
        <w:numPr>
          <w:ilvl w:val="0"/>
          <w:numId w:val="1"/>
        </w:numPr>
        <w:spacing w:after="80"/>
      </w:pPr>
      <w:r>
        <w:t xml:space="preserve">Documentation &amp; Audit — log exit in Access Control, Monitoring, Vendor Risk, and Incident Registers</w:t>
      </w:r>
    </w:p>
    <w:p>
      <w:pPr>
        <w:pStyle w:val="ListParagraph"/>
        <w:numPr>
          <w:ilvl w:val="0"/>
          <w:numId w:val="1"/>
        </w:numPr>
        <w:spacing w:after="80"/>
      </w:pPr>
      <w:r>
        <w:t xml:space="preserve">Lessons Learned — record preventive measures to reduce recurrence</w:t>
      </w:r>
    </w:p>
    <w:p>
      <w:r>
        <w:br w:type="page"/>
      </w:r>
    </w:p>
    <w:p>
      <w:pPr>
        <w:pStyle w:val="Heading1"/>
        <w:spacing w:after="160" w:before="300"/>
      </w:pPr>
      <w:r>
        <w:t xml:space="preserve">8. DORA Control Mapping (Chapter V, Articles 28–30)</w:t>
      </w:r>
    </w:p>
    <w:p>
      <w:pPr>
        <w:spacing w:after="160"/>
      </w:pPr>
      <w:r>
        <w:rPr>
          <w:b w:val="false"/>
          <w:bCs w:val="false"/>
          <w:i w:val="false"/>
          <w:iCs w:val="false"/>
          <w:sz w:val="22"/>
          <w:szCs w:val="22"/>
        </w:rPr>
        <w:t xml:space="preserve">DORA's third-party risk pillar (Chapter V, Section I) rests on three core articles, in force since 17 January 2025. The mapping below ties each requirement to the specific register that evidences it — the level of specificity an auditor or interviewer would expect, rather than a generic “aligned with DORA” claim.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3280"/>
      </w:tblGrid>
      <w:tr>
        <w:trPr>
          <w:tblHeader/>
        </w:trPr>
        <w:tc>
          <w:tcPr>
            <w:tcW w:type="dxa" w:w="1600"/>
            <w:shd w:fill="1F4E79" w:val="clear"/>
            <w:tcMar>
              <w:top w:type="dxa" w:w="60"/>
              <w:left w:type="dxa" w:w="80"/>
              <w:bottom w:type="dxa" w:w="60"/>
              <w:right w:type="dxa" w:w="80"/>
            </w:tcMar>
            <w:vAlign w:val="center"/>
          </w:tcPr>
          <w:p>
            <w:r>
              <w:rPr>
                <w:b/>
                <w:bCs/>
                <w:color w:val="FFFFFF"/>
                <w:sz w:val="18"/>
                <w:szCs w:val="18"/>
              </w:rPr>
              <w:t xml:space="preserve">DORA Article</w:t>
            </w:r>
          </w:p>
        </w:tc>
        <w:tc>
          <w:tcPr>
            <w:tcW w:type="dxa" w:w="2800"/>
            <w:shd w:fill="1F4E79" w:val="clear"/>
            <w:tcMar>
              <w:top w:type="dxa" w:w="60"/>
              <w:left w:type="dxa" w:w="80"/>
              <w:bottom w:type="dxa" w:w="60"/>
              <w:right w:type="dxa" w:w="80"/>
            </w:tcMar>
            <w:vAlign w:val="center"/>
          </w:tcPr>
          <w:p>
            <w:r>
              <w:rPr>
                <w:b/>
                <w:bCs/>
                <w:color w:val="FFFFFF"/>
                <w:sz w:val="18"/>
                <w:szCs w:val="18"/>
              </w:rPr>
              <w:t xml:space="preserve">Requirement</w:t>
            </w:r>
          </w:p>
        </w:tc>
        <w:tc>
          <w:tcPr>
            <w:tcW w:type="dxa" w:w="2400"/>
            <w:shd w:fill="1F4E79" w:val="clear"/>
            <w:tcMar>
              <w:top w:type="dxa" w:w="60"/>
              <w:left w:type="dxa" w:w="80"/>
              <w:bottom w:type="dxa" w:w="60"/>
              <w:right w:type="dxa" w:w="80"/>
            </w:tcMar>
            <w:vAlign w:val="center"/>
          </w:tcPr>
          <w:p>
            <w:r>
              <w:rPr>
                <w:b/>
                <w:bCs/>
                <w:color w:val="FFFFFF"/>
                <w:sz w:val="18"/>
                <w:szCs w:val="18"/>
              </w:rPr>
              <w:t xml:space="preserve">Mapped Evidence</w:t>
            </w:r>
          </w:p>
        </w:tc>
        <w:tc>
          <w:tcPr>
            <w:tcW w:type="dxa" w:w="3280"/>
            <w:shd w:fill="1F4E79" w:val="clear"/>
            <w:tcMar>
              <w:top w:type="dxa" w:w="60"/>
              <w:left w:type="dxa" w:w="80"/>
              <w:bottom w:type="dxa" w:w="60"/>
              <w:right w:type="dxa" w:w="80"/>
            </w:tcMar>
            <w:vAlign w:val="center"/>
          </w:tcPr>
          <w:p>
            <w:r>
              <w:rPr>
                <w:b/>
                <w:bCs/>
                <w:color w:val="FFFFFF"/>
                <w:sz w:val="18"/>
                <w:szCs w:val="18"/>
              </w:rPr>
              <w:t xml:space="preserve">Notes / Alignment</w:t>
            </w:r>
          </w:p>
        </w:tc>
      </w:tr>
      <w:tr>
        <w:tc>
          <w:tcPr>
            <w:tcW w:type="dxa" w:w="1600"/>
            <w:shd w:fill="FFFFFF" w:val="clear"/>
            <w:tcMar>
              <w:top w:type="dxa" w:w="60"/>
              <w:left w:type="dxa" w:w="80"/>
              <w:bottom w:type="dxa" w:w="60"/>
              <w:right w:type="dxa" w:w="80"/>
            </w:tcMar>
            <w:vAlign w:val="center"/>
          </w:tcPr>
          <w:p>
            <w:r>
              <w:rPr>
                <w:b w:val="false"/>
                <w:bCs w:val="false"/>
                <w:sz w:val="18"/>
                <w:szCs w:val="18"/>
              </w:rPr>
              <w:t xml:space="preserve">Art. 28 — General principles</w:t>
            </w:r>
          </w:p>
        </w:tc>
        <w:tc>
          <w:tcPr>
            <w:tcW w:type="dxa" w:w="2800"/>
            <w:shd w:fill="FFFFFF" w:val="clear"/>
            <w:tcMar>
              <w:top w:type="dxa" w:w="60"/>
              <w:left w:type="dxa" w:w="80"/>
              <w:bottom w:type="dxa" w:w="60"/>
              <w:right w:type="dxa" w:w="80"/>
            </w:tcMar>
            <w:vAlign w:val="center"/>
          </w:tcPr>
          <w:p>
            <w:r>
              <w:rPr>
                <w:b w:val="false"/>
                <w:bCs w:val="false"/>
                <w:sz w:val="18"/>
                <w:szCs w:val="18"/>
              </w:rPr>
              <w:t xml:space="preserve">ICT third-party risk strategy; due diligence before contracting; suitability assessment of providers</w:t>
            </w:r>
          </w:p>
        </w:tc>
        <w:tc>
          <w:tcPr>
            <w:tcW w:type="dxa" w:w="2400"/>
            <w:shd w:fill="FFFFFF" w:val="clear"/>
            <w:tcMar>
              <w:top w:type="dxa" w:w="60"/>
              <w:left w:type="dxa" w:w="80"/>
              <w:bottom w:type="dxa" w:w="60"/>
              <w:right w:type="dxa" w:w="80"/>
            </w:tcMar>
            <w:vAlign w:val="center"/>
          </w:tcPr>
          <w:p>
            <w:r>
              <w:rPr>
                <w:b w:val="false"/>
                <w:bCs w:val="false"/>
                <w:sz w:val="18"/>
                <w:szCs w:val="18"/>
              </w:rPr>
              <w:t xml:space="preserve">Due Diligence Register, Vendor Overview</w:t>
            </w:r>
          </w:p>
        </w:tc>
        <w:tc>
          <w:tcPr>
            <w:tcW w:type="dxa" w:w="3280"/>
            <w:shd w:fill="FFFFFF" w:val="clear"/>
            <w:tcMar>
              <w:top w:type="dxa" w:w="60"/>
              <w:left w:type="dxa" w:w="80"/>
              <w:bottom w:type="dxa" w:w="60"/>
              <w:right w:type="dxa" w:w="80"/>
            </w:tcMar>
            <w:vAlign w:val="center"/>
          </w:tcPr>
          <w:p>
            <w:r>
              <w:rPr>
                <w:b w:val="false"/>
                <w:bCs w:val="false"/>
                <w:sz w:val="18"/>
                <w:szCs w:val="18"/>
              </w:rPr>
              <w:t xml:space="preserve">Financial entity retains full accountability; obligations cannot be delegated to the provider</w:t>
            </w:r>
          </w:p>
        </w:tc>
      </w:tr>
      <w:tr>
        <w:tc>
          <w:tcPr>
            <w:tcW w:type="dxa" w:w="1600"/>
            <w:shd w:fill="F2F2F2" w:val="clear"/>
            <w:tcMar>
              <w:top w:type="dxa" w:w="60"/>
              <w:left w:type="dxa" w:w="80"/>
              <w:bottom w:type="dxa" w:w="60"/>
              <w:right w:type="dxa" w:w="80"/>
            </w:tcMar>
            <w:vAlign w:val="center"/>
          </w:tcPr>
          <w:p>
            <w:r>
              <w:rPr>
                <w:b w:val="false"/>
                <w:bCs w:val="false"/>
                <w:sz w:val="18"/>
                <w:szCs w:val="18"/>
              </w:rPr>
              <w:t xml:space="preserve">Art. 28(3) — Register of Information</w:t>
            </w:r>
          </w:p>
        </w:tc>
        <w:tc>
          <w:tcPr>
            <w:tcW w:type="dxa" w:w="2800"/>
            <w:shd w:fill="F2F2F2" w:val="clear"/>
            <w:tcMar>
              <w:top w:type="dxa" w:w="60"/>
              <w:left w:type="dxa" w:w="80"/>
              <w:bottom w:type="dxa" w:w="60"/>
              <w:right w:type="dxa" w:w="80"/>
            </w:tcMar>
            <w:vAlign w:val="center"/>
          </w:tcPr>
          <w:p>
            <w:r>
              <w:rPr>
                <w:b w:val="false"/>
                <w:bCs w:val="false"/>
                <w:sz w:val="18"/>
                <w:szCs w:val="18"/>
              </w:rPr>
              <w:t xml:space="preserve">Maintain and submit a register of all ICT third-party contractual arrangements to the competent authority</w:t>
            </w:r>
          </w:p>
        </w:tc>
        <w:tc>
          <w:tcPr>
            <w:tcW w:type="dxa" w:w="2400"/>
            <w:shd w:fill="F2F2F2" w:val="clear"/>
            <w:tcMar>
              <w:top w:type="dxa" w:w="60"/>
              <w:left w:type="dxa" w:w="80"/>
              <w:bottom w:type="dxa" w:w="60"/>
              <w:right w:type="dxa" w:w="80"/>
            </w:tcMar>
            <w:vAlign w:val="center"/>
          </w:tcPr>
          <w:p>
            <w:r>
              <w:rPr>
                <w:b w:val="false"/>
                <w:bCs w:val="false"/>
                <w:sz w:val="18"/>
                <w:szCs w:val="18"/>
              </w:rPr>
              <w:t xml:space="preserve">Outsourced Resource Register, Vendor Overview</w:t>
            </w:r>
          </w:p>
        </w:tc>
        <w:tc>
          <w:tcPr>
            <w:tcW w:type="dxa" w:w="3280"/>
            <w:shd w:fill="F2F2F2" w:val="clear"/>
            <w:tcMar>
              <w:top w:type="dxa" w:w="60"/>
              <w:left w:type="dxa" w:w="80"/>
              <w:bottom w:type="dxa" w:w="60"/>
              <w:right w:type="dxa" w:w="80"/>
            </w:tcMar>
            <w:vAlign w:val="center"/>
          </w:tcPr>
          <w:p>
            <w:r>
              <w:rPr>
                <w:b w:val="false"/>
                <w:bCs w:val="false"/>
                <w:sz w:val="18"/>
                <w:szCs w:val="18"/>
              </w:rPr>
              <w:t xml:space="preserve">Captures provider identity, service, criticality, location, and subcontracting status</w:t>
            </w:r>
          </w:p>
        </w:tc>
      </w:tr>
      <w:tr>
        <w:tc>
          <w:tcPr>
            <w:tcW w:type="dxa" w:w="1600"/>
            <w:shd w:fill="FFFFFF" w:val="clear"/>
            <w:tcMar>
              <w:top w:type="dxa" w:w="60"/>
              <w:left w:type="dxa" w:w="80"/>
              <w:bottom w:type="dxa" w:w="60"/>
              <w:right w:type="dxa" w:w="80"/>
            </w:tcMar>
            <w:vAlign w:val="center"/>
          </w:tcPr>
          <w:p>
            <w:r>
              <w:rPr>
                <w:b w:val="false"/>
                <w:bCs w:val="false"/>
                <w:sz w:val="18"/>
                <w:szCs w:val="18"/>
              </w:rPr>
              <w:t xml:space="preserve">Art. 29 — Concentration risk</w:t>
            </w:r>
          </w:p>
        </w:tc>
        <w:tc>
          <w:tcPr>
            <w:tcW w:type="dxa" w:w="2800"/>
            <w:shd w:fill="FFFFFF" w:val="clear"/>
            <w:tcMar>
              <w:top w:type="dxa" w:w="60"/>
              <w:left w:type="dxa" w:w="80"/>
              <w:bottom w:type="dxa" w:w="60"/>
              <w:right w:type="dxa" w:w="80"/>
            </w:tcMar>
            <w:vAlign w:val="center"/>
          </w:tcPr>
          <w:p>
            <w:r>
              <w:rPr>
                <w:b w:val="false"/>
                <w:bCs w:val="false"/>
                <w:sz w:val="18"/>
                <w:szCs w:val="18"/>
              </w:rPr>
              <w:t xml:space="preserve">Assess dependency on providers that are not easily substitutable, or multiple arrangements with the same provider</w:t>
            </w:r>
          </w:p>
        </w:tc>
        <w:tc>
          <w:tcPr>
            <w:tcW w:type="dxa" w:w="2400"/>
            <w:shd w:fill="FFFFFF" w:val="clear"/>
            <w:tcMar>
              <w:top w:type="dxa" w:w="60"/>
              <w:left w:type="dxa" w:w="80"/>
              <w:bottom w:type="dxa" w:w="60"/>
              <w:right w:type="dxa" w:w="80"/>
            </w:tcMar>
            <w:vAlign w:val="center"/>
          </w:tcPr>
          <w:p>
            <w:r>
              <w:rPr>
                <w:b w:val="false"/>
                <w:bCs w:val="false"/>
                <w:sz w:val="18"/>
                <w:szCs w:val="18"/>
              </w:rPr>
              <w:t xml:space="preserve">Vendor Risk Register (VR-05), Monitoring Register</w:t>
            </w:r>
          </w:p>
        </w:tc>
        <w:tc>
          <w:tcPr>
            <w:tcW w:type="dxa" w:w="3280"/>
            <w:shd w:fill="FFFFFF" w:val="clear"/>
            <w:tcMar>
              <w:top w:type="dxa" w:w="60"/>
              <w:left w:type="dxa" w:w="80"/>
              <w:bottom w:type="dxa" w:w="60"/>
              <w:right w:type="dxa" w:w="80"/>
            </w:tcMar>
            <w:vAlign w:val="center"/>
          </w:tcPr>
          <w:p>
            <w:r>
              <w:rPr>
                <w:b w:val="false"/>
                <w:bCs w:val="false"/>
                <w:sz w:val="18"/>
                <w:szCs w:val="18"/>
              </w:rPr>
              <w:t xml:space="preserve">Single-vendor reliance on ABC Technologies flagged as an open risk requiring annual review</w:t>
            </w:r>
          </w:p>
        </w:tc>
      </w:tr>
      <w:tr>
        <w:tc>
          <w:tcPr>
            <w:tcW w:type="dxa" w:w="1600"/>
            <w:shd w:fill="F2F2F2" w:val="clear"/>
            <w:tcMar>
              <w:top w:type="dxa" w:w="60"/>
              <w:left w:type="dxa" w:w="80"/>
              <w:bottom w:type="dxa" w:w="60"/>
              <w:right w:type="dxa" w:w="80"/>
            </w:tcMar>
            <w:vAlign w:val="center"/>
          </w:tcPr>
          <w:p>
            <w:r>
              <w:rPr>
                <w:b w:val="false"/>
                <w:bCs w:val="false"/>
                <w:sz w:val="18"/>
                <w:szCs w:val="18"/>
              </w:rPr>
              <w:t xml:space="preserve">Art. 30 — Key contractual provisions</w:t>
            </w:r>
          </w:p>
        </w:tc>
        <w:tc>
          <w:tcPr>
            <w:tcW w:type="dxa" w:w="2800"/>
            <w:shd w:fill="F2F2F2" w:val="clear"/>
            <w:tcMar>
              <w:top w:type="dxa" w:w="60"/>
              <w:left w:type="dxa" w:w="80"/>
              <w:bottom w:type="dxa" w:w="60"/>
              <w:right w:type="dxa" w:w="80"/>
            </w:tcMar>
            <w:vAlign w:val="center"/>
          </w:tcPr>
          <w:p>
            <w:r>
              <w:rPr>
                <w:b w:val="false"/>
                <w:bCs w:val="false"/>
                <w:sz w:val="18"/>
                <w:szCs w:val="18"/>
              </w:rPr>
              <w:t xml:space="preserve">Mandatory clauses: description of services, audit rights, termination rights, subcontracting notification, data location</w:t>
            </w:r>
          </w:p>
        </w:tc>
        <w:tc>
          <w:tcPr>
            <w:tcW w:type="dxa" w:w="2400"/>
            <w:shd w:fill="F2F2F2" w:val="clear"/>
            <w:tcMar>
              <w:top w:type="dxa" w:w="60"/>
              <w:left w:type="dxa" w:w="80"/>
              <w:bottom w:type="dxa" w:w="60"/>
              <w:right w:type="dxa" w:w="80"/>
            </w:tcMar>
            <w:vAlign w:val="center"/>
          </w:tcPr>
          <w:p>
            <w:r>
              <w:rPr>
                <w:b w:val="false"/>
                <w:bCs w:val="false"/>
                <w:sz w:val="18"/>
                <w:szCs w:val="18"/>
              </w:rPr>
              <w:t xml:space="preserve">Vendor Overview, Exit Strategy Register, VR-06</w:t>
            </w:r>
          </w:p>
        </w:tc>
        <w:tc>
          <w:tcPr>
            <w:tcW w:type="dxa" w:w="3280"/>
            <w:shd w:fill="F2F2F2" w:val="clear"/>
            <w:tcMar>
              <w:top w:type="dxa" w:w="60"/>
              <w:left w:type="dxa" w:w="80"/>
              <w:bottom w:type="dxa" w:w="60"/>
              <w:right w:type="dxa" w:w="80"/>
            </w:tcMar>
            <w:vAlign w:val="center"/>
          </w:tcPr>
          <w:p>
            <w:r>
              <w:rPr>
                <w:b w:val="false"/>
                <w:bCs w:val="false"/>
                <w:sz w:val="18"/>
                <w:szCs w:val="18"/>
              </w:rPr>
              <w:t xml:space="preserve">Subcontracting disclosure gap (VR-06) identified as an open action against this article</w:t>
            </w:r>
          </w:p>
        </w:tc>
      </w:tr>
      <w:tr>
        <w:tc>
          <w:tcPr>
            <w:tcW w:type="dxa" w:w="1600"/>
            <w:shd w:fill="FFFFFF" w:val="clear"/>
            <w:tcMar>
              <w:top w:type="dxa" w:w="60"/>
              <w:left w:type="dxa" w:w="80"/>
              <w:bottom w:type="dxa" w:w="60"/>
              <w:right w:type="dxa" w:w="80"/>
            </w:tcMar>
            <w:vAlign w:val="center"/>
          </w:tcPr>
          <w:p>
            <w:r>
              <w:rPr>
                <w:b w:val="false"/>
                <w:bCs w:val="false"/>
                <w:sz w:val="18"/>
                <w:szCs w:val="18"/>
              </w:rPr>
              <w:t xml:space="preserve">Ongoing monitoring &amp; exit strategies</w:t>
            </w:r>
          </w:p>
        </w:tc>
        <w:tc>
          <w:tcPr>
            <w:tcW w:type="dxa" w:w="2800"/>
            <w:shd w:fill="FFFFFF" w:val="clear"/>
            <w:tcMar>
              <w:top w:type="dxa" w:w="60"/>
              <w:left w:type="dxa" w:w="80"/>
              <w:bottom w:type="dxa" w:w="60"/>
              <w:right w:type="dxa" w:w="80"/>
            </w:tcMar>
            <w:vAlign w:val="center"/>
          </w:tcPr>
          <w:p>
            <w:r>
              <w:rPr>
                <w:b w:val="false"/>
                <w:bCs w:val="false"/>
                <w:sz w:val="18"/>
                <w:szCs w:val="18"/>
              </w:rPr>
              <w:t xml:space="preserve">Continuous oversight of arrangements; documented exit triggers and actions</w:t>
            </w:r>
          </w:p>
        </w:tc>
        <w:tc>
          <w:tcPr>
            <w:tcW w:type="dxa" w:w="2400"/>
            <w:shd w:fill="FFFFFF" w:val="clear"/>
            <w:tcMar>
              <w:top w:type="dxa" w:w="60"/>
              <w:left w:type="dxa" w:w="80"/>
              <w:bottom w:type="dxa" w:w="60"/>
              <w:right w:type="dxa" w:w="80"/>
            </w:tcMar>
            <w:vAlign w:val="center"/>
          </w:tcPr>
          <w:p>
            <w:r>
              <w:rPr>
                <w:b w:val="false"/>
                <w:bCs w:val="false"/>
                <w:sz w:val="18"/>
                <w:szCs w:val="18"/>
              </w:rPr>
              <w:t xml:space="preserve">Monitoring Register, Exit Strategy Register</w:t>
            </w:r>
          </w:p>
        </w:tc>
        <w:tc>
          <w:tcPr>
            <w:tcW w:type="dxa" w:w="3280"/>
            <w:shd w:fill="FFFFFF" w:val="clear"/>
            <w:tcMar>
              <w:top w:type="dxa" w:w="60"/>
              <w:left w:type="dxa" w:w="80"/>
              <w:bottom w:type="dxa" w:w="60"/>
              <w:right w:type="dxa" w:w="80"/>
            </w:tcMar>
            <w:vAlign w:val="center"/>
          </w:tcPr>
          <w:p>
            <w:r>
              <w:rPr>
                <w:b w:val="false"/>
                <w:bCs w:val="false"/>
                <w:sz w:val="18"/>
                <w:szCs w:val="18"/>
              </w:rPr>
              <w:t xml:space="preserve">JML verification runs quarterly; five distinct exit triggers defined by scenario</w:t>
            </w:r>
          </w:p>
        </w:tc>
      </w:tr>
    </w:tbl>
    <w:p>
      <w:r>
        <w:br w:type="page"/>
      </w:r>
    </w:p>
    <w:p>
      <w:pPr>
        <w:pStyle w:val="Heading1"/>
        <w:spacing w:after="160" w:before="300"/>
      </w:pPr>
      <w:r>
        <w:t xml:space="preserve">9. ISO/IEC 27001 Annex A Control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780"/>
      </w:tblGrid>
      <w:tr>
        <w:trPr>
          <w:tblHeader/>
        </w:trPr>
        <w:tc>
          <w:tcPr>
            <w:tcW w:type="dxa" w:w="2400"/>
            <w:shd w:fill="1F4E79" w:val="clear"/>
            <w:tcMar>
              <w:top w:type="dxa" w:w="60"/>
              <w:left w:type="dxa" w:w="80"/>
              <w:bottom w:type="dxa" w:w="60"/>
              <w:right w:type="dxa" w:w="80"/>
            </w:tcMar>
            <w:vAlign w:val="center"/>
          </w:tcPr>
          <w:p>
            <w:r>
              <w:rPr>
                <w:b/>
                <w:bCs/>
                <w:color w:val="FFFFFF"/>
                <w:sz w:val="18"/>
                <w:szCs w:val="18"/>
              </w:rPr>
              <w:t xml:space="preserve">Annex A Control</w:t>
            </w:r>
          </w:p>
        </w:tc>
        <w:tc>
          <w:tcPr>
            <w:tcW w:type="dxa" w:w="2900"/>
            <w:shd w:fill="1F4E79" w:val="clear"/>
            <w:tcMar>
              <w:top w:type="dxa" w:w="60"/>
              <w:left w:type="dxa" w:w="80"/>
              <w:bottom w:type="dxa" w:w="60"/>
              <w:right w:type="dxa" w:w="80"/>
            </w:tcMar>
            <w:vAlign w:val="center"/>
          </w:tcPr>
          <w:p>
            <w:r>
              <w:rPr>
                <w:b/>
                <w:bCs/>
                <w:color w:val="FFFFFF"/>
                <w:sz w:val="18"/>
                <w:szCs w:val="18"/>
              </w:rPr>
              <w:t xml:space="preserve">Mapped Evidence</w:t>
            </w:r>
          </w:p>
        </w:tc>
        <w:tc>
          <w:tcPr>
            <w:tcW w:type="dxa" w:w="4780"/>
            <w:shd w:fill="1F4E79" w:val="clear"/>
            <w:tcMar>
              <w:top w:type="dxa" w:w="60"/>
              <w:left w:type="dxa" w:w="80"/>
              <w:bottom w:type="dxa" w:w="60"/>
              <w:right w:type="dxa" w:w="80"/>
            </w:tcMar>
            <w:vAlign w:val="center"/>
          </w:tcPr>
          <w:p>
            <w:r>
              <w:rPr>
                <w:b/>
                <w:bCs/>
                <w:color w:val="FFFFFF"/>
                <w:sz w:val="18"/>
                <w:szCs w:val="18"/>
              </w:rPr>
              <w:t xml:space="preserve">Notes / Alignment</w:t>
            </w:r>
          </w:p>
        </w:tc>
      </w:tr>
      <w:tr>
        <w:tc>
          <w:tcPr>
            <w:tcW w:type="dxa" w:w="2400"/>
            <w:shd w:fill="FFFFFF" w:val="clear"/>
            <w:tcMar>
              <w:top w:type="dxa" w:w="60"/>
              <w:left w:type="dxa" w:w="80"/>
              <w:bottom w:type="dxa" w:w="60"/>
              <w:right w:type="dxa" w:w="80"/>
            </w:tcMar>
            <w:vAlign w:val="center"/>
          </w:tcPr>
          <w:p>
            <w:r>
              <w:rPr>
                <w:b w:val="false"/>
                <w:bCs w:val="false"/>
                <w:sz w:val="18"/>
                <w:szCs w:val="18"/>
              </w:rPr>
              <w:t xml:space="preserve">A.5 Supplier Relationships</w:t>
            </w:r>
          </w:p>
        </w:tc>
        <w:tc>
          <w:tcPr>
            <w:tcW w:type="dxa" w:w="2900"/>
            <w:shd w:fill="FFFFFF" w:val="clear"/>
            <w:tcMar>
              <w:top w:type="dxa" w:w="60"/>
              <w:left w:type="dxa" w:w="80"/>
              <w:bottom w:type="dxa" w:w="60"/>
              <w:right w:type="dxa" w:w="80"/>
            </w:tcMar>
            <w:vAlign w:val="center"/>
          </w:tcPr>
          <w:p>
            <w:r>
              <w:rPr>
                <w:b w:val="false"/>
                <w:bCs w:val="false"/>
                <w:sz w:val="18"/>
                <w:szCs w:val="18"/>
              </w:rPr>
              <w:t xml:space="preserve">Vendor Overview, Vendor Risk Register</w:t>
            </w:r>
          </w:p>
        </w:tc>
        <w:tc>
          <w:tcPr>
            <w:tcW w:type="dxa" w:w="4780"/>
            <w:shd w:fill="FFFFFF" w:val="clear"/>
            <w:tcMar>
              <w:top w:type="dxa" w:w="60"/>
              <w:left w:type="dxa" w:w="80"/>
              <w:bottom w:type="dxa" w:w="60"/>
              <w:right w:type="dxa" w:w="80"/>
            </w:tcMar>
            <w:vAlign w:val="center"/>
          </w:tcPr>
          <w:p>
            <w:r>
              <w:rPr>
                <w:b w:val="false"/>
                <w:bCs w:val="false"/>
                <w:sz w:val="18"/>
                <w:szCs w:val="18"/>
              </w:rPr>
              <w:t xml:space="preserve">Vendor profiling, risk tiering, and ongoing oversight for both vendor tiers</w:t>
            </w:r>
          </w:p>
        </w:tc>
      </w:tr>
      <w:tr>
        <w:tc>
          <w:tcPr>
            <w:tcW w:type="dxa" w:w="2400"/>
            <w:shd w:fill="F2F2F2" w:val="clear"/>
            <w:tcMar>
              <w:top w:type="dxa" w:w="60"/>
              <w:left w:type="dxa" w:w="80"/>
              <w:bottom w:type="dxa" w:w="60"/>
              <w:right w:type="dxa" w:w="80"/>
            </w:tcMar>
            <w:vAlign w:val="center"/>
          </w:tcPr>
          <w:p>
            <w:r>
              <w:rPr>
                <w:b w:val="false"/>
                <w:bCs w:val="false"/>
                <w:sz w:val="18"/>
                <w:szCs w:val="18"/>
              </w:rPr>
              <w:t xml:space="preserve">A.6 Access Control</w:t>
            </w:r>
          </w:p>
        </w:tc>
        <w:tc>
          <w:tcPr>
            <w:tcW w:type="dxa" w:w="2900"/>
            <w:shd w:fill="F2F2F2" w:val="clear"/>
            <w:tcMar>
              <w:top w:type="dxa" w:w="60"/>
              <w:left w:type="dxa" w:w="80"/>
              <w:bottom w:type="dxa" w:w="60"/>
              <w:right w:type="dxa" w:w="80"/>
            </w:tcMar>
            <w:vAlign w:val="center"/>
          </w:tcPr>
          <w:p>
            <w:r>
              <w:rPr>
                <w:b w:val="false"/>
                <w:bCs w:val="false"/>
                <w:sz w:val="18"/>
                <w:szCs w:val="18"/>
              </w:rPr>
              <w:t xml:space="preserve">Access Control Register, Outsourced Resource Register</w:t>
            </w:r>
          </w:p>
        </w:tc>
        <w:tc>
          <w:tcPr>
            <w:tcW w:type="dxa" w:w="4780"/>
            <w:shd w:fill="F2F2F2" w:val="clear"/>
            <w:tcMar>
              <w:top w:type="dxa" w:w="60"/>
              <w:left w:type="dxa" w:w="80"/>
              <w:bottom w:type="dxa" w:w="60"/>
              <w:right w:type="dxa" w:w="80"/>
            </w:tcMar>
            <w:vAlign w:val="center"/>
          </w:tcPr>
          <w:p>
            <w:r>
              <w:rPr>
                <w:b w:val="false"/>
                <w:bCs w:val="false"/>
                <w:sz w:val="18"/>
                <w:szCs w:val="18"/>
              </w:rPr>
              <w:t xml:space="preserve">Role-based access, MFA enforcement, quarterly reviews of vendor staff access</w:t>
            </w:r>
          </w:p>
        </w:tc>
      </w:tr>
      <w:tr>
        <w:tc>
          <w:tcPr>
            <w:tcW w:type="dxa" w:w="2400"/>
            <w:shd w:fill="FFFFFF" w:val="clear"/>
            <w:tcMar>
              <w:top w:type="dxa" w:w="60"/>
              <w:left w:type="dxa" w:w="80"/>
              <w:bottom w:type="dxa" w:w="60"/>
              <w:right w:type="dxa" w:w="80"/>
            </w:tcMar>
            <w:vAlign w:val="center"/>
          </w:tcPr>
          <w:p>
            <w:r>
              <w:rPr>
                <w:b w:val="false"/>
                <w:bCs w:val="false"/>
                <w:sz w:val="18"/>
                <w:szCs w:val="18"/>
              </w:rPr>
              <w:t xml:space="preserve">A.7 Human Resource Security</w:t>
            </w:r>
          </w:p>
        </w:tc>
        <w:tc>
          <w:tcPr>
            <w:tcW w:type="dxa" w:w="2900"/>
            <w:shd w:fill="FFFFFF" w:val="clear"/>
            <w:tcMar>
              <w:top w:type="dxa" w:w="60"/>
              <w:left w:type="dxa" w:w="80"/>
              <w:bottom w:type="dxa" w:w="60"/>
              <w:right w:type="dxa" w:w="80"/>
            </w:tcMar>
            <w:vAlign w:val="center"/>
          </w:tcPr>
          <w:p>
            <w:r>
              <w:rPr>
                <w:b w:val="false"/>
                <w:bCs w:val="false"/>
                <w:sz w:val="18"/>
                <w:szCs w:val="18"/>
              </w:rPr>
              <w:t xml:space="preserve">Due Diligence Register, Training Register</w:t>
            </w:r>
          </w:p>
        </w:tc>
        <w:tc>
          <w:tcPr>
            <w:tcW w:type="dxa" w:w="4780"/>
            <w:shd w:fill="FFFFFF" w:val="clear"/>
            <w:tcMar>
              <w:top w:type="dxa" w:w="60"/>
              <w:left w:type="dxa" w:w="80"/>
              <w:bottom w:type="dxa" w:w="60"/>
              <w:right w:type="dxa" w:w="80"/>
            </w:tcMar>
            <w:vAlign w:val="center"/>
          </w:tcPr>
          <w:p>
            <w:r>
              <w:rPr>
                <w:b w:val="false"/>
                <w:bCs w:val="false"/>
                <w:sz w:val="18"/>
                <w:szCs w:val="18"/>
              </w:rPr>
              <w:t xml:space="preserve">Background checks, onboarding, security/regulatory training, exit procedures</w:t>
            </w:r>
          </w:p>
        </w:tc>
      </w:tr>
      <w:tr>
        <w:tc>
          <w:tcPr>
            <w:tcW w:type="dxa" w:w="2400"/>
            <w:shd w:fill="F2F2F2" w:val="clear"/>
            <w:tcMar>
              <w:top w:type="dxa" w:w="60"/>
              <w:left w:type="dxa" w:w="80"/>
              <w:bottom w:type="dxa" w:w="60"/>
              <w:right w:type="dxa" w:w="80"/>
            </w:tcMar>
            <w:vAlign w:val="center"/>
          </w:tcPr>
          <w:p>
            <w:r>
              <w:rPr>
                <w:b w:val="false"/>
                <w:bCs w:val="false"/>
                <w:sz w:val="18"/>
                <w:szCs w:val="18"/>
              </w:rPr>
              <w:t xml:space="preserve">A.8 Incident Management</w:t>
            </w:r>
          </w:p>
        </w:tc>
        <w:tc>
          <w:tcPr>
            <w:tcW w:type="dxa" w:w="2900"/>
            <w:shd w:fill="F2F2F2" w:val="clear"/>
            <w:tcMar>
              <w:top w:type="dxa" w:w="60"/>
              <w:left w:type="dxa" w:w="80"/>
              <w:bottom w:type="dxa" w:w="60"/>
              <w:right w:type="dxa" w:w="80"/>
            </w:tcMar>
            <w:vAlign w:val="center"/>
          </w:tcPr>
          <w:p>
            <w:r>
              <w:rPr>
                <w:b w:val="false"/>
                <w:bCs w:val="false"/>
                <w:sz w:val="18"/>
                <w:szCs w:val="18"/>
              </w:rPr>
              <w:t xml:space="preserve">Incident Register, Monitoring Register</w:t>
            </w:r>
          </w:p>
        </w:tc>
        <w:tc>
          <w:tcPr>
            <w:tcW w:type="dxa" w:w="4780"/>
            <w:shd w:fill="F2F2F2" w:val="clear"/>
            <w:tcMar>
              <w:top w:type="dxa" w:w="60"/>
              <w:left w:type="dxa" w:w="80"/>
              <w:bottom w:type="dxa" w:w="60"/>
              <w:right w:type="dxa" w:w="80"/>
            </w:tcMar>
            <w:vAlign w:val="center"/>
          </w:tcPr>
          <w:p>
            <w:r>
              <w:rPr>
                <w:b w:val="false"/>
                <w:bCs w:val="false"/>
                <w:sz w:val="18"/>
                <w:szCs w:val="18"/>
              </w:rPr>
              <w:t xml:space="preserve">Escalation paths, impact assessment, and lessons learned for human-related incidents</w:t>
            </w:r>
          </w:p>
        </w:tc>
      </w:tr>
      <w:tr>
        <w:tc>
          <w:tcPr>
            <w:tcW w:type="dxa" w:w="2400"/>
            <w:shd w:fill="FFFFFF" w:val="clear"/>
            <w:tcMar>
              <w:top w:type="dxa" w:w="60"/>
              <w:left w:type="dxa" w:w="80"/>
              <w:bottom w:type="dxa" w:w="60"/>
              <w:right w:type="dxa" w:w="80"/>
            </w:tcMar>
            <w:vAlign w:val="center"/>
          </w:tcPr>
          <w:p>
            <w:r>
              <w:rPr>
                <w:b w:val="false"/>
                <w:bCs w:val="false"/>
                <w:sz w:val="18"/>
                <w:szCs w:val="18"/>
              </w:rPr>
              <w:t xml:space="preserve">A.9 Operational Procedures</w:t>
            </w:r>
          </w:p>
        </w:tc>
        <w:tc>
          <w:tcPr>
            <w:tcW w:type="dxa" w:w="2900"/>
            <w:shd w:fill="FFFFFF" w:val="clear"/>
            <w:tcMar>
              <w:top w:type="dxa" w:w="60"/>
              <w:left w:type="dxa" w:w="80"/>
              <w:bottom w:type="dxa" w:w="60"/>
              <w:right w:type="dxa" w:w="80"/>
            </w:tcMar>
            <w:vAlign w:val="center"/>
          </w:tcPr>
          <w:p>
            <w:r>
              <w:rPr>
                <w:b w:val="false"/>
                <w:bCs w:val="false"/>
                <w:sz w:val="18"/>
                <w:szCs w:val="18"/>
              </w:rPr>
              <w:t xml:space="preserve">Monitoring Register, Exit Strategy Register</w:t>
            </w:r>
          </w:p>
        </w:tc>
        <w:tc>
          <w:tcPr>
            <w:tcW w:type="dxa" w:w="4780"/>
            <w:shd w:fill="FFFFFF" w:val="clear"/>
            <w:tcMar>
              <w:top w:type="dxa" w:w="60"/>
              <w:left w:type="dxa" w:w="80"/>
              <w:bottom w:type="dxa" w:w="60"/>
              <w:right w:type="dxa" w:w="80"/>
            </w:tcMar>
            <w:vAlign w:val="center"/>
          </w:tcPr>
          <w:p>
            <w:r>
              <w:rPr>
                <w:b w:val="false"/>
                <w:bCs w:val="false"/>
                <w:sz w:val="18"/>
                <w:szCs w:val="18"/>
              </w:rPr>
              <w:t xml:space="preserve">Continuous monitoring of access, incidents, training, and JML verification</w:t>
            </w:r>
          </w:p>
        </w:tc>
      </w:tr>
      <w:tr>
        <w:tc>
          <w:tcPr>
            <w:tcW w:type="dxa" w:w="2400"/>
            <w:shd w:fill="F2F2F2" w:val="clear"/>
            <w:tcMar>
              <w:top w:type="dxa" w:w="60"/>
              <w:left w:type="dxa" w:w="80"/>
              <w:bottom w:type="dxa" w:w="60"/>
              <w:right w:type="dxa" w:w="80"/>
            </w:tcMar>
            <w:vAlign w:val="center"/>
          </w:tcPr>
          <w:p>
            <w:r>
              <w:rPr>
                <w:b w:val="false"/>
                <w:bCs w:val="false"/>
                <w:sz w:val="18"/>
                <w:szCs w:val="18"/>
              </w:rPr>
              <w:t xml:space="preserve">A.12 Cryptography &amp; Data Protection</w:t>
            </w:r>
          </w:p>
        </w:tc>
        <w:tc>
          <w:tcPr>
            <w:tcW w:type="dxa" w:w="2900"/>
            <w:shd w:fill="F2F2F2" w:val="clear"/>
            <w:tcMar>
              <w:top w:type="dxa" w:w="60"/>
              <w:left w:type="dxa" w:w="80"/>
              <w:bottom w:type="dxa" w:w="60"/>
              <w:right w:type="dxa" w:w="80"/>
            </w:tcMar>
            <w:vAlign w:val="center"/>
          </w:tcPr>
          <w:p>
            <w:r>
              <w:rPr>
                <w:b w:val="false"/>
                <w:bCs w:val="false"/>
                <w:sz w:val="18"/>
                <w:szCs w:val="18"/>
              </w:rPr>
              <w:t xml:space="preserve">Exit Strategy Register, Access Control Register</w:t>
            </w:r>
          </w:p>
        </w:tc>
        <w:tc>
          <w:tcPr>
            <w:tcW w:type="dxa" w:w="4780"/>
            <w:shd w:fill="F2F2F2" w:val="clear"/>
            <w:tcMar>
              <w:top w:type="dxa" w:w="60"/>
              <w:left w:type="dxa" w:w="80"/>
              <w:bottom w:type="dxa" w:w="60"/>
              <w:right w:type="dxa" w:w="80"/>
            </w:tcMar>
            <w:vAlign w:val="center"/>
          </w:tcPr>
          <w:p>
            <w:r>
              <w:rPr>
                <w:b w:val="false"/>
                <w:bCs w:val="false"/>
                <w:sz w:val="18"/>
                <w:szCs w:val="18"/>
              </w:rPr>
              <w:t xml:space="preserve">Sensitive data retrieved, returned, or securely deleted upon vendor exit</w:t>
            </w:r>
          </w:p>
        </w:tc>
      </w:tr>
      <w:tr>
        <w:tc>
          <w:tcPr>
            <w:tcW w:type="dxa" w:w="2400"/>
            <w:shd w:fill="FFFFFF" w:val="clear"/>
            <w:tcMar>
              <w:top w:type="dxa" w:w="60"/>
              <w:left w:type="dxa" w:w="80"/>
              <w:bottom w:type="dxa" w:w="60"/>
              <w:right w:type="dxa" w:w="80"/>
            </w:tcMar>
            <w:vAlign w:val="center"/>
          </w:tcPr>
          <w:p>
            <w:r>
              <w:rPr>
                <w:b w:val="false"/>
                <w:bCs w:val="false"/>
                <w:sz w:val="18"/>
                <w:szCs w:val="18"/>
              </w:rPr>
              <w:t xml:space="preserve">A.18 Compliance</w:t>
            </w:r>
          </w:p>
        </w:tc>
        <w:tc>
          <w:tcPr>
            <w:tcW w:type="dxa" w:w="2900"/>
            <w:shd w:fill="FFFFFF" w:val="clear"/>
            <w:tcMar>
              <w:top w:type="dxa" w:w="60"/>
              <w:left w:type="dxa" w:w="80"/>
              <w:bottom w:type="dxa" w:w="60"/>
              <w:right w:type="dxa" w:w="80"/>
            </w:tcMar>
            <w:vAlign w:val="center"/>
          </w:tcPr>
          <w:p>
            <w:r>
              <w:rPr>
                <w:b w:val="false"/>
                <w:bCs w:val="false"/>
                <w:sz w:val="18"/>
                <w:szCs w:val="18"/>
              </w:rPr>
              <w:t xml:space="preserve">Due Diligence Register, Vendor Risk Register, DORA Mapping</w:t>
            </w:r>
          </w:p>
        </w:tc>
        <w:tc>
          <w:tcPr>
            <w:tcW w:type="dxa" w:w="4780"/>
            <w:shd w:fill="FFFFFF" w:val="clear"/>
            <w:tcMar>
              <w:top w:type="dxa" w:w="60"/>
              <w:left w:type="dxa" w:w="80"/>
              <w:bottom w:type="dxa" w:w="60"/>
              <w:right w:type="dxa" w:w="80"/>
            </w:tcMar>
            <w:vAlign w:val="center"/>
          </w:tcPr>
          <w:p>
            <w:r>
              <w:rPr>
                <w:b w:val="false"/>
                <w:bCs w:val="false"/>
                <w:sz w:val="18"/>
                <w:szCs w:val="18"/>
              </w:rPr>
              <w:t xml:space="preserve">Demonstrates regulatory alignment and audit readiness for outsourced human resources</w:t>
            </w:r>
          </w:p>
        </w:tc>
      </w:tr>
    </w:tbl>
    <w:p>
      <w:r>
        <w:br w:type="page"/>
      </w:r>
    </w:p>
    <w:p>
      <w:pPr>
        <w:pStyle w:val="Heading1"/>
        <w:spacing w:after="160" w:before="300"/>
      </w:pPr>
      <w:r>
        <w:t xml:space="preserve">10. Key Findings &amp; Gaps Identified</w:t>
      </w:r>
    </w:p>
    <w:p>
      <w:pPr>
        <w:spacing w:after="160"/>
      </w:pPr>
      <w:r>
        <w:rPr>
          <w:b w:val="false"/>
          <w:bCs w:val="false"/>
          <w:i w:val="false"/>
          <w:iCs w:val="false"/>
          <w:sz w:val="22"/>
          <w:szCs w:val="22"/>
        </w:rPr>
        <w:t xml:space="preserve">A first-pass TPRM assessment realistically surfaces open gaps rather than a fully clean bill of health. The Due Diligence Register identified four such gaps, each carried forward into the Vendor Risk Register as an owned, actioned item:</w:t>
      </w:r>
    </w:p>
    <w:p>
      <w:pPr>
        <w:pStyle w:val="ListParagraph"/>
        <w:numPr>
          <w:ilvl w:val="0"/>
          <w:numId w:val="1"/>
        </w:numPr>
        <w:spacing w:after="80"/>
      </w:pPr>
      <w:r>
        <w:t xml:space="preserve">No mandatory security training programme currently exists for vendor staff (Due Diligence: Gap)</w:t>
      </w:r>
    </w:p>
    <w:p>
      <w:pPr>
        <w:pStyle w:val="ListParagraph"/>
        <w:numPr>
          <w:ilvl w:val="0"/>
          <w:numId w:val="1"/>
        </w:numPr>
        <w:spacing w:after="80"/>
      </w:pPr>
      <w:r>
        <w:t xml:space="preserve">No defined SLA for access removal on exit — the single largest driver of insider-risk incidents observed (INC-01, INC-05, and underlying VR-02)</w:t>
      </w:r>
    </w:p>
    <w:p>
      <w:pPr>
        <w:pStyle w:val="ListParagraph"/>
        <w:numPr>
          <w:ilvl w:val="0"/>
          <w:numId w:val="1"/>
        </w:numPr>
        <w:spacing w:after="80"/>
      </w:pPr>
      <w:r>
        <w:t xml:space="preserve">Regulatory awareness of DORA/ISO 27001 obligations among vendor personnel is only partial</w:t>
      </w:r>
    </w:p>
    <w:p>
      <w:pPr>
        <w:pStyle w:val="ListParagraph"/>
        <w:numPr>
          <w:ilvl w:val="0"/>
          <w:numId w:val="1"/>
        </w:numPr>
        <w:spacing w:after="80"/>
      </w:pPr>
      <w:r>
        <w:t xml:space="preserve">No formal subcontracting-disclosure process exists, creating a blind spot against DORA Art. 30(2)(a)</w:t>
      </w:r>
    </w:p>
    <w:p>
      <w:pPr>
        <w:spacing w:after="160"/>
      </w:pPr>
      <w:r>
        <w:rPr>
          <w:b w:val="false"/>
          <w:bCs w:val="false"/>
          <w:i w:val="false"/>
          <w:iCs w:val="false"/>
          <w:sz w:val="22"/>
          <w:szCs w:val="22"/>
        </w:rPr>
        <w:t xml:space="preserve">None of these gaps is treated as closed by writing a policy about it — each has a named action, an owner, and a review cadence in the Vendor Risk Register (see Section 6.2, VR-02, VR-06).</w:t>
      </w:r>
    </w:p>
    <w:p>
      <w:r>
        <w:br w:type="page"/>
      </w:r>
    </w:p>
    <w:p>
      <w:pPr>
        <w:pStyle w:val="Heading1"/>
        <w:spacing w:after="160" w:before="300"/>
      </w:pPr>
      <w:r>
        <w:t xml:space="preserve">11. Results &amp; Impact</w:t>
      </w:r>
    </w:p>
    <w:p>
      <w:pPr>
        <w:spacing w:after="160"/>
      </w:pPr>
      <w:r>
        <w:rPr>
          <w:b w:val="false"/>
          <w:bCs w:val="false"/>
          <w:i w:val="false"/>
          <w:iCs w:val="false"/>
          <w:sz w:val="22"/>
          <w:szCs w:val="22"/>
        </w:rPr>
        <w:t xml:space="preserve">Applying this framework, the (simulated) organization is able to:</w:t>
      </w:r>
    </w:p>
    <w:p>
      <w:pPr>
        <w:pStyle w:val="ListParagraph"/>
        <w:numPr>
          <w:ilvl w:val="0"/>
          <w:numId w:val="1"/>
        </w:numPr>
        <w:spacing w:after="80"/>
      </w:pPr>
      <w:r>
        <w:t xml:space="preserve">Maintain documented visibility of every outsourced individual with system access, across two differently-scoped vendor engagements</w:t>
      </w:r>
    </w:p>
    <w:p>
      <w:pPr>
        <w:pStyle w:val="ListParagraph"/>
        <w:numPr>
          <w:ilvl w:val="0"/>
          <w:numId w:val="1"/>
        </w:numPr>
        <w:spacing w:after="80"/>
      </w:pPr>
      <w:r>
        <w:t xml:space="preserve">Reduce risk from excessive access, insider threat, and delayed offboarding through a defined JML process</w:t>
      </w:r>
    </w:p>
    <w:p>
      <w:pPr>
        <w:pStyle w:val="ListParagraph"/>
        <w:numPr>
          <w:ilvl w:val="0"/>
          <w:numId w:val="1"/>
        </w:numPr>
        <w:spacing w:after="80"/>
      </w:pPr>
      <w:r>
        <w:t xml:space="preserve">Apply consistent, auditable controls across joiners, movers, and leavers</w:t>
      </w:r>
    </w:p>
    <w:p>
      <w:pPr>
        <w:pStyle w:val="ListParagraph"/>
        <w:numPr>
          <w:ilvl w:val="0"/>
          <w:numId w:val="1"/>
        </w:numPr>
        <w:spacing w:after="80"/>
      </w:pPr>
      <w:r>
        <w:t xml:space="preserve">Evidence DORA Art. 28–30 compliance and ISO/IEC 27001 Annex A alignment with register-level, traceable proof rather than narrative claims</w:t>
      </w:r>
    </w:p>
    <w:p>
      <w:pPr>
        <w:pStyle w:val="ListParagraph"/>
        <w:numPr>
          <w:ilvl w:val="0"/>
          <w:numId w:val="1"/>
        </w:numPr>
        <w:spacing w:after="80"/>
      </w:pPr>
      <w:r>
        <w:t xml:space="preserve">Track open governance gaps explicitly, rather than assuming full maturity on day one</w:t>
      </w:r>
    </w:p>
    <w:p>
      <w:pPr>
        <w:pStyle w:val="Heading1"/>
        <w:spacing w:after="160" w:before="300"/>
      </w:pPr>
      <w:r>
        <w:t xml:space="preserve">12. Lessons Learned &amp; Recommendations</w:t>
      </w:r>
    </w:p>
    <w:p>
      <w:pPr>
        <w:pStyle w:val="ListParagraph"/>
        <w:numPr>
          <w:ilvl w:val="0"/>
          <w:numId w:val="1"/>
        </w:numPr>
        <w:spacing w:after="80"/>
      </w:pPr>
      <w:r>
        <w:t xml:space="preserve">Manual JML and offboarding tracking is the single weakest control observed — automating the Leaver trigger (linking contract-end dates to an access-revocation workflow) would close the largest open risk in the register (VR-02)</w:t>
      </w:r>
    </w:p>
    <w:p>
      <w:pPr>
        <w:pStyle w:val="ListParagraph"/>
        <w:numPr>
          <w:ilvl w:val="0"/>
          <w:numId w:val="1"/>
        </w:numPr>
        <w:spacing w:after="80"/>
      </w:pPr>
      <w:r>
        <w:t xml:space="preserve">Concentration risk under Art. 29 deserves a recurring, not one-time, review — single-vendor dependency for critical functions is precisely the scenario the article targets (VR-05)</w:t>
      </w:r>
    </w:p>
    <w:p>
      <w:pPr>
        <w:pStyle w:val="ListParagraph"/>
        <w:numPr>
          <w:ilvl w:val="0"/>
          <w:numId w:val="1"/>
        </w:numPr>
        <w:spacing w:after="80"/>
      </w:pPr>
      <w:r>
        <w:t xml:space="preserve">Subcontracting disclosure should be a standing contractual requirement, not a point-in-time due-diligence question (VR-06)</w:t>
      </w:r>
    </w:p>
    <w:p>
      <w:pPr>
        <w:pStyle w:val="ListParagraph"/>
        <w:numPr>
          <w:ilvl w:val="0"/>
          <w:numId w:val="1"/>
        </w:numPr>
        <w:spacing w:after="80"/>
      </w:pPr>
      <w:r>
        <w:t xml:space="preserve">Traceability between registers — incident → risk → monitoring → exit — is what makes the framework audit-ready, more than any individual register on its own</w:t>
      </w:r>
    </w:p>
    <w:p>
      <w:pPr>
        <w:pStyle w:val="ListParagraph"/>
        <w:numPr>
          <w:ilvl w:val="0"/>
          <w:numId w:val="1"/>
        </w:numPr>
        <w:spacing w:after="80"/>
      </w:pPr>
      <w:r>
        <w:t xml:space="preserve">Next iteration: extend the framework to a third vendor with a different jurisdiction (non-EU, no adequacy decision) to test data-transfer control mapping</w:t>
      </w:r>
    </w:p>
    <w:p>
      <w:r>
        <w:br w:type="page"/>
      </w:r>
    </w:p>
    <w:p>
      <w:pPr>
        <w:pStyle w:val="Heading1"/>
        <w:spacing w:after="160" w:before="300"/>
      </w:pPr>
      <w:r>
        <w:t xml:space="preserve">13. Conclusion</w:t>
      </w:r>
    </w:p>
    <w:p>
      <w:pPr>
        <w:spacing w:after="160"/>
      </w:pPr>
      <w:r>
        <w:rPr>
          <w:b w:val="false"/>
          <w:bCs w:val="false"/>
          <w:i w:val="false"/>
          <w:iCs w:val="false"/>
          <w:sz w:val="22"/>
          <w:szCs w:val="22"/>
        </w:rPr>
        <w:t xml:space="preserve">This project provides a practical, end-to-end framework for managing outsourced IT personnel risk in a financial organization. By integrating vendor oversight, access governance, training, incident management, monitoring, and exit strategies — and by mapping each artifact explicitly to DORA Articles 28–30 and ISO/IEC 27001 Annex A — it demonstrates the kind of evidence a real GRC/TPRM function would need to produce under audit.</w:t>
      </w:r>
    </w:p>
    <w:p>
      <w:pPr>
        <w:spacing w:after="160"/>
      </w:pPr>
      <w:r>
        <w:rPr>
          <w:b w:val="false"/>
          <w:bCs w:val="false"/>
          <w:i w:val="false"/>
          <w:iCs w:val="false"/>
          <w:sz w:val="22"/>
          <w:szCs w:val="22"/>
        </w:rPr>
        <w:t xml:space="preserve">Rather than presenting a fully resolved compliance picture, the framework deliberately surfaces open risks and gaps — reflecting how a first-pass third-party risk assessment actually looks in practice, and how it would be tracked toward closure over time.</w:t>
      </w:r>
    </w:p>
    <w:p>
      <w:pPr>
        <w:pStyle w:val="Heading2"/>
        <w:spacing w:after="120" w:before="240"/>
      </w:pPr>
      <w:r>
        <w:t xml:space="preserve">GitHub Portfolio Description</w:t>
      </w:r>
    </w:p>
    <w:p>
      <w:pPr>
        <w:spacing w:after="160"/>
      </w:pPr>
      <w:r>
        <w:rPr>
          <w:b w:val="false"/>
          <w:bCs w:val="false"/>
          <w:i/>
          <w:iCs/>
          <w:sz w:val="22"/>
          <w:szCs w:val="22"/>
        </w:rPr>
        <w:t xml:space="preserve">Third-Party Risk Management (TPRM) project demonstrating DORA (Articles 28–30) and ISO/IEC 27001 Annex A compliance for outsourced IT contractors — including vendor risk assessment, access governance, due diligence, incident management, monitoring, JML processes, and exit-strategy planning across two differently-scoped vendor engagements.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DORA TPRM Framework — Outsourced IT Contractors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300"/>
    </w:pPr>
    <w:rPr>
      <w:rFonts w:ascii="Calibri" w:cs="Calibri" w:eastAsia="Calibri" w:hAnsi="Calibri"/>
      <w:b/>
      <w:bCs/>
      <w:color w:val="1F4E79"/>
      <w:sz w:val="32"/>
      <w:szCs w:val="32"/>
    </w:rPr>
  </w:style>
  <w:style w:type="paragraph" w:styleId="Heading2">
    <w:name w:val="Heading 2"/>
    <w:basedOn w:val="Normal"/>
    <w:next w:val="Normal"/>
    <w:qFormat/>
    <w:pPr>
      <w:spacing w:after="120" w:before="240"/>
    </w:pPr>
    <w:rPr>
      <w:rFonts w:ascii="Calibri" w:cs="Calibri" w:eastAsia="Calibri" w:hAnsi="Calibri"/>
      <w:b/>
      <w:bCs/>
      <w:color w:val="2E6DA4"/>
      <w:sz w:val="26"/>
      <w:szCs w:val="26"/>
    </w:rPr>
  </w:style>
  <w:style w:type="paragraph" w:styleId="Heading3">
    <w:name w:val="Heading 3"/>
    <w:basedOn w:val="Normal"/>
    <w:next w:val="Normal"/>
    <w:qFormat/>
    <w:pPr>
      <w:spacing w:after="100" w:before="180"/>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f523e46e7859af19ae103aacf122a813a84e1e.png"/><Relationship Id="rId10" Type="http://schemas.openxmlformats.org/officeDocument/2006/relationships/image" Target="media/27a09d734b7ddb65d3d70d0c6971b94e40cb8a4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2026-07-25T14:55:55.365Z</dcterms:created>
  <dcterms:modified xsi:type="dcterms:W3CDTF">2026-07-25T14:55:55.365Z</dcterms:modified>
</cp:coreProperties>
</file>

<file path=docProps/custom.xml><?xml version="1.0" encoding="utf-8"?>
<Properties xmlns="http://schemas.openxmlformats.org/officeDocument/2006/custom-properties" xmlns:vt="http://schemas.openxmlformats.org/officeDocument/2006/docPropsVTypes"/>
</file>