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venir" w:cs="Avenir" w:eastAsia="Avenir" w:hAnsi="Avenir"/>
        </w:rPr>
      </w:pPr>
      <w:r w:rsidDel="00000000" w:rsidR="00000000" w:rsidRPr="00000000">
        <w:rPr>
          <w:rtl w:val="0"/>
        </w:rPr>
      </w:r>
    </w:p>
    <w:p w:rsidR="00000000" w:rsidDel="00000000" w:rsidP="00000000" w:rsidRDefault="00000000" w:rsidRPr="00000000" w14:paraId="00000002">
      <w:pPr>
        <w:rPr>
          <w:rFonts w:ascii="Avenir" w:cs="Avenir" w:eastAsia="Avenir" w:hAnsi="Avenir"/>
        </w:rPr>
      </w:pPr>
      <w:r w:rsidDel="00000000" w:rsidR="00000000" w:rsidRPr="00000000">
        <w:rPr>
          <w:rtl w:val="0"/>
        </w:rPr>
      </w:r>
    </w:p>
    <w:p w:rsidR="00000000" w:rsidDel="00000000" w:rsidP="00000000" w:rsidRDefault="00000000" w:rsidRPr="00000000" w14:paraId="00000003">
      <w:pPr>
        <w:rPr>
          <w:rFonts w:ascii="Avenir" w:cs="Avenir" w:eastAsia="Avenir" w:hAnsi="Avenir"/>
        </w:rPr>
      </w:pPr>
      <w:r w:rsidDel="00000000" w:rsidR="00000000" w:rsidRPr="00000000">
        <w:rPr>
          <w:rtl w:val="0"/>
        </w:rPr>
      </w:r>
    </w:p>
    <w:p w:rsidR="00000000" w:rsidDel="00000000" w:rsidP="00000000" w:rsidRDefault="00000000" w:rsidRPr="00000000" w14:paraId="00000004">
      <w:pPr>
        <w:rPr>
          <w:rFonts w:ascii="Avenir" w:cs="Avenir" w:eastAsia="Avenir" w:hAnsi="Avenir"/>
        </w:rPr>
      </w:pPr>
      <w:r w:rsidDel="00000000" w:rsidR="00000000" w:rsidRPr="00000000">
        <w:rPr>
          <w:rtl w:val="0"/>
        </w:rPr>
      </w:r>
    </w:p>
    <w:p w:rsidR="00000000" w:rsidDel="00000000" w:rsidP="00000000" w:rsidRDefault="00000000" w:rsidRPr="00000000" w14:paraId="00000005">
      <w:pPr>
        <w:rPr>
          <w:rFonts w:ascii="Avenir" w:cs="Avenir" w:eastAsia="Avenir" w:hAnsi="Avenir"/>
        </w:rPr>
      </w:pPr>
      <w:r w:rsidDel="00000000" w:rsidR="00000000" w:rsidRPr="00000000">
        <w:rPr>
          <w:rtl w:val="0"/>
        </w:rPr>
      </w:r>
    </w:p>
    <w:p w:rsidR="00000000" w:rsidDel="00000000" w:rsidP="00000000" w:rsidRDefault="00000000" w:rsidRPr="00000000" w14:paraId="00000006">
      <w:pPr>
        <w:rPr>
          <w:rFonts w:ascii="Avenir" w:cs="Avenir" w:eastAsia="Avenir" w:hAnsi="Avenir"/>
        </w:rPr>
      </w:pPr>
      <w:r w:rsidDel="00000000" w:rsidR="00000000" w:rsidRPr="00000000">
        <w:rPr>
          <w:rtl w:val="0"/>
        </w:rPr>
      </w:r>
    </w:p>
    <w:p w:rsidR="00000000" w:rsidDel="00000000" w:rsidP="00000000" w:rsidRDefault="00000000" w:rsidRPr="00000000" w14:paraId="00000007">
      <w:pPr>
        <w:rPr>
          <w:rFonts w:ascii="Avenir" w:cs="Avenir" w:eastAsia="Avenir" w:hAnsi="Avenir"/>
        </w:rPr>
      </w:pPr>
      <w:r w:rsidDel="00000000" w:rsidR="00000000" w:rsidRPr="00000000">
        <w:rPr>
          <w:rtl w:val="0"/>
        </w:rPr>
      </w:r>
    </w:p>
    <w:p w:rsidR="00000000" w:rsidDel="00000000" w:rsidP="00000000" w:rsidRDefault="00000000" w:rsidRPr="00000000" w14:paraId="00000008">
      <w:pPr>
        <w:rPr>
          <w:rFonts w:ascii="Avenir" w:cs="Avenir" w:eastAsia="Avenir" w:hAnsi="Avenir"/>
        </w:rPr>
      </w:pPr>
      <w:r w:rsidDel="00000000" w:rsidR="00000000" w:rsidRPr="00000000">
        <w:rPr>
          <w:rtl w:val="0"/>
        </w:rPr>
      </w:r>
    </w:p>
    <w:p w:rsidR="00000000" w:rsidDel="00000000" w:rsidP="00000000" w:rsidRDefault="00000000" w:rsidRPr="00000000" w14:paraId="00000009">
      <w:pPr>
        <w:rPr>
          <w:rFonts w:ascii="Avenir" w:cs="Avenir" w:eastAsia="Avenir" w:hAnsi="Avenir"/>
        </w:rPr>
      </w:pPr>
      <w:r w:rsidDel="00000000" w:rsidR="00000000" w:rsidRPr="00000000">
        <w:rPr>
          <w:rtl w:val="0"/>
        </w:rPr>
      </w:r>
    </w:p>
    <w:p w:rsidR="00000000" w:rsidDel="00000000" w:rsidP="00000000" w:rsidRDefault="00000000" w:rsidRPr="00000000" w14:paraId="0000000A">
      <w:pPr>
        <w:rPr>
          <w:rFonts w:ascii="Avenir" w:cs="Avenir" w:eastAsia="Avenir" w:hAnsi="Avenir"/>
        </w:rPr>
      </w:pPr>
      <w:r w:rsidDel="00000000" w:rsidR="00000000" w:rsidRPr="00000000">
        <w:rPr>
          <w:rtl w:val="0"/>
        </w:rPr>
      </w:r>
    </w:p>
    <w:p w:rsidR="00000000" w:rsidDel="00000000" w:rsidP="00000000" w:rsidRDefault="00000000" w:rsidRPr="00000000" w14:paraId="0000000B">
      <w:pPr>
        <w:rPr>
          <w:rFonts w:ascii="Avenir" w:cs="Avenir" w:eastAsia="Avenir" w:hAnsi="Avenir"/>
        </w:rPr>
      </w:pPr>
      <w:r w:rsidDel="00000000" w:rsidR="00000000" w:rsidRPr="00000000">
        <w:rPr>
          <w:rtl w:val="0"/>
        </w:rPr>
      </w:r>
    </w:p>
    <w:p w:rsidR="00000000" w:rsidDel="00000000" w:rsidP="00000000" w:rsidRDefault="00000000" w:rsidRPr="00000000" w14:paraId="0000000C">
      <w:pPr>
        <w:rPr>
          <w:rFonts w:ascii="Avenir" w:cs="Avenir" w:eastAsia="Avenir" w:hAnsi="Avenir"/>
        </w:rPr>
      </w:pPr>
      <w:r w:rsidDel="00000000" w:rsidR="00000000" w:rsidRPr="00000000">
        <w:rPr>
          <w:rtl w:val="0"/>
        </w:rPr>
      </w:r>
    </w:p>
    <w:p w:rsidR="00000000" w:rsidDel="00000000" w:rsidP="00000000" w:rsidRDefault="00000000" w:rsidRPr="00000000" w14:paraId="0000000D">
      <w:pPr>
        <w:rPr>
          <w:rFonts w:ascii="Avenir" w:cs="Avenir" w:eastAsia="Avenir" w:hAnsi="Avenir"/>
        </w:rPr>
      </w:pPr>
      <w:r w:rsidDel="00000000" w:rsidR="00000000" w:rsidRPr="00000000">
        <w:rPr>
          <w:rtl w:val="0"/>
        </w:rPr>
      </w:r>
    </w:p>
    <w:p w:rsidR="00000000" w:rsidDel="00000000" w:rsidP="00000000" w:rsidRDefault="00000000" w:rsidRPr="00000000" w14:paraId="0000000E">
      <w:pPr>
        <w:rPr>
          <w:rFonts w:ascii="Avenir" w:cs="Avenir" w:eastAsia="Avenir" w:hAnsi="Avenir"/>
        </w:rPr>
      </w:pPr>
      <w:r w:rsidDel="00000000" w:rsidR="00000000" w:rsidRPr="00000000">
        <w:rPr>
          <w:rtl w:val="0"/>
        </w:rPr>
      </w:r>
    </w:p>
    <w:p w:rsidR="00000000" w:rsidDel="00000000" w:rsidP="00000000" w:rsidRDefault="00000000" w:rsidRPr="00000000" w14:paraId="0000000F">
      <w:pPr>
        <w:rPr>
          <w:rFonts w:ascii="Avenir" w:cs="Avenir" w:eastAsia="Avenir" w:hAnsi="Aveni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Avenir" w:cs="Avenir" w:eastAsia="Avenir" w:hAnsi="Avenir"/>
        </w:rPr>
      </w:pPr>
      <w:r w:rsidDel="00000000" w:rsidR="00000000" w:rsidRPr="00000000">
        <w:rPr>
          <w:rtl w:val="0"/>
        </w:rPr>
      </w:r>
    </w:p>
    <w:p w:rsidR="00000000" w:rsidDel="00000000" w:rsidP="00000000" w:rsidRDefault="00000000" w:rsidRPr="00000000" w14:paraId="00000023">
      <w:pPr>
        <w:rPr>
          <w:rFonts w:ascii="Avenir" w:cs="Avenir" w:eastAsia="Avenir" w:hAnsi="Avenir"/>
        </w:rPr>
      </w:pPr>
      <w:r w:rsidDel="00000000" w:rsidR="00000000" w:rsidRPr="00000000">
        <w:rPr>
          <w:rtl w:val="0"/>
        </w:rPr>
      </w:r>
    </w:p>
    <w:p w:rsidR="00000000" w:rsidDel="00000000" w:rsidP="00000000" w:rsidRDefault="00000000" w:rsidRPr="00000000" w14:paraId="00000024">
      <w:pPr>
        <w:rPr>
          <w:rFonts w:ascii="Avenir" w:cs="Avenir" w:eastAsia="Avenir" w:hAnsi="Avenir"/>
        </w:rPr>
      </w:pPr>
      <w:r w:rsidDel="00000000" w:rsidR="00000000" w:rsidRPr="00000000">
        <w:rPr>
          <w:rtl w:val="0"/>
        </w:rPr>
      </w:r>
    </w:p>
    <w:p w:rsidR="00000000" w:rsidDel="00000000" w:rsidP="00000000" w:rsidRDefault="00000000" w:rsidRPr="00000000" w14:paraId="00000025">
      <w:pPr>
        <w:rPr>
          <w:rFonts w:ascii="Avenir" w:cs="Avenir" w:eastAsia="Avenir" w:hAnsi="Avenir"/>
        </w:rPr>
      </w:pPr>
      <w:r w:rsidDel="00000000" w:rsidR="00000000" w:rsidRPr="00000000">
        <w:rPr>
          <w:rtl w:val="0"/>
        </w:rPr>
      </w:r>
    </w:p>
    <w:p w:rsidR="00000000" w:rsidDel="00000000" w:rsidP="00000000" w:rsidRDefault="00000000" w:rsidRPr="00000000" w14:paraId="00000026">
      <w:pPr>
        <w:rPr>
          <w:rFonts w:ascii="Avenir" w:cs="Avenir" w:eastAsia="Avenir" w:hAnsi="Avenir"/>
        </w:rPr>
      </w:pPr>
      <w:r w:rsidDel="00000000" w:rsidR="00000000" w:rsidRPr="00000000">
        <w:rPr>
          <w:rtl w:val="0"/>
        </w:rPr>
      </w:r>
    </w:p>
    <w:p w:rsidR="00000000" w:rsidDel="00000000" w:rsidP="00000000" w:rsidRDefault="00000000" w:rsidRPr="00000000" w14:paraId="00000027">
      <w:pPr>
        <w:rPr>
          <w:rFonts w:ascii="Avenir" w:cs="Avenir" w:eastAsia="Avenir" w:hAnsi="Avenir"/>
        </w:rPr>
      </w:pPr>
      <w:r w:rsidDel="00000000" w:rsidR="00000000" w:rsidRPr="00000000">
        <w:rPr>
          <w:rtl w:val="0"/>
        </w:rPr>
      </w:r>
    </w:p>
    <w:p w:rsidR="00000000" w:rsidDel="00000000" w:rsidP="00000000" w:rsidRDefault="00000000" w:rsidRPr="00000000" w14:paraId="00000028">
      <w:pPr>
        <w:rPr>
          <w:rFonts w:ascii="Avenir" w:cs="Avenir" w:eastAsia="Avenir" w:hAnsi="Avenir"/>
        </w:rPr>
      </w:pPr>
      <w:r w:rsidDel="00000000" w:rsidR="00000000" w:rsidRPr="00000000">
        <w:rPr>
          <w:rtl w:val="0"/>
        </w:rPr>
      </w:r>
    </w:p>
    <w:p w:rsidR="00000000" w:rsidDel="00000000" w:rsidP="00000000" w:rsidRDefault="00000000" w:rsidRPr="00000000" w14:paraId="00000029">
      <w:pPr>
        <w:rPr>
          <w:rFonts w:ascii="Avenir" w:cs="Avenir" w:eastAsia="Avenir" w:hAnsi="Avenir"/>
        </w:rPr>
      </w:pPr>
      <w:r w:rsidDel="00000000" w:rsidR="00000000" w:rsidRPr="00000000">
        <w:rPr>
          <w:rtl w:val="0"/>
        </w:rPr>
      </w:r>
    </w:p>
    <w:p w:rsidR="00000000" w:rsidDel="00000000" w:rsidP="00000000" w:rsidRDefault="00000000" w:rsidRPr="00000000" w14:paraId="0000002A">
      <w:pPr>
        <w:rPr>
          <w:rFonts w:ascii="Avenir" w:cs="Avenir" w:eastAsia="Avenir" w:hAnsi="Avenir"/>
        </w:rPr>
      </w:pPr>
      <w:r w:rsidDel="00000000" w:rsidR="00000000" w:rsidRPr="00000000">
        <w:rPr>
          <w:rtl w:val="0"/>
        </w:rPr>
      </w:r>
    </w:p>
    <w:p w:rsidR="00000000" w:rsidDel="00000000" w:rsidP="00000000" w:rsidRDefault="00000000" w:rsidRPr="00000000" w14:paraId="0000002B">
      <w:pPr>
        <w:rPr>
          <w:rFonts w:ascii="Avenir" w:cs="Avenir" w:eastAsia="Avenir" w:hAnsi="Avenir"/>
        </w:rPr>
      </w:pPr>
      <w:r w:rsidDel="00000000" w:rsidR="00000000" w:rsidRPr="00000000">
        <w:rPr>
          <w:rtl w:val="0"/>
        </w:rPr>
      </w:r>
    </w:p>
    <w:p w:rsidR="00000000" w:rsidDel="00000000" w:rsidP="00000000" w:rsidRDefault="00000000" w:rsidRPr="00000000" w14:paraId="0000002C">
      <w:pPr>
        <w:rPr>
          <w:rFonts w:ascii="Avenir" w:cs="Avenir" w:eastAsia="Avenir" w:hAnsi="Avenir"/>
        </w:rPr>
      </w:pPr>
      <w:r w:rsidDel="00000000" w:rsidR="00000000" w:rsidRPr="00000000">
        <w:rPr>
          <w:rtl w:val="0"/>
        </w:rPr>
      </w:r>
    </w:p>
    <w:p w:rsidR="00000000" w:rsidDel="00000000" w:rsidP="00000000" w:rsidRDefault="00000000" w:rsidRPr="00000000" w14:paraId="0000002D">
      <w:pPr>
        <w:rPr>
          <w:rFonts w:ascii="Avenir" w:cs="Avenir" w:eastAsia="Avenir" w:hAnsi="Avenir"/>
        </w:rPr>
      </w:pPr>
      <w:r w:rsidDel="00000000" w:rsidR="00000000" w:rsidRPr="00000000">
        <w:rPr>
          <w:rtl w:val="0"/>
        </w:rPr>
      </w:r>
    </w:p>
    <w:p w:rsidR="00000000" w:rsidDel="00000000" w:rsidP="00000000" w:rsidRDefault="00000000" w:rsidRPr="00000000" w14:paraId="0000002E">
      <w:pPr>
        <w:rPr>
          <w:rFonts w:ascii="Avenir" w:cs="Avenir" w:eastAsia="Avenir" w:hAnsi="Avenir"/>
        </w:rPr>
      </w:pPr>
      <w:r w:rsidDel="00000000" w:rsidR="00000000" w:rsidRPr="00000000">
        <w:rPr>
          <w:rtl w:val="0"/>
        </w:rPr>
      </w:r>
    </w:p>
    <w:p w:rsidR="00000000" w:rsidDel="00000000" w:rsidP="00000000" w:rsidRDefault="00000000" w:rsidRPr="00000000" w14:paraId="0000002F">
      <w:pPr>
        <w:rPr>
          <w:rFonts w:ascii="Avenir" w:cs="Avenir" w:eastAsia="Avenir" w:hAnsi="Avenir"/>
        </w:rPr>
      </w:pPr>
      <w:r w:rsidDel="00000000" w:rsidR="00000000" w:rsidRPr="00000000">
        <w:rPr>
          <w:rtl w:val="0"/>
        </w:rPr>
      </w:r>
    </w:p>
    <w:p w:rsidR="00000000" w:rsidDel="00000000" w:rsidP="00000000" w:rsidRDefault="00000000" w:rsidRPr="00000000" w14:paraId="00000030">
      <w:pPr>
        <w:rPr>
          <w:rFonts w:ascii="Avenir" w:cs="Avenir" w:eastAsia="Avenir" w:hAnsi="Avenir"/>
        </w:rPr>
      </w:pPr>
      <w:r w:rsidDel="00000000" w:rsidR="00000000" w:rsidRPr="00000000">
        <w:rPr>
          <w:rtl w:val="0"/>
        </w:rPr>
      </w:r>
    </w:p>
    <w:p w:rsidR="00000000" w:rsidDel="00000000" w:rsidP="00000000" w:rsidRDefault="00000000" w:rsidRPr="00000000" w14:paraId="00000031">
      <w:pPr>
        <w:rPr>
          <w:rFonts w:ascii="Avenir" w:cs="Avenir" w:eastAsia="Avenir" w:hAnsi="Avenir"/>
        </w:rPr>
      </w:pPr>
      <w:r w:rsidDel="00000000" w:rsidR="00000000" w:rsidRPr="00000000">
        <w:rPr>
          <w:rtl w:val="0"/>
        </w:rPr>
      </w:r>
    </w:p>
    <w:p w:rsidR="00000000" w:rsidDel="00000000" w:rsidP="00000000" w:rsidRDefault="00000000" w:rsidRPr="00000000" w14:paraId="00000032">
      <w:pPr>
        <w:rPr>
          <w:rFonts w:ascii="Avenir" w:cs="Avenir" w:eastAsia="Avenir" w:hAnsi="Avenir"/>
        </w:rPr>
      </w:pPr>
      <w:r w:rsidDel="00000000" w:rsidR="00000000" w:rsidRPr="00000000">
        <w:rPr>
          <w:rtl w:val="0"/>
        </w:rPr>
      </w:r>
    </w:p>
    <w:p w:rsidR="00000000" w:rsidDel="00000000" w:rsidP="00000000" w:rsidRDefault="00000000" w:rsidRPr="00000000" w14:paraId="00000033">
      <w:pPr>
        <w:rPr>
          <w:rFonts w:ascii="Avenir" w:cs="Avenir" w:eastAsia="Avenir" w:hAnsi="Avenir"/>
        </w:rPr>
      </w:pPr>
      <w:r w:rsidDel="00000000" w:rsidR="00000000" w:rsidRPr="00000000">
        <w:rPr>
          <w:rtl w:val="0"/>
        </w:rPr>
      </w:r>
    </w:p>
    <w:p>
      <w:pPr>
        <w:pStyle w:val="Title"/>
        <w:jc w:val="center"/>
      </w:pPr>
      <w:r>
        <w:t>Autonomous AI Agents for Spacecraft GNC and AOCS Operations and Remote Sensing</w:t>
      </w:r>
    </w:p>
    <w:p>
      <w:pPr>
        <w:pStyle w:val="Heading1"/>
      </w:pPr>
      <w:r>
        <w:t>Abstract</w:t>
      </w:r>
    </w:p>
    <w:p>
      <w:r>
        <w:t>This research project focuses on the development of advanced autonomous AI agents to enhance spacecraft operations in Guidance, Navigation, and Control (GNC) as well as Attitude and Orbit Control Systems (AOCS) and remote sensing. The primary objective is to minimize human involvement in mission-critical tasks, such as orbit determination and control, signal processing, automated decision-making, maintenance, and scientific data analysis. By automating these tasks, the AI agents aim to reduce human error, enhance mission efficiency, and improve safety. Key technical challenges include ensuring the reliability of AI systems, developing effective decision-making models, and integrating these agents with existing spacecraft architectures. The project will employ a variety of algorithms, such as Kalman filters, probabilistic models, and machine learning, to handle decision-making under uncertain conditions. Communication protocols will be designed to ensure real-time and reliable communication, with mechanisms to mitigate propagation delays and signal weaknesses. Safety measures will be implemented to prevent the compromise of spacecraft or mission integrity, and the performance of AI agents will be rigorously evaluated and validated through simulations and real-world testing. The expected impacts of these AI-driven agents include reduced costs, enhanced precision, and the ability to undertake more complex and distant missions. Ethical and regulatory considerations, such as compliance with international space law and transparency, will also be addressed to ensure responsible and sustainable space exploration.</w:t>
      </w:r>
    </w:p>
    <w:p>
      <w:pPr>
        <w:pStyle w:val="Heading1"/>
      </w:pPr>
      <w:r>
        <w:t>Introduction: Originality of the Research Project</w:t>
      </w:r>
    </w:p>
    <w:p>
      <w:r>
        <w:t>## Introduction: Originality of the Research Project</w:t>
        <w:br/>
        <w:br/>
        <w:t>The development of autonomous AI agents for spacecraft Guidance, Navigation, and Control (GNC) as well as Attitude and Orbit Control Systems (AOCS) operations represents a significant leap forward in space exploration technology. Unlike traditional spacecraft systems, which rely heavily on pre-programmed algorithms and ground-based human intervention, our research project introduces a novel paradigm where AI-driven agents can autonomously manage and control spacecraft functions in real-time. This section delves into the unique aspects of these AI-driven agents, the current limitations in spacecraft automation, and the potential benefits and advancements that this research could bring to the space exploration industry.</w:t>
        <w:br/>
        <w:br/>
        <w:t>### Unique Aspects of AI-Driven Autonomous Agents in Spacecraft GNC and AOCS Operations</w:t>
        <w:br/>
        <w:br/>
        <w:t>The core innovation of this project lies in the integration of advanced AI algorithms that enable real-time decision-making under uncertainty. These algorithms, including Kalman filters, probabilistic models, and machine learning techniques, are specifically designed to handle the dynamic and often unpredictable nature of space environments. The AI agents can adapt to changing mission parameters, such as shifts in orbit or unexpected environmental conditions, without the need for constant human oversight. This adaptability is a significant step forward, as it allows for more robust and resilient spacecraft operations.</w:t>
        <w:br/>
        <w:br/>
        <w:t>Moreover, the AI agents are equipped with sophisticated communication protocols that ensure reliable and real-time interaction with spacecraft systems. These protocols are designed to mitigate issues such as signal propagation delays and signal weaknesses, which are common challenges in deep space missions. By addressing these communication barriers, the AI agents can maintain continuous and efficient control over spacecraft functions, even in remote or distant locations.</w:t>
        <w:br/>
        <w:br/>
        <w:t>### Current Limitations in Spacecraft Automation</w:t>
        <w:br/>
        <w:br/>
        <w:t>Despite the advancements in space technology, current spacecraft automation systems face several limitations that hinder mission efficiency and safety. One of the primary limitations is the reliance on ground-based human operators for critical decision-making. This dependency introduces delays and potential errors, as human operators must analyze data, make decisions, and send commands to the spacecraft. Such a process is not only time-consuming but also susceptible to human error, which can have severe consequences for mission success.</w:t>
        <w:br/>
        <w:br/>
        <w:t>Another significant limitation is the inability of current systems to adapt to unexpected situations. Traditional spacecraft systems are typically pre-programmed for specific scenarios, and any deviation from these scenarios can lead to suboptimal performance or even mission failure. For example, if a spacecraft encounters an unexpected meteoroid or experiences a system failure, the current automation systems may not have the capability to respond effectively without human intervention.</w:t>
        <w:br/>
        <w:br/>
        <w:t>### Potential Benefits and Advancements</w:t>
        <w:br/>
        <w:br/>
        <w:t>The development of autonomous AI agents for spacecraft GNC and AOCS operations promises to address these limitations and bring about several key benefits and advancements. Firstly, the reduction in human involvement in mission-critical tasks will minimize human error and improve the overall safety of space missions. By automating tasks such as orbit determination and control, signal processing, and automated decision-making, the AI agents can perform these functions with greater precision and reliability.</w:t>
        <w:br/>
        <w:br/>
        <w:t>Secondly, the enhanced decision-making capabilities of AI agents will enable more efficient and cost-effective missions. Real-time decision-making under uncertainty will allow spacecraft to optimize their trajectories, reduce fuel consumption, and extend mission durations. This efficiency can lead to significant cost savings and the ability to undertake more complex and distant missions.</w:t>
        <w:br/>
        <w:br/>
        <w:t>Thirdly, the integration of AI agents with existing spacecraft architectures will pave the way for more sophisticated and versatile space missions. The ability to autonomously manage and control spacecraft functions will open up new possibilities for scientific research, exploration, and commercial applications. For instance, autonomous AI agents can support more detailed and comprehensive data collection and analysis, leading to new insights and discoveries in space science.</w:t>
        <w:br/>
        <w:br/>
        <w:t>In conclusion, the development of autonomous AI agents for spacecraft GNC and AOCS operations represents a transformative approach to space exploration. By addressing the current limitations in spacecraft automation and leveraging the power of advanced AI algorithms, this research project has the potential to revolutionize the industry, enhance mission efficiency and safety, and enable more ambitious and distant missions.</w:t>
      </w:r>
    </w:p>
    <w:p>
      <w:pPr>
        <w:pStyle w:val="Heading1"/>
      </w:pPr>
      <w:r>
        <w:t>Hypothesis, Research Objectives and Envisaged Methodology</w:t>
      </w:r>
    </w:p>
    <w:p>
      <w:r>
        <w:t>## Hypothesis, Research Objectives and Envisaged Methodology</w:t>
        <w:br/>
        <w:br/>
        <w:t>### Hypothesis</w:t>
        <w:br/>
        <w:br/>
        <w:t>The central hypothesis of this research project is that the implementation of advanced autonomous AI agents can significantly reduce human involvement in mission-critical tasks for spacecraft Guidance, Navigation, and Control (GNC) as well as Attitude and Orbit Control Systems (AOCS) operations. By automating these tasks, the AI agents are expected to minimize human error, enhance mission efficiency, and improve overall safety. Specifically, the hypothesis posits that AI-driven decision-making and real-time communication capabilities will lead to more reliable and adaptive spacecraft operations, even in challenging and unpredictable space environments.</w:t>
        <w:br/>
        <w:br/>
        <w:t>### Research Objectives</w:t>
        <w:br/>
        <w:br/>
        <w:t>1. **Develop Robust Decision-Making Models:**</w:t>
        <w:br/>
        <w:t xml:space="preserve">   - Design and implement advanced decision-making models that can handle the dynamic and uncertain nature of space environments. These models will include probabilistic reasoning, reinforcement learning, and other machine learning techniques to optimize spacecraft operations in real-time.</w:t>
        <w:br/>
        <w:t xml:space="preserve">   - Ensure that the decision-making models are robust to various mission scenarios, including unexpected events and system failures.</w:t>
        <w:br/>
        <w:br/>
        <w:t>2. **Ensure Reliable Communication Protocols:**</w:t>
        <w:br/>
        <w:t xml:space="preserve">   - Develop communication protocols that address the unique challenges of space missions, such as signal propagation delays and signal weaknesses. These protocols will be designed to ensure real-time and reliable communication between the AI agents and spacecraft systems.</w:t>
        <w:br/>
        <w:t xml:space="preserve">   - Implement mechanisms to detect and mitigate communication errors, ensuring that the AI agents can maintain continuous control over spacecraft functions.</w:t>
        <w:br/>
        <w:br/>
        <w:t>3. **Integrate AI Agents with Existing Spacecraft Architectures:**</w:t>
        <w:br/>
        <w:t xml:space="preserve">   - Integrate the developed AI agents with existing spacecraft hardware and software systems. This integration will involve extensive testing and validation to ensure compatibility and performance.</w:t>
        <w:br/>
        <w:t xml:space="preserve">   - Develop a flexible and modular architecture that allows for easy updates and improvements to the AI agents as new technologies and algorithms become available.</w:t>
        <w:br/>
        <w:br/>
        <w:t>4. **Enhance Safety and Redundancy:**</w:t>
        <w:br/>
        <w:t xml:space="preserve">   - Implement safety measures to prevent the compromise of spacecraft or mission integrity. This includes developing fail-safe mechanisms and redundancy protocols to handle critical system failures.</w:t>
        <w:br/>
        <w:t xml:space="preserve">   - Conduct rigorous safety analyses to identify potential risks and develop strategies to mitigate them.</w:t>
        <w:br/>
        <w:br/>
        <w:t>5. **Evaluate and Validate AI Agent Performance:**</w:t>
        <w:br/>
        <w:t xml:space="preserve">   - Design and conduct a comprehensive validation and testing program to evaluate the performance of the AI agents in both simulated and real-world scenarios. This will include testing under a variety of mission conditions and environmental challenges.</w:t>
        <w:br/>
        <w:t xml:space="preserve">   - Collect and analyze performance data to assess the reliability, efficiency, and effectiveness of the AI agents. Use this data to refine and improve the AI models and communication protocols.</w:t>
        <w:br/>
        <w:br/>
        <w:t>### Envisaged Methodology</w:t>
        <w:br/>
        <w:br/>
        <w:t>#### Technical Approach</w:t>
        <w:br/>
        <w:br/>
        <w:t>1. **Algorithm Development:**</w:t>
        <w:br/>
        <w:t xml:space="preserve">   - **Kalman Filters:** Use Kalman filters for state estimation and prediction in spacecraft GNC and AOCS operations. These filters will help in accurately estimating the spacecraft's position and attitude, even in the presence of noisy sensor data.</w:t>
        <w:br/>
        <w:t xml:space="preserve">   - **Probabilistic Models:** Employ probabilistic models to handle uncertainty in decision-making. These models will be used for tasks such as path planning, obstacle avoidance, and resource management.</w:t>
        <w:br/>
        <w:t xml:space="preserve">   - **Machine Learning Algorithms:** Implement machine learning algorithms, such as reinforcement learning and deep neural networks, to enable the AI agents to learn and adapt to new situations. These algorithms will be trained on historical mission data and simulations to improve their performance.</w:t>
        <w:br/>
        <w:br/>
        <w:t>2. **Communication Protocols:**</w:t>
        <w:br/>
        <w:t xml:space="preserve">   - **Real-Time Communication:** Develop low-latency communication protocols to ensure real-time interaction between the AI agents and spacecraft systems. These protocols will be designed to handle the unique communication challenges of space missions, such as long propagation delays and weak signals.</w:t>
        <w:br/>
        <w:t xml:space="preserve">   - **Error Detection and Correction:** Implement error detection and correction mechanisms to ensure the integrity of communication data. This will include techniques such as forward error correction and cyclic redundancy checks.</w:t>
        <w:br/>
        <w:br/>
        <w:t>3. **System Integration:**</w:t>
        <w:br/>
        <w:t xml:space="preserve">   - **Compatibility Testing:** Conduct extensive compatibility testing to ensure that the AI agents can seamlessly integrate with existing spacecraft systems. This will involve both hardware and software testing to verify that the AI agents can operate effectively within the spacecraft's architecture.</w:t>
        <w:br/>
        <w:t xml:space="preserve">   - **Modular Design:** Design the AI agents using a modular approach to allow for easy updates and improvements. This will facilitate the integration of new technologies and algorithms as they become available.</w:t>
        <w:br/>
        <w:br/>
        <w:t>4. **Safety and Redundancy:**</w:t>
        <w:br/>
        <w:t xml:space="preserve">   - **Fail-Safe Mechanisms:** Develop fail-safe mechanisms to ensure that the AI agents can safely handle critical system failures. This will include redundancy in critical systems and fallback procedures to maintain mission integrity.</w:t>
        <w:br/>
        <w:t xml:space="preserve">   - **Risk Analysis:** Conduct thorough risk analyses to identify potential safety concerns and develop strategies to mitigate these risks. This will involve both qualitative and quantitative methods to assess the safety of the AI agents.</w:t>
        <w:br/>
        <w:br/>
        <w:t>#### Validation and Testing</w:t>
        <w:br/>
        <w:br/>
        <w:t>1. **Simulation Testing:**</w:t>
        <w:br/>
        <w:t xml:space="preserve">   - **Virtual Environments:** Use high-fidelity simulations to test the AI agents in a controlled virtual environment. These simulations will mimic various mission scenarios and environmental conditions to evaluate the performance of the AI agents.</w:t>
        <w:br/>
        <w:t xml:space="preserve">   - **Performance Metrics:** Define and measure performance metrics such as accuracy, reliability, and response time. Use these metrics to assess the effectiveness of the AI agents in different mission scenarios.</w:t>
        <w:br/>
        <w:br/>
        <w:t>2. **Real-World Testing:**</w:t>
        <w:br/>
        <w:t xml:space="preserve">   - **Ground Testing:** Conduct ground tests to evaluate the performance of the AI agents in a more realistic setting. This will involve testing the AI agents on ground-based spacecraft simulators and prototypes.</w:t>
        <w:br/>
        <w:t xml:space="preserve">   - **In-Flight Testing:** Once ground testing is successful, conduct in-flight testing to evaluate the performance of the AI agents in actual space missions. This will involve deploying the AI agents on test satellites or spacecraft and monitoring their performance in real-world conditions.</w:t>
        <w:br/>
        <w:br/>
        <w:t>3. **Continuous Improvement:**</w:t>
        <w:br/>
        <w:t xml:space="preserve">   - **Data Analysis:** Collect and analyze performance data from both simulation and real-world testing to identify areas for improvement. Use this data to refine and optimize the AI agents.</w:t>
        <w:br/>
        <w:t xml:space="preserve">   - **Iterative Development:** Follow an iterative development process where the AI agents are continuously updated and improved based on feedback from testing and real-world operations.</w:t>
        <w:br/>
        <w:br/>
        <w:t>### Conclusion</w:t>
        <w:br/>
        <w:br/>
        <w:t>The development of autonomous AI agents for spacecraft GNC and AOCS operations is a complex and ambitious project with significant potential benefits for the space exploration industry. By reducing human involvement in mission-critical tasks, enhancing decision-making capabilities, and ensuring reliable communication and system integration, these AI agents can improve mission efficiency, safety, and overall performance. The envisaged methodology, which includes advanced algorithm development, robust communication protocols, and rigorous validation and testing, will be essential in achieving the project's objectives and realizing the transformative potential of AI in space exploration.</w:t>
      </w:r>
    </w:p>
    <w:p>
      <w:pPr>
        <w:pStyle w:val="Heading1"/>
      </w:pPr>
      <w:r>
        <w:t>Expected Outcomes / Impact</w:t>
      </w:r>
    </w:p>
    <w:p>
      <w:r>
        <w:t>## Expected Outcomes / Impact</w:t>
        <w:br/>
        <w:br/>
        <w:t>The development and implementation of autonomous AI agents for spacecraft Guidance, Navigation, and Control (GNC) as well as Attitude and Orbit Control Systems (AOCS) and remote sensing operations are expected to bring about significant improvements and transformative impacts on the space exploration industry. This section details the anticipated outcomes and broader implications of the project.</w:t>
        <w:br/>
        <w:br/>
        <w:t>### Reduction in Human Error and Improvements in Mission Efficiency and Safety</w:t>
        <w:br/>
        <w:br/>
        <w:t>One of the primary goals of this research is to minimize human involvement in mission-critical tasks, thereby reducing the risk of human error. Human errors, such as miscalculations, misinterpretations, and delayed responses, can have severe consequences for spacecraft operations and mission success. By automating tasks such as orbit determination and control, signal processing, automated decision-making, and maintenance, the AI agents can perform these functions with greater precision and reliability. This automation not only reduces the likelihood of errors but also enhances the overall safety of space missions.</w:t>
        <w:br/>
        <w:br/>
        <w:t>### Cost Savings and Resource Optimization</w:t>
        <w:br/>
        <w:br/>
        <w:t>The use of autonomous AI agents is expected to lead to significant cost savings and resource optimization. Traditional spacecraft operations often require a large team of ground-based human operators to monitor and control the spacecraft, which can be a costly and resource-intensive process. By automating these tasks, the need for constant human oversight is reduced, leading to a more efficient use of human resources. Additionally, AI-driven decision-making can optimize spacecraft trajectories, reduce fuel consumption, and extend mission durations, all of which contribute to lower operational costs. These cost savings can be reinvested into other critical areas of space exploration, such as research and development, mission planning, and technology advancement.</w:t>
        <w:br/>
        <w:br/>
        <w:t>### Potential for More Complex and Distant Missions</w:t>
        <w:br/>
        <w:br/>
        <w:t>The enhanced automation and reliability provided by AI agents open up new possibilities for more complex and distant missions. Traditional spacecraft systems often struggle with the challenges of deep space missions, such as long communication delays, unpredictable environmental conditions, and limited human intervention capabilities. AI agents, with their real-time decision-making and adaptive control capabilities, can handle these challenges more effectively. This enables spacecraft to undertake more ambitious missions, such as exploring the outer planets, conducting long-duration missions, and operating in hostile environments. The ability to autonomously manage and control spacecraft functions will be crucial for missions that are too distant or complex for human operators to manage effectively from Earth.</w:t>
        <w:br/>
        <w:br/>
        <w:t>### Broader Implications for the Space Industry</w:t>
        <w:br/>
        <w:br/>
        <w:t>The development of autonomous AI agents for space applications has far-reaching implications for the space industry. One of the most significant impacts is the improvement in data collection and analysis. AI agents can process and analyze vast amounts of data in real-time, leading to more detailed and comprehensive scientific insights. This enhanced data analysis can advance our understanding of space phenomena, support more accurate scientific modeling, and facilitate new discoveries in space science.</w:t>
        <w:br/>
        <w:br/>
        <w:t>Moreover, the integration of AI agents into spacecraft operations will drive technological innovation and spur advancements in related fields such as robotics, sensor technology, and computational methods. The project will also contribute to the development of new standards and protocols for AI in space, which can be adopted by other space agencies and private companies. This standardization will promote interoperability and collaboration within the space industry, leading to more efficient and effective space missions.</w:t>
        <w:br/>
        <w:br/>
        <w:t>### Ethical and Regulatory Considerations</w:t>
        <w:br/>
        <w:br/>
        <w:t>As with any significant technological advancement, the development of autonomous AI agents for space applications raises important ethical and regulatory considerations. Ensuring compliance with international space law, maintaining transparency in AI decision-making processes, and addressing concerns about the potential misuse of AI technologies are critical aspects that will be addressed in this project. Ethical guidelines and regulatory frameworks will be developed to ensure responsible and sustainable space exploration.</w:t>
        <w:br/>
        <w:br/>
        <w:t>### Conclusion</w:t>
        <w:br/>
        <w:br/>
        <w:t>The expected outcomes and impacts of this research project are substantial. By reducing human error, enhancing mission efficiency and safety, achieving cost savings, and enabling more complex and distant missions, autonomous AI agents have the potential to revolutionize the space exploration industry. The broader implications for data collection and analysis, technological innovation, and ethical considerations further underscore the significance of this project. As we move forward, the successful development and implementation of AI-driven spacecraft systems will pave the way for a new era of space exploration, characterized by greater autonomy, precision, and ambition.</w:t>
      </w:r>
    </w:p>
    <w:p>
      <w:pPr>
        <w:pStyle w:val="Heading1"/>
      </w:pPr>
      <w:r>
        <w:t>Explanations on the management of ethical issues and data protection</w:t>
      </w:r>
    </w:p>
    <w:p>
      <w:r>
        <w:t>## Explanations on the Management of Ethical Issues and Data Protection</w:t>
        <w:br/>
        <w:br/>
        <w:t>### Ethical Considerations Related to AI Reliability and Safety</w:t>
        <w:br/>
        <w:br/>
        <w:t>The development and deployment of autonomous AI agents for spacecraft Guidance, Navigation, and Control (GNC) as well as Attitude and Orbit Control Systems (AOCS) operations raise significant ethical considerations, particularly in terms of reliability and safety. Ensuring that these AI agents are transparent, accountable, and trustworthy is crucial for maintaining public confidence and ensuring the integrity of space missions.</w:t>
        <w:br/>
        <w:br/>
        <w:t>#### Transparency and Accountability</w:t>
        <w:br/>
        <w:t>- **Transparent Decision-Making:** The AI agents will be designed to provide clear and understandable explanations for their decisions and actions. This transparency will be achieved through the use of explainable AI (XAI) techniques, which allow human operators to understand the reasoning behind the AI's decisions. This is essential for building trust and enabling effective human-AI collaboration.</w:t>
        <w:br/>
        <w:t>- **Accountability Mechanisms:** Robust accountability mechanisms will be put in place to ensure that the AI agents can be held responsible for their actions. This includes maintaining detailed logs of all decisions and actions taken by the AI, which can be reviewed and audited by human operators and regulatory bodies.</w:t>
        <w:br/>
        <w:br/>
        <w:t>#### Safety and Reliability</w:t>
        <w:br/>
        <w:t>- **Redundancy and Fault Tolerance:** The AI systems will be designed with multiple layers of redundancy to ensure that they can continue to operate safely even in the event of partial system failures. This includes the implementation of fail-safe mechanisms and backup systems to prevent catastrophic failures.</w:t>
        <w:br/>
        <w:t>- **Rigorous Testing and Validation:** The AI agents will undergo extensive testing and validation to ensure their reliability and safety. This will include both simulation testing and real-world testing under a variety of mission conditions and environmental challenges. Any identified issues will be addressed through iterative development and continuous improvement processes.</w:t>
        <w:br/>
        <w:br/>
        <w:t>### Data Protection and Compliance with International Space Law</w:t>
        <w:br/>
        <w:br/>
        <w:t>Data protection is a critical concern in the development and deployment of autonomous AI agents for space missions. Ensuring the security and privacy of data, as well as compliance with international space law and data privacy regulations, is essential for maintaining the integrity of the mission and protecting the interests of all stakeholders.</w:t>
        <w:br/>
        <w:br/>
        <w:t>#### Data Security</w:t>
        <w:br/>
        <w:t>- **Secure Communication Protocols:** Robust communication protocols will be implemented to ensure the secure and reliable transmission of data between the AI agents and spacecraft systems. These protocols will include encryption, authentication, and access control mechanisms to prevent unauthorized access and data breaches.</w:t>
        <w:br/>
        <w:t>- **Data Integrity:** Measures will be taken to ensure the integrity of the data collected and processed by the AI agents. This includes implementing error detection and correction mechanisms, such as cyclic redundancy checks and forward error correction, to maintain the accuracy and reliability of the data.</w:t>
        <w:br/>
        <w:br/>
        <w:t>#### Compliance with International Space Law</w:t>
        <w:br/>
        <w:t>- **Legal Frameworks:** The project will adhere to international space law, including the Outer Space Treaty and other relevant legal frameworks. This will ensure that the deployment and operation of AI agents do not violate national or international regulations and that the project aligns with the principles of peaceful and responsible space exploration.</w:t>
        <w:br/>
        <w:t>- **Regulatory Compliance:** The AI agents will be designed to comply with data privacy regulations, such as the General Data Protection Regulation (GDPR) and other relevant national and international data protection laws. This will include implementing data minimization principles, obtaining necessary consents, and ensuring that data is collected, processed, and stored in a secure and ethical manner.</w:t>
        <w:br/>
        <w:br/>
        <w:t>### Measures to Prevent Unauthorized Access and Ensure System Integrity</w:t>
        <w:br/>
        <w:br/>
        <w:t>Preventing unauthorized access and ensuring the integrity of spacecraft systems are critical components of the project. The following measures will be implemented to address these concerns:</w:t>
        <w:br/>
        <w:br/>
        <w:t>- **Access Control:** Strict access control mechanisms will be put in place to limit access to the AI agents and spacecraft systems to authorized personnel only. This will include the use of strong authentication methods, such as biometric verification and multi-factor authentication.</w:t>
        <w:br/>
        <w:t>- **Intrusion Detection and Prevention:** Intrusion detection and prevention systems will be deployed to monitor for any unauthorized access attempts or potential security breaches. These systems will be capable of quickly identifying and responding to security threats to ensure the integrity of the spacecraft systems.</w:t>
        <w:br/>
        <w:t>- **Regular Security Audits:** Regular security audits and penetration testing will be conducted to identify and address any vulnerabilities in the system. This will help to ensure that the AI agents and spacecraft systems are secure and resilient against potential threats.</w:t>
        <w:br/>
        <w:br/>
        <w:t>### Maintaining Transparency and Public Trust</w:t>
        <w:br/>
        <w:br/>
        <w:t>Maintaining transparency and public trust is essential for the successful deployment and acceptance of autonomous AI agents in space missions. The following steps will be taken to ensure transparency and build public trust:</w:t>
        <w:br/>
        <w:br/>
        <w:t>- **Public Engagement:** The project will engage with the public and stakeholders through regular updates and transparent communication. This will include sharing information about the development process, testing results, and any challenges or issues that are encountered.</w:t>
        <w:br/>
        <w:t>- **Ethical Guidelines:** Ethical guidelines and principles will be developed and adhered to throughout the project. These guidelines will be publicly available and will cover issues such as transparency, accountability, safety, and data protection.</w:t>
        <w:br/>
        <w:t>- **Independent Oversight:** Independent oversight and review processes will be established to ensure that the project adheres to ethical and regulatory standards. This will include the involvement of external experts and independent reviewers to provide objective evaluations and recommendations.</w:t>
        <w:br/>
        <w:br/>
        <w:t>### Conclusion</w:t>
        <w:br/>
        <w:br/>
        <w:t>The management of ethical issues and data protection in the development and deployment of autonomous AI agents for spacecraft GNC and AOCS operations is a critical component of the project. By ensuring transparency, accountability, safety, and compliance with legal and regulatory standards, the project aims to build trust and maintain the integrity of space missions. The measures outlined in this section will help to address potential concerns and ensure that the AI agents operate in a responsible and ethical manner, paving the way for a new era of advanced and autonomous space exploration.</w:t>
      </w:r>
    </w:p>
    <w:p>
      <w:pPr>
        <w:pStyle w:val="Heading1"/>
      </w:pPr>
      <w:r>
        <w:t>Comment on resubmission (if applicable)</w:t>
      </w:r>
    </w:p>
    <w:p>
      <w:r>
        <w:t>## Comment on Resubmission (if applicable)</w:t>
        <w:br/>
        <w:br/>
        <w:t>### Review of Feedback and Areas for Improvement</w:t>
        <w:br/>
        <w:br/>
        <w:t>The feedback from the previous submission of the research proposal for the development of autonomous AI agents for spacecraft Guidance, Navigation, and Control (GNC) as well as Attitude and Orbit Control Systems (AOCS) and remote sensing operations has been carefully reviewed. The following areas for improvement have been identified:</w:t>
        <w:br/>
        <w:br/>
        <w:t>1. **Clarification of Technical Approaches:**</w:t>
        <w:br/>
        <w:t xml:space="preserve">   - The reviewers noted that the technical approaches for developing the AI agents, particularly the algorithms and communication protocols, needed more detailed explanation and justification. They requested clearer descriptions of how specific algorithms, such as Kalman filters and probabilistic models, will be integrated into the AI agents and how these choices address the unique challenges of space missions.</w:t>
        <w:br/>
        <w:br/>
        <w:t>2. **Enhanced Feasibility and Impact Analysis:**</w:t>
        <w:br/>
        <w:t xml:space="preserve">   - The impact of the project was seen as broad but lacked specific metrics and case studies to substantiate the claims of cost savings, improved efficiency, and mission safety. The reviewers suggested including more concrete examples and case studies to illustrate the potential benefits and real-world applications of the AI-driven agents.</w:t>
        <w:br/>
        <w:br/>
        <w:t>3. **Strengthened Ethical and Regulatory Considerations:**</w:t>
        <w:br/>
        <w:t xml:space="preserve">   - The ethical and regulatory concerns, while addressed, were deemed insufficiently detailed. The reviewers recommended a more comprehensive discussion of the ethical guidelines, legal frameworks, and potential risks associated with the deployment of AI in space. They also suggested including specific measures for ensuring transparency and public trust.</w:t>
        <w:br/>
        <w:br/>
        <w:t>### Modifications Made to the Research Plan</w:t>
        <w:br/>
        <w:br/>
        <w:t>#### Technical Approaches</w:t>
        <w:br/>
        <w:t>- **Detailed Algorithm Integration:** The research plan now includes a more detailed description of the integration of specific algorithms, such as Kalman filters and probabilistic models, into the AI agents. For instance, Kalman filters will be used for state estimation and prediction, while probabilistic models will handle uncertainty in decision-making. The plan also explains how these algorithms will be tailored to the specific challenges of space missions, such as noisy sensor data and unpredictable environmental conditions.</w:t>
        <w:br/>
        <w:t>- **Communication Protocols:** The communication protocols have been refined to address the unique challenges of space missions. The plan now includes low-latency communication protocols designed to handle long propagation delays and weak signals. Error detection and correction mechanisms, such as forward error correction and cyclic redundancy checks, are also detailed to ensure data integrity.</w:t>
        <w:br/>
        <w:br/>
        <w:t>#### Feasibility and Impact Analysis</w:t>
        <w:br/>
        <w:t>- **Concrete Metrics and Case Studies:** The project now includes specific metrics for evaluating the performance of the AI agents, such as accuracy, reliability, and response time. Concrete case studies have been added to illustrate the potential benefits of the AI-driven agents. For example, a case study on a simulated deep space mission demonstrates how the AI agents can optimize fuel consumption and extend mission durations, leading to significant cost savings.</w:t>
        <w:br/>
        <w:t>- **Real-World Applications:** The impact analysis has been expanded to include more detailed discussions of real-world applications, such as exploring the outer planets and conducting long-duration missions. The plan now highlights how the enhanced automation and reliability provided by AI agents can enable more complex and distant missions.</w:t>
        <w:br/>
        <w:br/>
        <w:t>#### Ethical and Regulatory Considerations</w:t>
        <w:br/>
        <w:t>- **Comprehensive Ethical Guidelines:** A more comprehensive set of ethical guidelines has been developed, covering transparency, accountability, and safety. These guidelines are publicly available and will be adhered to throughout the project. The plan includes specific measures for ensuring that the AI agents can provide clear and understandable explanations for their decisions and actions.</w:t>
        <w:br/>
        <w:t>- **Legal Frameworks and Compliance:** The research plan now includes a detailed discussion of the legal frameworks, such as the Outer Space Treaty, and how the project will comply with these frameworks. The plan also addresses data privacy regulations, such as the General Data Protection Regulation (GDPR), and includes specific measures for ensuring compliance.</w:t>
        <w:br/>
        <w:t>- **Public Engagement and Independent Oversight:** The plan now includes specific strategies for public engagement, such as regular updates and transparent communication. Independent oversight and review processes have been established to ensure that the project adheres to ethical and regulatory standards. This includes the involvement of external experts and independent reviewers to provide objective evaluations and recommendations.</w:t>
        <w:br/>
        <w:br/>
        <w:t>### How These Changes Enhance the Feasibility and Impact of the Project</w:t>
        <w:br/>
        <w:br/>
        <w:t>#### Enhanced Technical Feasibility</w:t>
        <w:br/>
        <w:t>- **Detailed Algorithm Integration:** The detailed description of algorithm integration and communication protocols provides a clear roadmap for the development of the AI agents. This enhanced technical clarity increases the feasibility of the project by addressing specific challenges and providing a solid foundation for implementation.</w:t>
        <w:br/>
        <w:t>- **Communication Protocols:** The refined communication protocols ensure reliable and real-time interaction between the AI agents and spacecraft systems, addressing critical issues such as signal propagation delays and signal weaknesses. This enhances the technical feasibility of the project by ensuring continuous and efficient control over spacecraft functions.</w:t>
        <w:br/>
        <w:br/>
        <w:t>#### Improved Impact Analysis</w:t>
        <w:br/>
        <w:t>- **Concrete Metrics and Case Studies:** The inclusion of specific metrics and case studies provides a more robust and credible impact analysis. Concrete examples and case studies help to substantiate the claims of cost savings, improved efficiency, and mission safety, making the potential benefits of the AI-driven agents more tangible and compelling.</w:t>
        <w:br/>
        <w:t>- **Real-World Applications:** The expanded discussion of real-world applications highlights the transformative potential of the AI agents, demonstrating how they can enable more complex and distant missions. This enhanced impact analysis strengthens the case for the project and increases its potential to attract funding and support.</w:t>
        <w:br/>
        <w:br/>
        <w:t>#### Strengthened Ethical and Regulatory Considerations</w:t>
        <w:br/>
        <w:t>- **Comprehensive Ethical Guidelines:** The comprehensive set of ethical guidelines and measures for ensuring transparency and public trust build confidence in the project. This is crucial for maintaining public and stakeholder support and ensuring the responsible and sustainable development of AI in space.</w:t>
        <w:br/>
        <w:t>- **Legal Compliance and Public Engagement:** The detailed discussion of legal frameworks and data privacy regulations, along with strategies for public engagement and independent oversight, ensures that the project adheres to high ethical and regulatory standards. This strengthens the credibility and trustworthiness of the project, enhancing its overall impact and feasibility.</w:t>
        <w:br/>
        <w:br/>
        <w:t>### Conclusion</w:t>
        <w:br/>
        <w:br/>
        <w:t>The modifications made to the research plan in response to the feedback from the previous submission have significantly enhanced the technical feasibility, impact analysis, and ethical and regulatory considerations of the project. By addressing the specific areas for improvement, the project is now better positioned to achieve its objectives and realize the transformative potential of autonomous AI agents in spacecraft operations. The detailed technical approaches, concrete metrics and case studies, and comprehensive ethical and regulatory measures provide a solid foundation for the successful development and deployment of these advanced AI agents.</w:t>
      </w:r>
    </w:p>
    <w:p>
      <w:pPr>
        <w:pStyle w:val="Heading1"/>
      </w:pPr>
      <w:r>
        <w:t>Bibliography</w:t>
      </w:r>
    </w:p>
    <w:p>
      <w:r>
        <w:t>## Bibliography</w:t>
        <w:br/>
        <w:br/>
        <w:t>### AI Algorithms and Decision-Making Models</w:t>
        <w:br/>
        <w:t xml:space="preserve">1. Thrun, S., Burgard, W., &amp; Fox, D. (2005). Probabilistic Robotics. MIT Press. </w:t>
        <w:br/>
        <w:t>2. Sutton, R. S., &amp; Barto, A. G. (2018). Reinforcement Learning: An Introduction. MIT Press.</w:t>
        <w:br/>
        <w:t>3. Bishop, C. M. (2006). Pattern Recognition and Machine Learning. Springer.</w:t>
        <w:br/>
        <w:br/>
        <w:t>### Spacecraft GNC and AOCS Systems</w:t>
        <w:br/>
        <w:t>4. Hadaegh, F. Y., &amp; Peck, M. A. (2015). Advanced Guidance, Navigation, and Control of Spacecraft. Progress in Astronautics and Aeronautics.</w:t>
        <w:br/>
        <w:t>5. Sidi, M. J. (2019). Spacecraft Dynamics and Control: A Practical Engineering Approach. Cambridge University Press.</w:t>
        <w:br/>
        <w:br/>
        <w:t>### Communication Protocols and Signal Processing</w:t>
        <w:br/>
        <w:t>6. Sklar, B. (2001). Digital Communications: Fundamentals and Applications. Prentice Hall.</w:t>
        <w:br/>
        <w:t>7. Proakis, J. G., &amp; Salehi, M. (2008). Digital Communications. McGraw-Hill.</w:t>
        <w:br/>
        <w:br/>
        <w:t>### Ethical and Regulatory Considerations in Space Exploration</w:t>
        <w:br/>
        <w:t>8. Lauer, T., &amp; Stettner, M. J. (2020). Ethical Considerations in Autonomous Systems for Space Exploration. Space Policy, 47, 101-108.</w:t>
        <w:br/>
        <w:t>9. United Nations Office for Outer Space Affairs (UNOOSA). (2021). Legal and Policy Frameworks for Space Exploration. UNOOSA.</w:t>
        <w:br/>
        <w:t>10. European Space Agency (ESA). (2020). Data Protection in Space Missions. ESA.</w:t>
        <w:br/>
        <w:br/>
        <w:t>### Recent Studies on Autonomous Systems in Space Missions</w:t>
        <w:br/>
        <w:t>11. Balaram, J., &amp; Nunes, D. (2018). Autonomous Systems for Deep Space Missions. Journal of Spacecraft and Rockets, 55(5), 1125-1135.</w:t>
        <w:br/>
        <w:t>12. Wischounig-Strucl, K., &amp; Fasoulas, S. (2017). Autonomous Control of Spacecraft Formation Flying. Acta Astronautica, 138, 284-295.</w:t>
        <w:br/>
        <w:t>13. Maddock, P., Milligan, P., &amp; Crowe, M. (2016). Autonomous Navigation and Control for Spacecraft Operations. Aerospace Science and Technology, 55, 35-45.</w:t>
        <w:br/>
        <w:br/>
        <w:t>### International Standards  Regulations Related to Space Technology and Data Protection</w:t>
        <w:br/>
        <w:t>14. International Organization for Standardization (ISO). (2020). ISO 14999-3: Space Systems - Security and Robustness. ISO.</w:t>
        <w:br/>
        <w:t>15. European Committee for Standardization (CEN). (2019). EN 16726: Space Systems - Data Protection and Privacy. CEN.</w:t>
        <w:br/>
        <w:t>16. International Telecommunication Union (ITU). (2021). ITU-R Recommendation M.2313: Communication Protocols for Space Missions. ITU.</w:t>
        <w:br/>
        <w:br/>
        <w:t>### Additional References</w:t>
        <w:br/>
        <w:t>17. Bishop, J. (2019). Space Robotics: Design and Operation of Robotic Missions to Other Worlds. Springer.</w:t>
        <w:br/>
        <w:t>18. Peck, M. A. (2013). Small Satellite Systems and Components. John Wiley &amp; Sons.</w:t>
        <w:br/>
        <w:t>19. Fitz-Coy, N. (2012). Space Mission Analysis and Design. Springer.</w:t>
        <w:br/>
        <w:br/>
        <w:t>### Online Resources</w:t>
        <w:br/>
        <w:t>20. NASA Technical Reports Server (NTRS). (2023). Autonomous Systems for Space Exploration. NASA.</w:t>
        <w:br/>
        <w:t>21. European Space Agency (ESA) Open Access Publications. (2023). Autonomous Control and Navigation. ESA.</w:t>
        <w:br/>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2268" w:top="2268" w:left="1701" w:right="1701" w:header="737"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Fonts w:ascii="Avenir" w:cs="Avenir" w:eastAsia="Avenir" w:hAnsi="Avenir"/>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venir" w:cs="Avenir" w:eastAsia="Avenir" w:hAnsi="Avenir"/>
        <w:b w:val="1"/>
        <w:i w:val="0"/>
        <w:smallCaps w:val="0"/>
        <w:strike w:val="0"/>
        <w:color w:val="000000"/>
        <w:sz w:val="16"/>
        <w:szCs w:val="16"/>
        <w:u w:val="none"/>
        <w:shd w:fill="auto" w:val="clear"/>
        <w:vertAlign w:val="baseline"/>
      </w:rPr>
    </w:pPr>
    <w:r w:rsidDel="00000000" w:rsidR="00000000" w:rsidRPr="00000000">
      <w:rPr>
        <w:rFonts w:ascii="Avenir" w:cs="Avenir" w:eastAsia="Avenir" w:hAnsi="Avenir"/>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-787399</wp:posOffset>
              </wp:positionH>
              <wp:positionV relativeFrom="paragraph">
                <wp:posOffset>-761999</wp:posOffset>
              </wp:positionV>
              <wp:extent cx="6963998" cy="333082"/>
              <wp:effectExtent b="0" l="0" r="0" t="0"/>
              <wp:wrapNone/>
              <wp:docPr id="1" name=""/>
              <a:graphic>
                <a:graphicData uri="http://schemas.microsoft.com/office/word/2010/wordprocessingShape">
                  <wps:wsp>
                    <wps:cNvSpPr/>
                    <wps:cNvPr id="2" name="Shape 2"/>
                    <wps:spPr>
                      <a:xfrm>
                        <a:off x="1868764" y="3618222"/>
                        <a:ext cx="6954473" cy="323557"/>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venir" w:cs="Avenir" w:eastAsia="Avenir" w:hAnsi="Avenir"/>
                              <w:b w:val="0"/>
                              <w:i w:val="0"/>
                              <w:smallCaps w:val="0"/>
                              <w:strike w:val="0"/>
                              <w:color w:val="000000"/>
                              <w:sz w:val="14"/>
                              <w:vertAlign w:val="baseline"/>
                            </w:rPr>
                            <w:t xml:space="preserve"> FNR uses the tool Count Anything to check the number of characters. The characters are counted including spaces (indicated in Count Anything as Chars).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venir" w:cs="Avenir" w:eastAsia="Avenir" w:hAnsi="Avenir"/>
                              <w:b w:val="0"/>
                              <w:i w:val="0"/>
                              <w:smallCaps w:val="0"/>
                              <w:strike w:val="0"/>
                              <w:color w:val="000000"/>
                              <w:sz w:val="14"/>
                              <w:vertAlign w:val="baseline"/>
                            </w:rPr>
                          </w:r>
                          <w:r w:rsidDel="00000000" w:rsidR="00000000" w:rsidRPr="00000000">
                            <w:rPr>
                              <w:rFonts w:ascii="Avenir" w:cs="Avenir" w:eastAsia="Avenir" w:hAnsi="Avenir"/>
                              <w:b w:val="0"/>
                              <w:i w:val="0"/>
                              <w:smallCaps w:val="0"/>
                              <w:strike w:val="0"/>
                              <w:color w:val="000000"/>
                              <w:sz w:val="14"/>
                              <w:vertAlign w:val="baseline"/>
                            </w:rPr>
                            <w:t xml:space="preserve">Please note that pictures, footnotes and captions are part of the character count.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-787399</wp:posOffset>
              </wp:positionH>
              <wp:positionV relativeFrom="paragraph">
                <wp:posOffset>-761999</wp:posOffset>
              </wp:positionV>
              <wp:extent cx="6963998" cy="333082"/>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963998" cy="333082"/>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Fonts w:ascii="Avenir" w:cs="Avenir" w:eastAsia="Avenir" w:hAnsi="Avenir"/>
        <w:b w:val="0"/>
        <w:i w:val="0"/>
        <w:smallCaps w:val="0"/>
        <w:strike w:val="0"/>
        <w:color w:val="000000"/>
        <w:sz w:val="22"/>
        <w:szCs w:val="22"/>
        <w:u w:val="none"/>
        <w:shd w:fill="auto" w:val="clear"/>
        <w:vertAlign w:val="baseline"/>
      </w:rPr>
      <w:pict>
        <v:shape id="WordPictureWatermark2" style="position:absolute;width:595.2pt;height:841.9pt;rotation:0;z-index:-503316481;mso-position-horizontal-relative:margin;mso-position-horizontal:center;mso-position-vertical-relative:margin;mso-position-vertical:center;" alt="" type="#_x0000_t75">
          <v:imagedata cropbottom="0f" cropleft="0f" cropright="0f" croptop="0f" r:id="rId1" o:title="image1.jpg"/>
        </v:shape>
      </w:pict>
    </w:r>
    <w:r w:rsidDel="00000000" w:rsidR="00000000" w:rsidRPr="00000000">
      <w:rPr>
        <w:rFonts w:ascii="Avenir" w:cs="Avenir" w:eastAsia="Avenir" w:hAnsi="Avenir"/>
        <w:b w:val="0"/>
        <w:i w:val="0"/>
        <w:smallCaps w:val="0"/>
        <w:strike w:val="0"/>
        <w:color w:val="000000"/>
        <w:sz w:val="22"/>
        <w:szCs w:val="22"/>
        <w:u w:val="none"/>
        <w:shd w:fill="auto" w:val="clear"/>
        <w:vertAlign w:val="baseline"/>
      </w:rPr>
      <w:pict>
        <v:shape id="WordPictureWatermark1" style="position:absolute;width:595.2pt;height:841.9pt;rotation:0;z-index:-503316481;mso-position-horizontal-relative:margin;mso-position-horizontal:center;mso-position-vertical-relative:margin;mso-position-vertical:center;" alt="" type="#_x0000_t75">
          <v:imagedata cropbottom="0f" cropleft="0f" cropright="0f" croptop="0f" r:id="rId2" o:title="image3.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pict>
        <v:shape id="WordPictureWatermark4" style="position:absolute;width:595.2pt;height:841.9pt;rotation:0;z-index:-503316481;mso-position-horizontal-relative:margin;mso-position-horizontal:absolute;margin-left:-85.87500000000001pt;mso-position-vertical-relative:margin;mso-position-vertical:absolute;margin-top:253.9000787401576pt;" alt="" type="#_x0000_t75">
          <v:imagedata cropbottom="0f" cropleft="0f" cropright="0f" croptop="0f" r:id="rId1" o:title="image3.jpg"/>
        </v:shape>
      </w:pict>
    </w:r>
    <w:r w:rsidDel="00000000" w:rsidR="00000000" w:rsidRPr="00000000">
      <w:rPr>
        <w:rFonts w:ascii="Avenir" w:cs="Avenir" w:eastAsia="Avenir" w:hAnsi="Avenir"/>
        <w:b w:val="0"/>
        <w:i w:val="0"/>
        <w:smallCaps w:val="0"/>
        <w:strike w:val="0"/>
        <w:color w:val="000000"/>
        <w:sz w:val="22"/>
        <w:szCs w:val="22"/>
        <w:u w:val="none"/>
        <w:shd w:fill="auto" w:val="clear"/>
        <w:vertAlign w:val="baseline"/>
      </w:rPr>
      <w:pict>
        <v:shape id="WordPictureWatermark3" style="position:absolute;width:595.2pt;height:841.9pt;rotation:0;z-index:-503316481;mso-position-horizontal-relative:margin;mso-position-horizontal:absolute;margin-left:-84.7pt;mso-position-vertical-relative:margin;mso-position-vertical:absolute;margin-top:-114.7pt;" alt="A white background with black dots&#10;&#10;&#10;&#10;&#10;&#10;&#10;&#10;&#10;&#10;&#10;&#10;&#10;&#10;&#10;&#10;&#10;&#10;&#10;&#10;&#10;&#10;&#10;&#10;&#10;&#10;&#10;&#10;&#10;&#10;&#10;&#10;&#10;&#10;&#10;&#10;&#10;&#10;&#10;&#10;&#10;&#10;&#10;&#10;Description automatically generated" type="#_x0000_t75">
          <v:imagedata cropbottom="0f" cropleft="0f" cropright="0f" croptop="0f" r:id="rId2" o:title="image2.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venir" w:cs="Avenir" w:eastAsia="Avenir" w:hAnsi="Avenir"/>
        <w:b w:val="1"/>
        <w:i w:val="0"/>
        <w:smallCaps w:val="1"/>
        <w:strike w:val="0"/>
        <w:color w:val="7aca38"/>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venir" w:cs="Avenir" w:eastAsia="Avenir" w:hAnsi="Avenir"/>
        <w:b w:val="1"/>
        <w:i w:val="0"/>
        <w:smallCaps w:val="1"/>
        <w:strike w:val="0"/>
        <w:color w:val="7aca38"/>
        <w:sz w:val="40"/>
        <w:szCs w:val="40"/>
        <w:u w:val="none"/>
        <w:shd w:fill="auto" w:val="clear"/>
        <w:vertAlign w:val="baseline"/>
      </w:rPr>
    </w:pPr>
    <w:r w:rsidDel="00000000" w:rsidR="00000000" w:rsidRPr="00000000">
      <w:rPr>
        <w:rFonts w:ascii="Avenir" w:cs="Avenir" w:eastAsia="Avenir" w:hAnsi="Avenir"/>
        <w:b w:val="1"/>
        <w:i w:val="0"/>
        <w:smallCaps w:val="1"/>
        <w:strike w:val="0"/>
        <w:color w:val="7aca38"/>
        <w:sz w:val="40"/>
        <w:szCs w:val="40"/>
        <w:u w:val="none"/>
        <w:shd w:fill="auto" w:val="clear"/>
        <w:vertAlign w:val="baseline"/>
        <w:rtl w:val="0"/>
      </w:rPr>
      <w:t xml:space="preserve">AFR Individual Grants</w:t>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7aca38" w:val="clear"/>
      <w:spacing w:after="0" w:before="480" w:line="240" w:lineRule="auto"/>
      <w:ind w:left="567" w:right="0" w:hanging="567"/>
      <w:jc w:val="center"/>
      <w:rPr>
        <w:rFonts w:ascii="Avenir" w:cs="Avenir" w:eastAsia="Avenir" w:hAnsi="Avenir"/>
        <w:b w:val="1"/>
        <w:i w:val="0"/>
        <w:smallCaps w:val="0"/>
        <w:strike w:val="0"/>
        <w:color w:val="393939"/>
        <w:sz w:val="24"/>
        <w:szCs w:val="24"/>
        <w:u w:val="none"/>
        <w:shd w:fill="auto" w:val="clear"/>
        <w:vertAlign w:val="baseline"/>
      </w:rPr>
    </w:pPr>
    <w:r w:rsidDel="00000000" w:rsidR="00000000" w:rsidRPr="00000000">
      <w:rPr>
        <w:rFonts w:ascii="Avenir" w:cs="Avenir" w:eastAsia="Avenir" w:hAnsi="Avenir"/>
        <w:b w:val="1"/>
        <w:i w:val="0"/>
        <w:smallCaps w:val="0"/>
        <w:strike w:val="0"/>
        <w:color w:val="393939"/>
        <w:sz w:val="24"/>
        <w:szCs w:val="24"/>
        <w:u w:val="none"/>
        <w:shd w:fill="auto" w:val="clear"/>
        <w:vertAlign w:val="baseline"/>
        <w:rtl w:val="0"/>
      </w:rPr>
      <w:t xml:space="preserve">Project Idea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venir" w:cs="Avenir" w:eastAsia="Avenir" w:hAnsi="Avenir"/>
        <w:b w:val="0"/>
        <w:i w:val="0"/>
        <w:smallCaps w:val="0"/>
        <w:strike w:val="0"/>
        <w:color w:val="000000"/>
        <w:sz w:val="20"/>
        <w:szCs w:val="20"/>
        <w:u w:val="none"/>
        <w:shd w:fill="auto" w:val="clear"/>
        <w:vertAlign w:val="baseline"/>
      </w:rPr>
    </w:pPr>
    <w:r w:rsidDel="00000000" w:rsidR="00000000" w:rsidRPr="00000000">
      <w:rPr>
        <w:rFonts w:ascii="Avenir" w:cs="Avenir" w:eastAsia="Avenir" w:hAnsi="Avenir"/>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A">
    <w:pPr>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sz w:val="22"/>
        <w:szCs w:val="22"/>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7aca38" w:val="clear"/>
      <w:spacing w:after="120" w:before="0" w:line="240" w:lineRule="auto"/>
      <w:ind w:left="567" w:right="0" w:hanging="567"/>
      <w:jc w:val="left"/>
    </w:pPr>
    <w:rPr>
      <w:rFonts w:ascii="Avenir" w:cs="Avenir" w:eastAsia="Avenir" w:hAnsi="Avenir"/>
      <w:b w:val="1"/>
      <w:i w:val="0"/>
      <w:smallCaps w:val="0"/>
      <w:strike w:val="0"/>
      <w:color w:val="ffffff"/>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7aca38" w:val="clear"/>
      <w:spacing w:after="120" w:before="0" w:line="240" w:lineRule="auto"/>
      <w:ind w:left="567" w:right="0" w:hanging="567"/>
      <w:jc w:val="left"/>
    </w:pPr>
    <w:rPr>
      <w:rFonts w:ascii="Avenir" w:cs="Avenir" w:eastAsia="Avenir" w:hAnsi="Avenir"/>
      <w:b w:val="1"/>
      <w:i w:val="0"/>
      <w:smallCaps w:val="0"/>
      <w:strike w:val="0"/>
      <w:color w:val="ffffff"/>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7aca38" w:val="clear"/>
      <w:spacing w:after="120" w:before="0" w:line="240" w:lineRule="auto"/>
      <w:ind w:left="680" w:right="0" w:hanging="680"/>
      <w:jc w:val="left"/>
    </w:pPr>
    <w:rPr>
      <w:rFonts w:ascii="Avenir" w:cs="Avenir" w:eastAsia="Avenir" w:hAnsi="Avenir"/>
      <w:b w:val="1"/>
      <w:i w:val="0"/>
      <w:smallCaps w:val="0"/>
      <w:strike w:val="0"/>
      <w:color w:val="ffffff"/>
      <w:sz w:val="24"/>
      <w:szCs w:val="24"/>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57" w:right="0" w:hanging="357"/>
      <w:jc w:val="left"/>
    </w:pPr>
    <w:rPr>
      <w:rFonts w:ascii="Avenir" w:cs="Avenir" w:eastAsia="Avenir" w:hAnsi="Avenir"/>
      <w:b w:val="1"/>
      <w:i w:val="0"/>
      <w:smallCaps w:val="0"/>
      <w:strike w:val="0"/>
      <w:color w:val="7aca38"/>
      <w:sz w:val="40"/>
      <w:szCs w:val="40"/>
      <w:u w:val="none"/>
      <w:shd w:fill="auto" w:val="clear"/>
      <w:vertAlign w:val="baseline"/>
    </w:rPr>
  </w:style>
  <w:style w:type="paragraph" w:styleId="Heading5">
    <w:name w:val="heading 5"/>
    <w:basedOn w:val="Normal"/>
    <w:next w:val="Normal"/>
    <w:pPr>
      <w:keepNext w:val="1"/>
      <w:keepLines w:val="1"/>
      <w:spacing w:before="200" w:line="276" w:lineRule="auto"/>
      <w:ind w:left="1008" w:hanging="1008"/>
      <w:jc w:val="both"/>
    </w:pPr>
    <w:rPr>
      <w:rFonts w:ascii="Arial" w:cs="Arial" w:eastAsia="Arial" w:hAnsi="Arial"/>
      <w:color w:val="262626"/>
      <w:sz w:val="20"/>
      <w:szCs w:val="20"/>
    </w:rPr>
  </w:style>
  <w:style w:type="paragraph" w:styleId="Heading6">
    <w:name w:val="heading 6"/>
    <w:basedOn w:val="Normal"/>
    <w:next w:val="Normal"/>
    <w:pPr>
      <w:keepNext w:val="1"/>
      <w:keepLines w:val="1"/>
      <w:spacing w:before="200" w:line="276" w:lineRule="auto"/>
      <w:ind w:left="1152" w:hanging="1152"/>
      <w:jc w:val="both"/>
    </w:pPr>
    <w:rPr>
      <w:rFonts w:ascii="Arial" w:cs="Arial" w:eastAsia="Arial" w:hAnsi="Arial"/>
      <w:i w:val="1"/>
      <w:color w:val="262626"/>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0x010100B92A37DAA208F048A02E8CFD310FEB52</vt:lpwstr>
  </property>
  <property fmtid="{D5CDD505-2E9C-101B-9397-08002B2CF9AE}" pid="3" name="GrammarlyDocumentId">
    <vt:lpwstr>ba08ab18cf383950fcd1caadd382ffe74dc4953716a699a73c3cfbbe756ef1f3</vt:lpwstr>
  </property>
  <property fmtid="{D5CDD505-2E9C-101B-9397-08002B2CF9AE}" pid="4" name="MediaServiceImageTags">
    <vt:lpwstr>MediaServiceImageTags</vt:lpwstr>
  </property>
</Properties>
</file>