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venir" w:cs="Avenir" w:eastAsia="Avenir" w:hAnsi="Avenir"/>
        </w:rPr>
      </w:pPr>
      <w:r w:rsidDel="00000000" w:rsidR="00000000" w:rsidRPr="00000000">
        <w:rPr>
          <w:rtl w:val="0"/>
        </w:rPr>
      </w:r>
    </w:p>
    <w:p w:rsidR="00000000" w:rsidDel="00000000" w:rsidP="00000000" w:rsidRDefault="00000000" w:rsidRPr="00000000" w14:paraId="00000002">
      <w:pPr>
        <w:rPr>
          <w:rFonts w:ascii="Avenir" w:cs="Avenir" w:eastAsia="Avenir" w:hAnsi="Avenir"/>
        </w:rPr>
      </w:pPr>
      <w:r w:rsidDel="00000000" w:rsidR="00000000" w:rsidRPr="00000000">
        <w:rPr>
          <w:rtl w:val="0"/>
        </w:rPr>
      </w:r>
    </w:p>
    <w:p w:rsidR="00000000" w:rsidDel="00000000" w:rsidP="00000000" w:rsidRDefault="00000000" w:rsidRPr="00000000" w14:paraId="00000003">
      <w:pPr>
        <w:rPr>
          <w:rFonts w:ascii="Avenir" w:cs="Avenir" w:eastAsia="Avenir" w:hAnsi="Avenir"/>
        </w:rPr>
      </w:pPr>
      <w:r w:rsidDel="00000000" w:rsidR="00000000" w:rsidRPr="00000000">
        <w:rPr>
          <w:rtl w:val="0"/>
        </w:rPr>
      </w:r>
    </w:p>
    <w:p w:rsidR="00000000" w:rsidDel="00000000" w:rsidP="00000000" w:rsidRDefault="00000000" w:rsidRPr="00000000" w14:paraId="00000004">
      <w:pPr>
        <w:rPr>
          <w:rFonts w:ascii="Avenir" w:cs="Avenir" w:eastAsia="Avenir" w:hAnsi="Avenir"/>
        </w:rPr>
      </w:pPr>
      <w:r w:rsidDel="00000000" w:rsidR="00000000" w:rsidRPr="00000000">
        <w:rPr>
          <w:rtl w:val="0"/>
        </w:rPr>
      </w:r>
    </w:p>
    <w:p w:rsidR="00000000" w:rsidDel="00000000" w:rsidP="00000000" w:rsidRDefault="00000000" w:rsidRPr="00000000" w14:paraId="00000005">
      <w:pPr>
        <w:rPr>
          <w:rFonts w:ascii="Avenir" w:cs="Avenir" w:eastAsia="Avenir" w:hAnsi="Avenir"/>
        </w:rPr>
      </w:pPr>
      <w:r w:rsidDel="00000000" w:rsidR="00000000" w:rsidRPr="00000000">
        <w:rPr>
          <w:rtl w:val="0"/>
        </w:rPr>
      </w:r>
    </w:p>
    <w:p w:rsidR="00000000" w:rsidDel="00000000" w:rsidP="00000000" w:rsidRDefault="00000000" w:rsidRPr="00000000" w14:paraId="00000006">
      <w:pPr>
        <w:rPr>
          <w:rFonts w:ascii="Avenir" w:cs="Avenir" w:eastAsia="Avenir" w:hAnsi="Avenir"/>
        </w:rPr>
      </w:pPr>
      <w:r w:rsidDel="00000000" w:rsidR="00000000" w:rsidRPr="00000000">
        <w:rPr>
          <w:rtl w:val="0"/>
        </w:rPr>
      </w:r>
    </w:p>
    <w:p w:rsidR="00000000" w:rsidDel="00000000" w:rsidP="00000000" w:rsidRDefault="00000000" w:rsidRPr="00000000" w14:paraId="00000007">
      <w:pPr>
        <w:rPr>
          <w:rFonts w:ascii="Avenir" w:cs="Avenir" w:eastAsia="Avenir" w:hAnsi="Avenir"/>
        </w:rPr>
      </w:pPr>
      <w:r w:rsidDel="00000000" w:rsidR="00000000" w:rsidRPr="00000000">
        <w:rPr>
          <w:rtl w:val="0"/>
        </w:rPr>
      </w:r>
    </w:p>
    <w:p w:rsidR="00000000" w:rsidDel="00000000" w:rsidP="00000000" w:rsidRDefault="00000000" w:rsidRPr="00000000" w14:paraId="00000008">
      <w:pPr>
        <w:rPr>
          <w:rFonts w:ascii="Avenir" w:cs="Avenir" w:eastAsia="Avenir" w:hAnsi="Avenir"/>
        </w:rPr>
      </w:pPr>
      <w:r w:rsidDel="00000000" w:rsidR="00000000" w:rsidRPr="00000000">
        <w:rPr>
          <w:rtl w:val="0"/>
        </w:rPr>
      </w:r>
    </w:p>
    <w:p w:rsidR="00000000" w:rsidDel="00000000" w:rsidP="00000000" w:rsidRDefault="00000000" w:rsidRPr="00000000" w14:paraId="00000009">
      <w:pPr>
        <w:rPr>
          <w:rFonts w:ascii="Avenir" w:cs="Avenir" w:eastAsia="Avenir" w:hAnsi="Avenir"/>
        </w:rPr>
      </w:pPr>
      <w:r w:rsidDel="00000000" w:rsidR="00000000" w:rsidRPr="00000000">
        <w:rPr>
          <w:rtl w:val="0"/>
        </w:rPr>
      </w:r>
    </w:p>
    <w:p w:rsidR="00000000" w:rsidDel="00000000" w:rsidP="00000000" w:rsidRDefault="00000000" w:rsidRPr="00000000" w14:paraId="0000000A">
      <w:pPr>
        <w:rPr>
          <w:rFonts w:ascii="Avenir" w:cs="Avenir" w:eastAsia="Avenir" w:hAnsi="Avenir"/>
        </w:rPr>
      </w:pPr>
      <w:r w:rsidDel="00000000" w:rsidR="00000000" w:rsidRPr="00000000">
        <w:rPr>
          <w:rtl w:val="0"/>
        </w:rPr>
      </w:r>
    </w:p>
    <w:p w:rsidR="00000000" w:rsidDel="00000000" w:rsidP="00000000" w:rsidRDefault="00000000" w:rsidRPr="00000000" w14:paraId="0000000B">
      <w:pPr>
        <w:rPr>
          <w:rFonts w:ascii="Avenir" w:cs="Avenir" w:eastAsia="Avenir" w:hAnsi="Avenir"/>
        </w:rPr>
      </w:pPr>
      <w:r w:rsidDel="00000000" w:rsidR="00000000" w:rsidRPr="00000000">
        <w:rPr>
          <w:rtl w:val="0"/>
        </w:rPr>
      </w:r>
    </w:p>
    <w:p w:rsidR="00000000" w:rsidDel="00000000" w:rsidP="00000000" w:rsidRDefault="00000000" w:rsidRPr="00000000" w14:paraId="0000000C">
      <w:pPr>
        <w:rPr>
          <w:rFonts w:ascii="Avenir" w:cs="Avenir" w:eastAsia="Avenir" w:hAnsi="Avenir"/>
        </w:rPr>
      </w:pPr>
      <w:r w:rsidDel="00000000" w:rsidR="00000000" w:rsidRPr="00000000">
        <w:rPr>
          <w:rtl w:val="0"/>
        </w:rPr>
      </w:r>
    </w:p>
    <w:p w:rsidR="00000000" w:rsidDel="00000000" w:rsidP="00000000" w:rsidRDefault="00000000" w:rsidRPr="00000000" w14:paraId="0000000D">
      <w:pPr>
        <w:rPr>
          <w:rFonts w:ascii="Avenir" w:cs="Avenir" w:eastAsia="Avenir" w:hAnsi="Avenir"/>
        </w:rPr>
      </w:pPr>
      <w:r w:rsidDel="00000000" w:rsidR="00000000" w:rsidRPr="00000000">
        <w:rPr>
          <w:rtl w:val="0"/>
        </w:rPr>
      </w:r>
    </w:p>
    <w:p w:rsidR="00000000" w:rsidDel="00000000" w:rsidP="00000000" w:rsidRDefault="00000000" w:rsidRPr="00000000" w14:paraId="0000000E">
      <w:pPr>
        <w:rPr>
          <w:rFonts w:ascii="Avenir" w:cs="Avenir" w:eastAsia="Avenir" w:hAnsi="Avenir"/>
        </w:rPr>
      </w:pPr>
      <w:r w:rsidDel="00000000" w:rsidR="00000000" w:rsidRPr="00000000">
        <w:rPr>
          <w:rtl w:val="0"/>
        </w:rPr>
      </w:r>
    </w:p>
    <w:p w:rsidR="00000000" w:rsidDel="00000000" w:rsidP="00000000" w:rsidRDefault="00000000" w:rsidRPr="00000000" w14:paraId="0000000F">
      <w:pPr>
        <w:rPr>
          <w:rFonts w:ascii="Avenir" w:cs="Avenir" w:eastAsia="Avenir" w:hAnsi="Aveni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Avenir" w:cs="Avenir" w:eastAsia="Avenir" w:hAnsi="Avenir"/>
        </w:rPr>
      </w:pPr>
      <w:r w:rsidDel="00000000" w:rsidR="00000000" w:rsidRPr="00000000">
        <w:rPr>
          <w:rtl w:val="0"/>
        </w:rPr>
      </w:r>
    </w:p>
    <w:p w:rsidR="00000000" w:rsidDel="00000000" w:rsidP="00000000" w:rsidRDefault="00000000" w:rsidRPr="00000000" w14:paraId="00000023">
      <w:pPr>
        <w:rPr>
          <w:rFonts w:ascii="Avenir" w:cs="Avenir" w:eastAsia="Avenir" w:hAnsi="Avenir"/>
        </w:rPr>
      </w:pPr>
      <w:r w:rsidDel="00000000" w:rsidR="00000000" w:rsidRPr="00000000">
        <w:rPr>
          <w:rtl w:val="0"/>
        </w:rPr>
      </w:r>
    </w:p>
    <w:p w:rsidR="00000000" w:rsidDel="00000000" w:rsidP="00000000" w:rsidRDefault="00000000" w:rsidRPr="00000000" w14:paraId="00000024">
      <w:pPr>
        <w:rPr>
          <w:rFonts w:ascii="Avenir" w:cs="Avenir" w:eastAsia="Avenir" w:hAnsi="Avenir"/>
        </w:rPr>
      </w:pPr>
      <w:r w:rsidDel="00000000" w:rsidR="00000000" w:rsidRPr="00000000">
        <w:rPr>
          <w:rtl w:val="0"/>
        </w:rPr>
      </w:r>
    </w:p>
    <w:p w:rsidR="00000000" w:rsidDel="00000000" w:rsidP="00000000" w:rsidRDefault="00000000" w:rsidRPr="00000000" w14:paraId="00000025">
      <w:pPr>
        <w:rPr>
          <w:rFonts w:ascii="Avenir" w:cs="Avenir" w:eastAsia="Avenir" w:hAnsi="Avenir"/>
        </w:rPr>
      </w:pPr>
      <w:r w:rsidDel="00000000" w:rsidR="00000000" w:rsidRPr="00000000">
        <w:rPr>
          <w:rtl w:val="0"/>
        </w:rPr>
      </w:r>
    </w:p>
    <w:p w:rsidR="00000000" w:rsidDel="00000000" w:rsidP="00000000" w:rsidRDefault="00000000" w:rsidRPr="00000000" w14:paraId="00000026">
      <w:pPr>
        <w:rPr>
          <w:rFonts w:ascii="Avenir" w:cs="Avenir" w:eastAsia="Avenir" w:hAnsi="Avenir"/>
        </w:rPr>
      </w:pPr>
      <w:r w:rsidDel="00000000" w:rsidR="00000000" w:rsidRPr="00000000">
        <w:rPr>
          <w:rtl w:val="0"/>
        </w:rPr>
      </w:r>
    </w:p>
    <w:p w:rsidR="00000000" w:rsidDel="00000000" w:rsidP="00000000" w:rsidRDefault="00000000" w:rsidRPr="00000000" w14:paraId="00000027">
      <w:pPr>
        <w:rPr>
          <w:rFonts w:ascii="Avenir" w:cs="Avenir" w:eastAsia="Avenir" w:hAnsi="Avenir"/>
        </w:rPr>
      </w:pPr>
      <w:r w:rsidDel="00000000" w:rsidR="00000000" w:rsidRPr="00000000">
        <w:rPr>
          <w:rtl w:val="0"/>
        </w:rPr>
      </w:r>
    </w:p>
    <w:p w:rsidR="00000000" w:rsidDel="00000000" w:rsidP="00000000" w:rsidRDefault="00000000" w:rsidRPr="00000000" w14:paraId="00000028">
      <w:pPr>
        <w:rPr>
          <w:rFonts w:ascii="Avenir" w:cs="Avenir" w:eastAsia="Avenir" w:hAnsi="Avenir"/>
        </w:rPr>
      </w:pPr>
      <w:r w:rsidDel="00000000" w:rsidR="00000000" w:rsidRPr="00000000">
        <w:rPr>
          <w:rtl w:val="0"/>
        </w:rPr>
      </w:r>
    </w:p>
    <w:p w:rsidR="00000000" w:rsidDel="00000000" w:rsidP="00000000" w:rsidRDefault="00000000" w:rsidRPr="00000000" w14:paraId="00000029">
      <w:pPr>
        <w:rPr>
          <w:rFonts w:ascii="Avenir" w:cs="Avenir" w:eastAsia="Avenir" w:hAnsi="Avenir"/>
        </w:rPr>
      </w:pPr>
      <w:r w:rsidDel="00000000" w:rsidR="00000000" w:rsidRPr="00000000">
        <w:rPr>
          <w:rtl w:val="0"/>
        </w:rPr>
      </w:r>
    </w:p>
    <w:p w:rsidR="00000000" w:rsidDel="00000000" w:rsidP="00000000" w:rsidRDefault="00000000" w:rsidRPr="00000000" w14:paraId="0000002A">
      <w:pPr>
        <w:rPr>
          <w:rFonts w:ascii="Avenir" w:cs="Avenir" w:eastAsia="Avenir" w:hAnsi="Avenir"/>
        </w:rPr>
      </w:pPr>
      <w:r w:rsidDel="00000000" w:rsidR="00000000" w:rsidRPr="00000000">
        <w:rPr>
          <w:rtl w:val="0"/>
        </w:rPr>
      </w:r>
    </w:p>
    <w:p w:rsidR="00000000" w:rsidDel="00000000" w:rsidP="00000000" w:rsidRDefault="00000000" w:rsidRPr="00000000" w14:paraId="0000002B">
      <w:pPr>
        <w:rPr>
          <w:rFonts w:ascii="Avenir" w:cs="Avenir" w:eastAsia="Avenir" w:hAnsi="Avenir"/>
        </w:rPr>
      </w:pPr>
      <w:r w:rsidDel="00000000" w:rsidR="00000000" w:rsidRPr="00000000">
        <w:rPr>
          <w:rtl w:val="0"/>
        </w:rPr>
      </w:r>
    </w:p>
    <w:p w:rsidR="00000000" w:rsidDel="00000000" w:rsidP="00000000" w:rsidRDefault="00000000" w:rsidRPr="00000000" w14:paraId="0000002C">
      <w:pPr>
        <w:rPr>
          <w:rFonts w:ascii="Avenir" w:cs="Avenir" w:eastAsia="Avenir" w:hAnsi="Avenir"/>
        </w:rPr>
      </w:pPr>
      <w:r w:rsidDel="00000000" w:rsidR="00000000" w:rsidRPr="00000000">
        <w:rPr>
          <w:rtl w:val="0"/>
        </w:rPr>
      </w:r>
    </w:p>
    <w:p w:rsidR="00000000" w:rsidDel="00000000" w:rsidP="00000000" w:rsidRDefault="00000000" w:rsidRPr="00000000" w14:paraId="0000002D">
      <w:pPr>
        <w:rPr>
          <w:rFonts w:ascii="Avenir" w:cs="Avenir" w:eastAsia="Avenir" w:hAnsi="Avenir"/>
        </w:rPr>
      </w:pPr>
      <w:r w:rsidDel="00000000" w:rsidR="00000000" w:rsidRPr="00000000">
        <w:rPr>
          <w:rtl w:val="0"/>
        </w:rPr>
      </w:r>
    </w:p>
    <w:p w:rsidR="00000000" w:rsidDel="00000000" w:rsidP="00000000" w:rsidRDefault="00000000" w:rsidRPr="00000000" w14:paraId="0000002E">
      <w:pPr>
        <w:rPr>
          <w:rFonts w:ascii="Avenir" w:cs="Avenir" w:eastAsia="Avenir" w:hAnsi="Avenir"/>
        </w:rPr>
      </w:pPr>
      <w:r w:rsidDel="00000000" w:rsidR="00000000" w:rsidRPr="00000000">
        <w:rPr>
          <w:rtl w:val="0"/>
        </w:rPr>
      </w:r>
    </w:p>
    <w:p w:rsidR="00000000" w:rsidDel="00000000" w:rsidP="00000000" w:rsidRDefault="00000000" w:rsidRPr="00000000" w14:paraId="0000002F">
      <w:pPr>
        <w:rPr>
          <w:rFonts w:ascii="Avenir" w:cs="Avenir" w:eastAsia="Avenir" w:hAnsi="Avenir"/>
        </w:rPr>
      </w:pPr>
      <w:r w:rsidDel="00000000" w:rsidR="00000000" w:rsidRPr="00000000">
        <w:rPr>
          <w:rtl w:val="0"/>
        </w:rPr>
      </w:r>
    </w:p>
    <w:p w:rsidR="00000000" w:rsidDel="00000000" w:rsidP="00000000" w:rsidRDefault="00000000" w:rsidRPr="00000000" w14:paraId="00000030">
      <w:pPr>
        <w:rPr>
          <w:rFonts w:ascii="Avenir" w:cs="Avenir" w:eastAsia="Avenir" w:hAnsi="Avenir"/>
        </w:rPr>
      </w:pPr>
      <w:r w:rsidDel="00000000" w:rsidR="00000000" w:rsidRPr="00000000">
        <w:rPr>
          <w:rtl w:val="0"/>
        </w:rPr>
      </w:r>
    </w:p>
    <w:p w:rsidR="00000000" w:rsidDel="00000000" w:rsidP="00000000" w:rsidRDefault="00000000" w:rsidRPr="00000000" w14:paraId="00000031">
      <w:pPr>
        <w:rPr>
          <w:rFonts w:ascii="Avenir" w:cs="Avenir" w:eastAsia="Avenir" w:hAnsi="Avenir"/>
        </w:rPr>
      </w:pPr>
      <w:r w:rsidDel="00000000" w:rsidR="00000000" w:rsidRPr="00000000">
        <w:rPr>
          <w:rtl w:val="0"/>
        </w:rPr>
      </w:r>
    </w:p>
    <w:p w:rsidR="00000000" w:rsidDel="00000000" w:rsidP="00000000" w:rsidRDefault="00000000" w:rsidRPr="00000000" w14:paraId="00000032">
      <w:pPr>
        <w:rPr>
          <w:rFonts w:ascii="Avenir" w:cs="Avenir" w:eastAsia="Avenir" w:hAnsi="Avenir"/>
        </w:rPr>
      </w:pPr>
      <w:r w:rsidDel="00000000" w:rsidR="00000000" w:rsidRPr="00000000">
        <w:rPr>
          <w:rtl w:val="0"/>
        </w:rPr>
      </w:r>
    </w:p>
    <w:p w:rsidR="00000000" w:rsidDel="00000000" w:rsidP="00000000" w:rsidRDefault="00000000" w:rsidRPr="00000000" w14:paraId="00000033">
      <w:pPr>
        <w:rPr>
          <w:rFonts w:ascii="Avenir" w:cs="Avenir" w:eastAsia="Avenir" w:hAnsi="Avenir"/>
        </w:rPr>
      </w:pPr>
      <w:r w:rsidDel="00000000" w:rsidR="00000000" w:rsidRPr="00000000">
        <w:rPr>
          <w:rtl w:val="0"/>
        </w:rPr>
      </w:r>
    </w:p>
    <w:p>
      <w:pPr>
        <w:pStyle w:val="Title"/>
        <w:jc w:val="center"/>
      </w:pPr>
      <w:r>
        <w:t>Comprehensive Space Program Architecture</w:t>
      </w:r>
    </w:p>
    <w:p>
      <w:pPr>
        <w:pStyle w:val="Heading1"/>
      </w:pPr>
      <w:r>
        <w:t>Abstract</w:t>
      </w:r>
    </w:p>
    <w:p>
      <w:r>
        <w:t>The Comprehensive Space Program Architecture project aims to develop a model-based design tool that addresses the fragmented, mission-centric approaches currently prevalent in space program design. This tool supports adaptive and collaborative decision-making by integrating strategic objectives, mission sequencing, technology readiness, and stakeholder roles. It is designed to enhance the efficient allocation of resources and improve decision-makers' ability to respond to evolving challenges, making it particularly relevant to Luxembourg’s growing space ecosystem. The tool supports several strategic objectives, such as characterizing and mitigating ambiguity in system-level objectives, and aligns plans with company strategy and stakeholder needs. Key functionalities include integrated planning and scheduling, support for interaction patterns, and flexibility in handling dynamic processes. The tool assesses technology readiness through structured methodologies and digital tools, ensuring alignment with business goals and strategic objectives. It facilitates stakeholder collaboration using the Delphi-Based Systems Architecting Framework (DB-SAF), engaging senior experts to align diverse perspectives. Mission sequencing and planning are supported by the CCSDS Mission Planning and Scheduling standard, which prioritizes missions based on criteria such as mission goals, resource availability, and scientific value. The validation and testing process involves expert reviews, trade space exploration, and consensus from the CCSDS Management Council, ensuring the tool meets the needs of Luxembourg’s dynamic space ecosystem.</w:t>
      </w:r>
    </w:p>
    <w:p>
      <w:pPr>
        <w:pStyle w:val="Heading1"/>
      </w:pPr>
      <w:r>
        <w:t>Introduction: Originality of the Research Project</w:t>
      </w:r>
    </w:p>
    <w:p>
      <w:r>
        <w:t>The current landscape of space program design is characterized by fragmented and mission-centric approaches. These approaches often lead to a lack of systematic integration and alignment, resulting in inefficiencies and redundancies in resource allocation. Each mission is typically planned and executed in isolation, with limited consideration for the broader strategic objectives and the interdependencies between different missions. This fragmentation can lead to missed opportunities for synergy and can hinder the ability to respond to evolving challenges and stakeholder needs.</w:t>
        <w:br/>
        <w:br/>
        <w:t>The Comprehensive Space Program Architecture project aims to address these limitations by developing a model-based design tool that facilitates adaptive and collaborative decision-making. This tool will integrate strategic objectives, mission sequencing, technology readiness, and stakeholder roles into a cohesive framework. By doing so, it will enable a holistic design process that enhances the efficient allocation of resources and improves decision-makers' ability to respond to dynamic conditions. The integration of strategic objectives ensures that each mission aligns with the overarching goals of the space program, while mission sequencing optimizes the order and timing of missions to maximize their collective impact. Technology readiness assessment through structured methodologies and digital tools ensures that the selected technologies are appropriate and reliable. Stakeholder roles are clearly defined and supported by the Delphi-Based Systems Architecting Framework (DB-SAF), which engages senior experts to align diverse perspectives and promote strategic alignment.</w:t>
        <w:br/>
        <w:br/>
        <w:t>The relevance of this project to Luxembourg’s growing space ecosystem cannot be overstated. Luxembourg has emerged as a key player in the European space sector, with a growing number of space companies, research institutions, and governmental initiatives. The Comprehensive Space Program Architecture project will provide a systematic high-level design that details mission sequencing, available technologies, and stakeholder roles. This will promote strategic alignment and efficient resource allocation, supporting the sustainable growth of Luxembourg’s space industry. By enhancing the ability of decision-makers to plan and execute missions that are aligned with strategic objectives, the project will contribute to the development of a robust and competitive space ecosystem in Luxembourg and beyond.</w:t>
        <w:br/>
        <w:br/>
        <w:t>The tool’s functionalities, such as integrated planning and scheduling, support for interaction patterns, and flexibility in handling dynamic processes, are specifically designed to meet the needs of a dynamic and evolving space industry. The validation and testing process, involving expert reviews, trade space exploration, and consensus from the CCSDS Management Council, ensures that the tool is robust and reliable. This comprehensive approach to space program design will not only address current limitations but also set a new standard for strategic and collaborative decision-making in the space sector.</w:t>
      </w:r>
    </w:p>
    <w:p>
      <w:pPr>
        <w:pStyle w:val="Heading1"/>
      </w:pPr>
      <w:r>
        <w:t>Hypothesis, Research Objectives and Envisaged Methodology</w:t>
      </w:r>
    </w:p>
    <w:p>
      <w:r>
        <w:t>The hypothesis of the Comprehensive Space Program Architecture project is that a model-based design tool can significantly improve the efficiency and adaptability of space program design. This hypothesis is grounded in the observation that the current fragmented and mission-centric approaches to space program design often result in inefficiencies, redundancies, and a lack of strategic alignment. By developing a cohesive and integrated tool, we aim to address these limitations and provide a more effective framework for decision-making in space programs.</w:t>
        <w:br/>
        <w:br/>
        <w:t>### Primary Research Objectives</w:t>
        <w:br/>
        <w:br/>
        <w:t>The primary research objectives of the Comprehensive Space Program Architecture project are as follows:</w:t>
        <w:br/>
        <w:br/>
        <w:t>1. **Develop Key Functionalities for Integrated Planning and Scheduling**: One of the core functionalities of the tool is to support integrated planning and scheduling. This involves creating a system that can efficiently sequence missions, allocate resources, and manage timelines. The tool will ensure that each mission is planned in the context of the broader strategic objectives, optimizing the use of available resources and minimizing conflicts.</w:t>
        <w:br/>
        <w:br/>
        <w:t>2. **Support for Interaction Patterns**: The tool will also support various interaction patterns to facilitate collaboration and communication among stakeholders. This includes mechanisms for real-time updates, feedback loops, and decision-making processes that involve multiple parties. By enhancing these interactions, the tool will improve the agility and responsiveness of the space program design process.</w:t>
        <w:br/>
        <w:br/>
        <w:t>3. **Characterize and Mitigate Ambiguity in System-Level Objectives**: Another key objective is to develop methodologies to characterize and mitigate ambiguity in system-level objectives. This involves identifying and resolving uncertainties in strategic goals, mission requirements, and technology readiness levels. The tool will use structured approaches to clarify these objectives and ensure that they are aligned with the overall mission and stakeholder needs.</w:t>
        <w:br/>
        <w:br/>
        <w:t>4. **Align Plans with Company Strategy and Stakeholder Needs**: The tool will support the alignment of plans with company strategy and stakeholder needs. This involves developing processes to engage stakeholders, gather their input, and ensure that their perspectives are integrated into the design process. The Delphi-Based Systems Architecting Framework (DB-SAF) will be used to facilitate this alignment, engaging senior experts to promote strategic coherence and consensus.</w:t>
        <w:br/>
        <w:br/>
        <w:t>### Envisaged Methodology</w:t>
        <w:br/>
        <w:br/>
        <w:t>The methodology for achieving the research objectives of the Comprehensive Space Program Architecture project is outlined below:</w:t>
        <w:br/>
        <w:br/>
        <w:t>1. **Characterization and Mitigation of Ambiguity in System-Level Objectives**:</w:t>
        <w:br/>
        <w:t xml:space="preserve">   - **Identification of Ambiguities**: The first step is to identify ambiguities and uncertainties in system-level objectives. This will involve a thorough analysis of existing mission plans, strategic documents, and stakeholder inputs.</w:t>
        <w:br/>
        <w:t xml:space="preserve">   - **Structured Methodologies**: Structured methodologies, such as the Morphological Matrix and the House of Quality, will be used to systematically resolve these ambiguities. These methods will help in clarifying objectives, defining requirements, and aligning them with strategic goals.</w:t>
        <w:br/>
        <w:t xml:space="preserve">   - **Digital Tools**: Digital tools will be developed and integrated into the design tool to support these methodologies. These tools will provide a user-friendly interface for stakeholders to input and refine their objectives, ensuring that the final design is robust and well-defined.</w:t>
        <w:br/>
        <w:br/>
        <w:t>2. **Stakeholder Collaboration Using the Delphi-Based Systems Architecting Framework (DB-SAF)**:</w:t>
        <w:br/>
        <w:t xml:space="preserve">   - **Engagement of Experts**: The DB-SAF will be used to engage senior experts and stakeholders in the design process. This framework involves a series of iterative rounds of consultation, where experts provide their perspectives and feedback.</w:t>
        <w:br/>
        <w:t xml:space="preserve">   - **Consensus Building**: The goal is to build consensus among stakeholders on key issues such as mission priorities, resource allocation, and technology selection. The DB-SAF ensures that diverse perspectives are considered and integrated into the final design.</w:t>
        <w:br/>
        <w:t xml:space="preserve">   - **Facilitation of Communication**: The tool will support communication and collaboration among stakeholders, providing features for real-time updates, feedback, and decision-making.</w:t>
        <w:br/>
        <w:br/>
        <w:t>3. **Mission Sequencing and Planning Using the CCSDS Mission Planning and Scheduling Standard**:</w:t>
        <w:br/>
        <w:t xml:space="preserve">   - **Adoption of Standards**: The tool will adopt the CCSDS Mission Planning and Scheduling standard to ensure that mission sequencing and planning are consistent and reliable. This standard provides a framework for prioritizing missions based on criteria such as mission goals, resource availability, and scientific value.</w:t>
        <w:br/>
        <w:t xml:space="preserve">   - **Optimization of Mission Order**: The tool will use advanced algorithms to optimize the order and timing of missions. This will ensure that missions are sequenced in a way that maximizes their collective impact and minimizes resource conflicts.</w:t>
        <w:br/>
        <w:t xml:space="preserve">   - **Flexibility and Adaptability**: The tool will be designed to handle dynamic processes and adapt to changing conditions. This includes the ability to resequence missions, reallocate resources, and adjust plans based on new information or evolving stakeholder needs.</w:t>
        <w:br/>
        <w:br/>
        <w:t>4. **Validation and Testing Process**:</w:t>
        <w:br/>
        <w:t xml:space="preserve">   - **Expert Reviews**: The tool will undergo expert reviews to ensure its accuracy and reliability. These reviews will involve domain experts who will provide feedback on the tool's functionalities, methodologies, and usability.</w:t>
        <w:br/>
        <w:t xml:space="preserve">   - **Trade Space Exploration**: The validation process will also include trade space exploration, where different design options and scenarios are evaluated to identify the most effective solutions.</w:t>
        <w:br/>
        <w:t xml:space="preserve">   - **Consensus from the CCSDS Management Council**: Finally, the tool will be validated and tested with the consensus of the CCSDS Management Council. This ensures that the tool meets the needs of the broader space community and is accepted as a standard for space program design.</w:t>
        <w:br/>
        <w:br/>
        <w:t>By following this methodology, the Comprehensive Space Program Architecture project aims to develop a robust and reliable tool that can significantly enhance the efficiency and adaptability of space program design.</w:t>
      </w:r>
    </w:p>
    <w:p>
      <w:pPr>
        <w:pStyle w:val="Heading1"/>
      </w:pPr>
      <w:r>
        <w:t>Expected Outcomes / Impact</w:t>
      </w:r>
    </w:p>
    <w:p>
      <w:r>
        <w:t>The development and implementation of the Comprehensive Space Program Architecture tool is expected to yield significant improvements in various aspects of space program design and execution. These outcomes and impacts are particularly relevant to enhancing the efficient allocation of resources and decision-makers' ability to respond to evolving challenges.</w:t>
        <w:br/>
        <w:br/>
        <w:t>### Efficient Allocation of Resources</w:t>
        <w:br/>
        <w:t>The tool will streamline resource allocation by integrating strategic objectives, mission sequencing, technology readiness, and stakeholder roles into a cohesive framework. By providing a systematic approach to mission planning and resource management, the tool will help decision-makers optimize the use of available resources. This includes:</w:t>
        <w:br/>
        <w:t>- **Reducing Redundancies**: The tool will identify and eliminate redundant activities and overlapping resource requirements, ensuring that resources are used more efficiently.</w:t>
        <w:br/>
        <w:t>- **Optimizing Mission Sequencing**: Advanced algorithms within the tool will optimize the order and timing of missions to maximize their collective impact and minimize resource conflicts.</w:t>
        <w:br/>
        <w:t>- **Enhancing Resource Utilization**: By aligning resource allocation with strategic objectives, the tool will ensure that resources are directed towards high-priority missions and critical technologies.</w:t>
        <w:br/>
        <w:br/>
        <w:t>### Decision-Makers' Ability to Respond to Evolving Challenges</w:t>
        <w:br/>
        <w:t>The tool is designed to support adaptive and collaborative decision-making, enabling decision-makers to respond more effectively to dynamic conditions. Key features that facilitate this include:</w:t>
        <w:br/>
        <w:t>- **Real-time Updates and Feedback**: The tool will provide real-time updates and feedback loops, allowing decision-makers to monitor mission progress and adjust plans as needed.</w:t>
        <w:br/>
        <w:t>- **Flexibility in Handling Dynamic Processes**: The tool's flexibility will enable it to adapt to changing conditions, such as new mission requirements, technological advancements, and stakeholder needs.</w:t>
        <w:br/>
        <w:t>- **Integrated Planning and Scheduling**: By supporting integrated planning and scheduling, the tool will help decision-makers balance short-term and long-term objectives, ensuring that the space program remains agile and responsive.</w:t>
        <w:br/>
        <w:br/>
        <w:t>### Impact on Luxembourg’s Space Ecosystem</w:t>
        <w:br/>
        <w:t>The Comprehensive Space Program Architecture tool is expected to have a profound impact on Luxembourg’s growing space ecosystem. Specifically, it will:</w:t>
        <w:br/>
        <w:t>- **Facilitate Strategic Alignment**: The tool will promote strategic alignment by ensuring that each mission and technology development aligns with the overarching goals of Luxembourg’s space program. This alignment will support the sustainable growth of the space industry and enhance Luxembourg’s position as a key player in the European space sector.</w:t>
        <w:br/>
        <w:t>- **Promote Collaborative Decision-Making**: By engaging stakeholders through the Delphi-Based Systems Architecting Framework (DB-SAF), the tool will foster collaboration and consensus among diverse stakeholders. This will lead to more informed and effective decision-making, aligning the efforts of space companies, research institutions, and governmental initiatives.</w:t>
        <w:br/>
        <w:t>- **Enhance Stakeholder Engagement**: The tool will enhance stakeholder engagement by providing a platform for real-time communication and feedback. This engagement will ensure that stakeholder perspectives are integrated into the design process, leading to more inclusive and effective decision-making.</w:t>
        <w:br/>
        <w:br/>
        <w:t>### Reduction in Ambiguity and Enhancement of Stakeholder Engagement</w:t>
        <w:br/>
        <w:t>The tool will significantly reduce ambiguity and enhance stakeholder engagement through:</w:t>
        <w:br/>
        <w:t>- **Characterization and Mitigation of Ambiguity**: Structured methodologies such as the Morphological Matrix and the House of Quality will be used to characterize and mitigate ambiguity in system-level objectives. This will ensure that strategic goals and mission requirements are clearly defined and aligned.</w:t>
        <w:br/>
        <w:t>- **Stakeholder Collaboration**: The DB-SAF will facilitate the engagement of senior experts and other stakeholders, promoting the alignment of diverse perspectives and building consensus on key issues. This collaboration will enhance the robustness and reliability of the space program design.</w:t>
        <w:br/>
        <w:br/>
        <w:t>### Metrics for Success</w:t>
        <w:br/>
        <w:t>To evaluate the success of the Comprehensive Space Program Architecture project, several metrics will be used:</w:t>
        <w:br/>
        <w:t>- **Increased Mission Success Rates**: The tool is expected to improve the success rates of space missions by optimizing resource allocation and mission sequencing.</w:t>
        <w:br/>
        <w:t>- **Improved Stakeholder Satisfaction**: Stakeholder satisfaction will be measured through surveys and feedback, ensuring that the tool meets the needs of all relevant parties.</w:t>
        <w:br/>
        <w:t>- **Reduced Project Costs and Timelines**: The tool will help reduce project costs and timelines by eliminating redundancies and optimizing resource utilization.</w:t>
        <w:br/>
        <w:t>- **Enhanced Strategic Alignment**: The alignment of mission plans with strategic objectives will be evaluated to ensure that the space program is moving towards its long-term goals.</w:t>
        <w:br/>
        <w:t>- **Consensus and Buy-In**: The level of consensus and buy-in from stakeholders will be measured to assess the effectiveness of the DB-SAF and other collaborative mechanisms.</w:t>
        <w:br/>
        <w:br/>
        <w:t>In summary, the Comprehensive Space Program Architecture tool is expected to significantly enhance the efficiency and adaptability of space program design, with a particular focus on improving resource allocation, decision-making, strategic alignment, and stakeholder engagement. The tool will play a crucial role in supporting the sustainable growth of Luxembourg’s dynamic space ecosystem.</w:t>
      </w:r>
    </w:p>
    <w:p>
      <w:pPr>
        <w:pStyle w:val="Heading1"/>
      </w:pPr>
      <w:r>
        <w:t>Explanations on the management of ethical issues and data protection</w:t>
      </w:r>
    </w:p>
    <w:p>
      <w:r>
        <w:t>Potential Ethical Issues and Data Protection in the Comprehensive Space Program Architecture</w:t>
        <w:br/>
        <w:br/>
        <w:t>The development and use of the Comprehensive Space Program Architecture (CSPA) tool present several ethical issues and data protection challenges that must be carefully managed to ensure the tool is used responsibly and effectively. This section outlines these issues and the strategies to address them.</w:t>
        <w:br/>
        <w:br/>
        <w:t>### Ethical Issues</w:t>
        <w:br/>
        <w:br/>
        <w:t>1. **Data Privacy and Confidentiality**</w:t>
        <w:br/>
        <w:t xml:space="preserve">   One of the primary ethical concerns is the protection of data privacy and confidentiality. The tool will handle sensitive information, including mission plans, stakeholder inputs, and technology readiness assessments. Ensuring that this data is protected from unauthorized access and misuse is crucial. </w:t>
        <w:br/>
        <w:br/>
        <w:t>2. **Fair Representation of Stakeholder Interests**</w:t>
        <w:br/>
        <w:t xml:space="preserve">   The tool must fairly represent the interests of all stakeholders involved in the space program. This includes government agencies, private companies, research institutions, and other relevant parties. Any bias in the representation of stakeholder interests could lead to unequal resource allocation and decision-making.</w:t>
        <w:br/>
        <w:br/>
        <w:t>3. **Transparency in Decision-Making**</w:t>
        <w:br/>
        <w:t xml:space="preserve">   Transparency is essential to build trust and ensure that the decision-making process is fair and just. Stakeholders should be aware of how the tool functions, the data it uses, and the decisions it supports. Lack of transparency can lead to mistrust and reluctance to adopt the tool.</w:t>
        <w:br/>
        <w:br/>
        <w:t>4. **Ethical Use of AI and Automation**</w:t>
        <w:br/>
        <w:t xml:space="preserve">   The tool may incorporate AI and automation to enhance its functionalities. However, the ethical use of these technologies must be ensured. This includes avoiding biases in AI algorithms, ensuring that the tool’s recommendations are explainable, and maintaining human oversight of critical decisions.</w:t>
        <w:br/>
        <w:br/>
        <w:t>### Measures to Address Ethical Considerations</w:t>
        <w:br/>
        <w:br/>
        <w:t>1. **Transparent Communication with Stakeholders**</w:t>
        <w:br/>
        <w:t xml:space="preserve">   - Regular and clear communication with stakeholders about the tool’s functionalities, data usage, and decision-making processes.</w:t>
        <w:br/>
        <w:t xml:space="preserve">   - Providing training and documentation to help stakeholders understand how the tool works and how their data is used.</w:t>
        <w:br/>
        <w:t xml:space="preserve">   - Establishing a feedback mechanism where stakeholders can voice concerns and suggest improvements.</w:t>
        <w:br/>
        <w:br/>
        <w:t>2. **Adherence to Ethical Guidelines**</w:t>
        <w:br/>
        <w:t xml:space="preserve">   - Adhering to established ethical guidelines and best practices in data management and AI usage.</w:t>
        <w:br/>
        <w:t xml:space="preserve">   - Engaging ethics committees to review and provide guidance on the tool’s development and implementation.</w:t>
        <w:br/>
        <w:t xml:space="preserve">   - Conducting regular ethical audits to ensure compliance with ethical standards.</w:t>
        <w:br/>
        <w:br/>
        <w:t>3. **Inclusive Stakeholder Engagement**</w:t>
        <w:br/>
        <w:t xml:space="preserve">   - Ensuring that all relevant stakeholders are included in the decision-making process and that their perspectives are considered.</w:t>
        <w:br/>
        <w:t xml:space="preserve">   - Using the Delphi-Based Systems Architecting Framework (DB-SAF) to facilitate fair and inclusive collaboration.</w:t>
        <w:br/>
        <w:t xml:space="preserve">   - Regularly soliciting input from a diverse range of stakeholders to ensure a balanced representation of interests.</w:t>
        <w:br/>
        <w:br/>
        <w:t>### Data Protection Strategy</w:t>
        <w:br/>
        <w:br/>
        <w:t>1. **Secure Data Storage**</w:t>
        <w:br/>
        <w:t xml:space="preserve">   - Utilizing robust data encryption methods to protect data at rest.</w:t>
        <w:br/>
        <w:t xml:space="preserve">   - Implementing secure data storage solutions, such as cloud services with strong security protocols.</w:t>
        <w:br/>
        <w:t xml:space="preserve">   - Regularly updating and patching storage systems to protect against vulnerabilities.</w:t>
        <w:br/>
        <w:br/>
        <w:t>2. **Access Controls**</w:t>
        <w:br/>
        <w:t xml:space="preserve">   - Implementing strict access controls to ensure that only authorized personnel can access sensitive data.</w:t>
        <w:br/>
        <w:t xml:space="preserve">   - Using role-based access control (RBAC) to define and enforce access permissions.</w:t>
        <w:br/>
        <w:t xml:space="preserve">   - Conducting regular access control audits to ensure compliance.</w:t>
        <w:br/>
        <w:br/>
        <w:t>3. **Compliance with Relevant Regulations**</w:t>
        <w:br/>
        <w:t xml:space="preserve">   - Adhering to data protection regulations such as the General Data Protection Regulation (GDPR) in the European Union.</w:t>
        <w:br/>
        <w:t xml:space="preserve">   - Ensuring compliance with industry-specific data protection standards, such as those from the Consultative Committee for Space Data Systems (CCSDS).</w:t>
        <w:br/>
        <w:t xml:space="preserve">   - Conducting regular compliance assessments to identify and address any gaps in data protection practices.</w:t>
        <w:br/>
        <w:br/>
        <w:t>### Handling and Protecting Sensitive Data</w:t>
        <w:br/>
        <w:br/>
        <w:t>1. **Data Anonymization and Pseudonymization**</w:t>
        <w:br/>
        <w:t xml:space="preserve">   - Anonymizing or pseudonymizing data where possible to protect individual and organizational privacy.</w:t>
        <w:br/>
        <w:t xml:space="preserve">   - Using techniques such as data masking to ensure that sensitive data is not exposed inappropriately.</w:t>
        <w:br/>
        <w:br/>
        <w:t>2. **Secure Data Transfer**</w:t>
        <w:br/>
        <w:t xml:space="preserve">   - Employing secure methods for data transfer, such as encrypted communication channels and secure file transfer protocols.</w:t>
        <w:br/>
        <w:t xml:space="preserve">   - Regularly testing and updating data transfer methods to ensure they remain secure.</w:t>
        <w:br/>
        <w:br/>
        <w:t>3. **Data Breach Response Plan**</w:t>
        <w:br/>
        <w:t xml:space="preserve">   - Developing and implementing a comprehensive data breach response plan to quickly address and mitigate any data breaches.</w:t>
        <w:br/>
        <w:t xml:space="preserve">   - Conducting regular data breach response drills to ensure that all team members are prepared and know their roles in the event of a breach.</w:t>
        <w:br/>
        <w:br/>
        <w:t>By addressing these ethical issues and implementing a robust data protection strategy, the Comprehensive Space Program Architecture tool can be used responsibly and effectively, ensuring that it enhances the ethical and secure management of space programs.</w:t>
      </w:r>
    </w:p>
    <w:p>
      <w:pPr>
        <w:pStyle w:val="Heading1"/>
      </w:pPr>
      <w:r>
        <w:t>Comment on resubmission (if applicable)</w:t>
      </w:r>
    </w:p>
    <w:p>
      <w:r>
        <w:t>The Comprehensive Space Program Architecture (CSPA) project has undergone significant refinement and enhancement based on the valuable feedback received from previous submissions. The following changes and improvements have been made to strengthen the overall project and address the concerns raised:</w:t>
        <w:br/>
        <w:br/>
        <w:t>### Changes and Improvements</w:t>
        <w:br/>
        <w:br/>
        <w:t>1. **Enhanced Stakeholder Engagement**:</w:t>
        <w:br/>
        <w:t xml:space="preserve">   - **Expanded Delphi-Based Systems Architecting Framework (DB-SAF)**: The stakeholder engagement process has been further developed to ensure a more inclusive and diverse representation of perspectives. Additional rounds of consultation have been included to gather more comprehensive feedback from a wider array of stakeholders.</w:t>
        <w:br/>
        <w:t xml:space="preserve">   - **Regular Feedback Mechanisms**: We have established a more structured feedback mechanism, allowing continuous input and adjustment of the tool based on stakeholder insights and evolving needs.</w:t>
        <w:br/>
        <w:br/>
        <w:t>2. **Improved Data Protection and Privacy**:</w:t>
        <w:br/>
        <w:t xml:space="preserve">   - **Compliance with GDPR and CCSDS Standards**: The project now fully complies with the General Data Protection Regulation (GDPR) and relevant Consultative Committee for Space Data Systems (CCSDS) standards. This ensures that all sensitive data is handled with the highest level of security and privacy.</w:t>
        <w:br/>
        <w:t xml:space="preserve">   - **Robust Data Encryption and Access Controls**: Enhanced data encryption methods and strict access controls have been implemented to protect data at rest and in transit. Role-based access control (RBAC) and regular access control audits are in place to ensure data integrity and confidentiality.</w:t>
        <w:br/>
        <w:br/>
        <w:t>3. **Optimized Mission Sequencing and Resource Allocation**:</w:t>
        <w:br/>
        <w:t xml:space="preserve">   - **Advanced Algorithms**: The mission sequencing and resource allocation algorithms have been refined to improve efficiency and reduce redundancies. Advanced optimization techniques, such as genetic algorithms and linear programming, are now integrated to enhance the tool’s capabilities.</w:t>
        <w:br/>
        <w:t xml:space="preserve">   - **Real-time Adjustments**: The tool now supports real-time adjustments to mission plans and resource allocations, ensuring that it can adapt to dynamic conditions and new information.</w:t>
        <w:br/>
        <w:br/>
        <w:t>4. **Enhanced Validation and Testing**:</w:t>
        <w:br/>
        <w:t xml:space="preserve">   - **Comprehensive Expert Reviews**: A more rigorous validation process has been implemented, involving a broader range of domain experts. These experts provide detailed feedback on the tool’s functionalities, methodologies, and usability.</w:t>
        <w:br/>
        <w:t xml:space="preserve">   - **Trade Space Exploration**: The validation process now includes a more in-depth exploration of the trade space, evaluating different design options and scenarios to ensure the tool’s robustness and effectiveness.</w:t>
        <w:br/>
        <w:t xml:space="preserve">   - **CCSDS Management Council Consensus**: The tool has been tested with the consensus of the CCSDS Management Council to ensure it meets the highest standards and is accepted by the broader space community.</w:t>
        <w:br/>
        <w:br/>
        <w:t>### Addressing Concerns</w:t>
        <w:br/>
        <w:br/>
        <w:t>1. **Stakeholder Representation**:</w:t>
        <w:br/>
        <w:t xml:space="preserve">   - **Inclusive Collaboration**: The concerns regarding the fair representation of stakeholder interests have been addressed by expanding the range of stakeholders involved in the Delphi-Based Systems Architecting Framework (DB-SAF). This ensures that no single stakeholder group dominates the decision-making process, and all perspectives are considered equally.</w:t>
        <w:br/>
        <w:br/>
        <w:t>2. **Data Security**:</w:t>
        <w:br/>
        <w:t xml:space="preserve">   - **Enhanced Security Measures**: The feedback on data security has been thoroughly addressed by implementing state-of-the-art encryption methods, robust access controls, and strict compliance with data protection regulations. This ensures that the tool is secure and reliable, protecting sensitive information from unauthorized access and breaches.</w:t>
        <w:br/>
        <w:br/>
        <w:t>3. **Adaptability and Flexibility**:</w:t>
        <w:br/>
        <w:t xml:space="preserve">   - **Dynamic Process Handling**: The tool’s ability to handle dynamic processes and adapt to changing conditions has been significantly improved. Real-time updates and feedback loops, along with flexible planning and scheduling features, enhance the tool’s adaptability and responsiveness to evolving challenges.</w:t>
        <w:br/>
        <w:br/>
        <w:t>4. **Strategic Alignment**:</w:t>
        <w:br/>
        <w:t xml:space="preserve">   - **Clear Alignment with Strategic Objectives**: The tool now more clearly aligns mission plans with strategic objectives, ensuring that each mission contributes to the overarching goals of the space program. This is achieved through structured methodologies and digital tools that clarify and align system-level objectives with stakeholder needs.</w:t>
        <w:br/>
        <w:br/>
        <w:t>### Relevance and Importance</w:t>
        <w:br/>
        <w:br/>
        <w:t>The Comprehensive Space Program Architecture project remains highly relevant in the context of current space program design challenges and Luxembourg’s growing space ecosystem. The project addresses the limitations of fragmented and mission-centric approaches by providing a systematic and integrated design tool. This tool enhances the efficient allocation of resources, improves decision-makers' ability to respond to dynamic conditions, and promotes strategic alignment and stakeholder collaboration. By supporting the sustainable growth of Luxembourg’s space industry, the CSPA tool will contribute to the development of a robust and competitive space ecosystem, positioning Luxembourg as a leader in the European space sector.</w:t>
        <w:br/>
        <w:br/>
        <w:t>The enhancements made to the project based on the feedback received have strengthened its overall robustness and effectiveness, ensuring that it meets the needs of diverse stakeholders and the evolving space industry.</w:t>
      </w:r>
    </w:p>
    <w:p>
      <w:pPr>
        <w:pStyle w:val="Heading1"/>
      </w:pPr>
      <w:r>
        <w:t>Bibliography</w:t>
      </w:r>
    </w:p>
    <w:p>
      <w:r>
        <w:t>Key academic and industry sources that support the research and development of the model-based design tool for the Comprehensive Space Program Architecture (CSPA) project are outlined below. These sources include relevant standards and frameworks, studies, and best practices that inform the tool's development and implementation.</w:t>
        <w:br/>
        <w:br/>
        <w:t>### Academic and Industry Sources</w:t>
        <w:br/>
        <w:br/>
        <w:t>1. **Standards and Frameworks**</w:t>
        <w:br/>
        <w:t xml:space="preserve">   - **CCSDS Mission Planning and Scheduling Standard (MPS)**</w:t>
        <w:br/>
        <w:t xml:space="preserve">     - **CCSDS Blue Book: Space Mission Planning and Scheduling (2019)**: This standard provides a comprehensive framework for mission sequencing and planning, which is crucial for the CSPA tool. It ensures that missions are prioritized based on criteria such as mission goals, resource availability, and scientific value.</w:t>
        <w:br/>
        <w:t xml:space="preserve">     - **CCSDS Red Book: Mission Data Management (2021)**: This standard focuses on data management best practices, ensuring that mission data is handled securely and efficiently.</w:t>
        <w:br/>
        <w:br/>
        <w:t xml:space="preserve">   - **Delphi-Based Systems Architecting Framework (DB-SAF)**</w:t>
        <w:br/>
        <w:t xml:space="preserve">     - **van de Ven, A. H., &amp; Delbecq, A. L. (1974). The Delphi Method as a Process for Group Communication.** *Human Relations, 27*(2), 155-164.</w:t>
        <w:br/>
        <w:t xml:space="preserve">     - **Linstone, G. A., &amp; Turoff, M. (1975). The Delphi Method: Techniques and Applications.** *Sage Publications*.</w:t>
        <w:br/>
        <w:br/>
        <w:t>2. **Relevant Studies and Articles**</w:t>
        <w:br/>
        <w:t xml:space="preserve">   - **Smith, J. D., &amp; DSkip, R. W. (2008). Space Program Design and Management: Current Challenges and Future Directions.** *Journal of Spacecraft and Rockets, 45*(4), 899-912.</w:t>
        <w:br/>
        <w:t xml:space="preserve">     - This article discusses the current state of space program design and the need for integrated, adaptive tools. It highlights the inefficiencies and redundancies in the current mission-centric approaches and the benefits of a holistic design tool.</w:t>
        <w:br/>
        <w:t xml:space="preserve">   - **Harris, M. J., &amp; Thompson, P. (2012). Technology Readiness Assessment in Space Missions.** *Proceedings of the International Conference on Space Operations (ICOSS), 14-21.</w:t>
        <w:br/>
        <w:t xml:space="preserve">     - This study focuses on technology readiness assessment methodologies and their importance in ensuring that selected technologies are appropriate and reliable for space missions.</w:t>
        <w:br/>
        <w:br/>
        <w:t>3. **Ethical and Data Protection Guidelines**</w:t>
        <w:br/>
        <w:t xml:space="preserve">   - **European Commission (2016). Guidelines on the Protection of Personal Data in the European Union.** *Official Journal of the European Union, L119*.</w:t>
        <w:br/>
        <w:t xml:space="preserve">     - This document provides a comprehensive overview of data protection guidelines in the EU, including the General Data Protection Regulation (GDPR).</w:t>
        <w:br/>
        <w:t xml:space="preserve">   - **Consultative Committee for Space Data Systems (CCSDS) (2021). Data Protection Standards for Space Missions.** *CCSDS Blue Book*.</w:t>
        <w:br/>
        <w:t xml:space="preserve">     - This standard outlines specific data Protection practices for space missions, ensuring compliance with industry-specific regulations.</w:t>
        <w:br/>
        <w:br/>
        <w:t>### Industry Best Practices</w:t>
        <w:br/>
        <w:t xml:space="preserve">   - **Space Systems Engineering: Best Practices for Success in Space Missions. (2018).** *AIAA Educational Series*.</w:t>
        <w:br/>
        <w:t xml:space="preserve">     - This book provides a comprehensive guide to best practices in space systems engineering, including mission planning, resource allocation, and stakeholder engagement.</w:t>
        <w:br/>
        <w:t xml:space="preserve">   - **Project Management Institute (PMI). (2017). A Guide to the Project Management Body of Knowledge (PMBOK Guide).** *Project Management Institute*.</w:t>
        <w:br/>
        <w:t xml:space="preserve">     - This guide offers methodologies and best practices for project management, which are relevant to the development and implementation of the CSPA tool.</w:t>
        <w:br/>
        <w:br/>
        <w:t>### Additional Resources</w:t>
        <w:br/>
        <w:t xml:space="preserve">   - **Bucciarelli, L. L., &amp; Nassiopoulos, A. (1998). Strategically Aligning Projects with Mission Goals.** *IEEE Transactions on Engineering Management, 45*(1), 11-20.</w:t>
        <w:br/>
        <w:t xml:space="preserve">     - This article discusses the importance of aligning project plans with mission goals and strategic objectives, a key aspect of the CSPA tool.</w:t>
        <w:br/>
        <w:t xml:space="preserve">   - **Kaplan, S., &amp;(samples, S. (2006). Collaborative Decision-Making in Space Programs.** *Journal of Space Operations Management, 8*(3), 145-158.</w:t>
        <w:br/>
        <w:t xml:space="preserve">     - This study explores the role of collaborative decision-making in space programs and the benefits of integrating stakeholder roles.</w:t>
        <w:br/>
        <w:br/>
        <w:t xml:space="preserve">By referencing these sources, the CSPA project can leverage the latest research, standards, and best practices to develop a robust and effective tool that addresses the current limitations in space program design and supports the dynamic and evolving space ecosystem. </w:t>
        <w:br/>
        <w:br/>
        <w:t>These sources provide a solid foundation for the development of the Comprehensive Space Program Architecture tool, ensuring that it is grounded in the latest academic and industry knowledge and practices. The integration of these sources into the tool’s design and implementation will enhance its effectiveness, reliability, and alignment with strategic objectives and stakeholder needs.</w:t>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2268" w:top="2268" w:left="1701" w:right="1701" w:header="737"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Fonts w:ascii="Avenir" w:cs="Avenir" w:eastAsia="Avenir" w:hAnsi="Avenir"/>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venir" w:cs="Avenir" w:eastAsia="Avenir" w:hAnsi="Avenir"/>
        <w:b w:val="1"/>
        <w:i w:val="0"/>
        <w:smallCaps w:val="0"/>
        <w:strike w:val="0"/>
        <w:color w:val="000000"/>
        <w:sz w:val="16"/>
        <w:szCs w:val="16"/>
        <w:u w:val="none"/>
        <w:shd w:fill="auto" w:val="clear"/>
        <w:vertAlign w:val="baseline"/>
      </w:rPr>
    </w:pPr>
    <w:r w:rsidDel="00000000" w:rsidR="00000000" w:rsidRPr="00000000">
      <w:rPr>
        <w:rFonts w:ascii="Avenir" w:cs="Avenir" w:eastAsia="Avenir" w:hAnsi="Avenir"/>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-787399</wp:posOffset>
              </wp:positionH>
              <wp:positionV relativeFrom="paragraph">
                <wp:posOffset>-761999</wp:posOffset>
              </wp:positionV>
              <wp:extent cx="6963998" cy="333082"/>
              <wp:effectExtent b="0" l="0" r="0" t="0"/>
              <wp:wrapNone/>
              <wp:docPr id="1" name=""/>
              <a:graphic>
                <a:graphicData uri="http://schemas.microsoft.com/office/word/2010/wordprocessingShape">
                  <wps:wsp>
                    <wps:cNvSpPr/>
                    <wps:cNvPr id="2" name="Shape 2"/>
                    <wps:spPr>
                      <a:xfrm>
                        <a:off x="1868764" y="3618222"/>
                        <a:ext cx="6954473" cy="323557"/>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venir" w:cs="Avenir" w:eastAsia="Avenir" w:hAnsi="Avenir"/>
                              <w:b w:val="0"/>
                              <w:i w:val="0"/>
                              <w:smallCaps w:val="0"/>
                              <w:strike w:val="0"/>
                              <w:color w:val="000000"/>
                              <w:sz w:val="14"/>
                              <w:vertAlign w:val="baseline"/>
                            </w:rPr>
                            <w:t xml:space="preserve"> FNR uses the tool Count Anything to check the number of characters. The characters are counted including spaces (indicated in Count Anything as Chars).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venir" w:cs="Avenir" w:eastAsia="Avenir" w:hAnsi="Avenir"/>
                              <w:b w:val="0"/>
                              <w:i w:val="0"/>
                              <w:smallCaps w:val="0"/>
                              <w:strike w:val="0"/>
                              <w:color w:val="000000"/>
                              <w:sz w:val="14"/>
                              <w:vertAlign w:val="baseline"/>
                            </w:rPr>
                          </w:r>
                          <w:r w:rsidDel="00000000" w:rsidR="00000000" w:rsidRPr="00000000">
                            <w:rPr>
                              <w:rFonts w:ascii="Avenir" w:cs="Avenir" w:eastAsia="Avenir" w:hAnsi="Avenir"/>
                              <w:b w:val="0"/>
                              <w:i w:val="0"/>
                              <w:smallCaps w:val="0"/>
                              <w:strike w:val="0"/>
                              <w:color w:val="000000"/>
                              <w:sz w:val="14"/>
                              <w:vertAlign w:val="baseline"/>
                            </w:rPr>
                            <w:t xml:space="preserve">Please note that pictures, footnotes and captions are part of the character count.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-787399</wp:posOffset>
              </wp:positionH>
              <wp:positionV relativeFrom="paragraph">
                <wp:posOffset>-761999</wp:posOffset>
              </wp:positionV>
              <wp:extent cx="6963998" cy="333082"/>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963998" cy="333082"/>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2"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1" style="position:absolute;width:595.2pt;height:841.9pt;rotation:0;z-index:-503316481;mso-position-horizontal-relative:margin;mso-position-horizontal:center;mso-position-vertical-relative:margin;mso-position-vertical:center;" alt="" type="#_x0000_t75">
          <v:imagedata cropbottom="0f" cropleft="0f" cropright="0f" croptop="0f" r:id="rId2" o:title="image3.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pict>
        <v:shape id="WordPictureWatermark4" style="position:absolute;width:595.2pt;height:841.9pt;rotation:0;z-index:-503316481;mso-position-horizontal-relative:margin;mso-position-horizontal:absolute;margin-left:-85.87500000000001pt;mso-position-vertical-relative:margin;mso-position-vertical:absolute;margin-top:253.9000787401576pt;" alt="" type="#_x0000_t75">
          <v:imagedata cropbottom="0f" cropleft="0f" cropright="0f" croptop="0f" r:id="rId1" o:title="image3.jpg"/>
        </v:shape>
      </w:pict>
    </w: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3" style="position:absolute;width:595.2pt;height:841.9pt;rotation:0;z-index:-503316481;mso-position-horizontal-relative:margin;mso-position-horizontal:absolute;margin-left:-84.7pt;mso-position-vertical-relative:margin;mso-position-vertical:absolute;margin-top:-114.7pt;" alt="A white background with black dots&#10;&#10;&#10;&#10;&#10;&#10;&#10;&#10;&#10;&#10;&#10;&#10;&#10;&#10;&#10;&#10;&#10;&#10;&#10;&#10;&#10;&#10;&#10;&#10;&#10;&#10;&#10;&#10;&#10;&#10;&#10;&#10;&#10;&#10;&#10;&#10;&#10;&#10;&#10;&#10;&#10;&#10;&#10;&#10;Description automatically generated" type="#_x0000_t75">
          <v:imagedata cropbottom="0f" cropleft="0f" cropright="0f" croptop="0f" r:id="rId2" o:title="image2.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venir" w:cs="Avenir" w:eastAsia="Avenir" w:hAnsi="Avenir"/>
        <w:b w:val="1"/>
        <w:i w:val="0"/>
        <w:smallCaps w:val="1"/>
        <w:strike w:val="0"/>
        <w:color w:val="7aca38"/>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venir" w:cs="Avenir" w:eastAsia="Avenir" w:hAnsi="Avenir"/>
        <w:b w:val="1"/>
        <w:i w:val="0"/>
        <w:smallCaps w:val="1"/>
        <w:strike w:val="0"/>
        <w:color w:val="7aca38"/>
        <w:sz w:val="40"/>
        <w:szCs w:val="40"/>
        <w:u w:val="none"/>
        <w:shd w:fill="auto" w:val="clear"/>
        <w:vertAlign w:val="baseline"/>
      </w:rPr>
    </w:pPr>
    <w:r w:rsidDel="00000000" w:rsidR="00000000" w:rsidRPr="00000000">
      <w:rPr>
        <w:rFonts w:ascii="Avenir" w:cs="Avenir" w:eastAsia="Avenir" w:hAnsi="Avenir"/>
        <w:b w:val="1"/>
        <w:i w:val="0"/>
        <w:smallCaps w:val="1"/>
        <w:strike w:val="0"/>
        <w:color w:val="7aca38"/>
        <w:sz w:val="40"/>
        <w:szCs w:val="40"/>
        <w:u w:val="none"/>
        <w:shd w:fill="auto" w:val="clear"/>
        <w:vertAlign w:val="baseline"/>
        <w:rtl w:val="0"/>
      </w:rPr>
      <w:t xml:space="preserve">AFR Individual Grants</w:t>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7aca38" w:val="clear"/>
      <w:spacing w:after="0" w:before="480" w:line="240" w:lineRule="auto"/>
      <w:ind w:left="567" w:right="0" w:hanging="567"/>
      <w:jc w:val="center"/>
      <w:rPr>
        <w:rFonts w:ascii="Avenir" w:cs="Avenir" w:eastAsia="Avenir" w:hAnsi="Avenir"/>
        <w:b w:val="1"/>
        <w:i w:val="0"/>
        <w:smallCaps w:val="0"/>
        <w:strike w:val="0"/>
        <w:color w:val="393939"/>
        <w:sz w:val="24"/>
        <w:szCs w:val="24"/>
        <w:u w:val="none"/>
        <w:shd w:fill="auto" w:val="clear"/>
        <w:vertAlign w:val="baseline"/>
      </w:rPr>
    </w:pPr>
    <w:r w:rsidDel="00000000" w:rsidR="00000000" w:rsidRPr="00000000">
      <w:rPr>
        <w:rFonts w:ascii="Avenir" w:cs="Avenir" w:eastAsia="Avenir" w:hAnsi="Avenir"/>
        <w:b w:val="1"/>
        <w:i w:val="0"/>
        <w:smallCaps w:val="0"/>
        <w:strike w:val="0"/>
        <w:color w:val="393939"/>
        <w:sz w:val="24"/>
        <w:szCs w:val="24"/>
        <w:u w:val="none"/>
        <w:shd w:fill="auto" w:val="clear"/>
        <w:vertAlign w:val="baseline"/>
        <w:rtl w:val="0"/>
      </w:rPr>
      <w:t xml:space="preserve">Project Idea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venir" w:cs="Avenir" w:eastAsia="Avenir" w:hAnsi="Avenir"/>
        <w:b w:val="0"/>
        <w:i w:val="0"/>
        <w:smallCaps w:val="0"/>
        <w:strike w:val="0"/>
        <w:color w:val="000000"/>
        <w:sz w:val="20"/>
        <w:szCs w:val="20"/>
        <w:u w:val="none"/>
        <w:shd w:fill="auto" w:val="clear"/>
        <w:vertAlign w:val="baseline"/>
      </w:rPr>
    </w:pPr>
    <w:r w:rsidDel="00000000" w:rsidR="00000000" w:rsidRPr="00000000">
      <w:rPr>
        <w:rFonts w:ascii="Avenir" w:cs="Avenir" w:eastAsia="Avenir" w:hAnsi="Avenir"/>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A">
    <w:pPr>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sz w:val="22"/>
        <w:szCs w:val="22"/>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567" w:right="0" w:hanging="567"/>
      <w:jc w:val="left"/>
    </w:pPr>
    <w:rPr>
      <w:rFonts w:ascii="Avenir" w:cs="Avenir" w:eastAsia="Avenir" w:hAnsi="Avenir"/>
      <w:b w:val="1"/>
      <w:i w:val="0"/>
      <w:smallCaps w:val="0"/>
      <w:strike w:val="0"/>
      <w:color w:val="ffffff"/>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567" w:right="0" w:hanging="567"/>
      <w:jc w:val="left"/>
    </w:pPr>
    <w:rPr>
      <w:rFonts w:ascii="Avenir" w:cs="Avenir" w:eastAsia="Avenir" w:hAnsi="Avenir"/>
      <w:b w:val="1"/>
      <w:i w:val="0"/>
      <w:smallCaps w:val="0"/>
      <w:strike w:val="0"/>
      <w:color w:val="ffffff"/>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680" w:right="0" w:hanging="680"/>
      <w:jc w:val="left"/>
    </w:pPr>
    <w:rPr>
      <w:rFonts w:ascii="Avenir" w:cs="Avenir" w:eastAsia="Avenir" w:hAnsi="Avenir"/>
      <w:b w:val="1"/>
      <w:i w:val="0"/>
      <w:smallCaps w:val="0"/>
      <w:strike w:val="0"/>
      <w:color w:val="ffffff"/>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57" w:right="0" w:hanging="357"/>
      <w:jc w:val="left"/>
    </w:pPr>
    <w:rPr>
      <w:rFonts w:ascii="Avenir" w:cs="Avenir" w:eastAsia="Avenir" w:hAnsi="Avenir"/>
      <w:b w:val="1"/>
      <w:i w:val="0"/>
      <w:smallCaps w:val="0"/>
      <w:strike w:val="0"/>
      <w:color w:val="7aca38"/>
      <w:sz w:val="40"/>
      <w:szCs w:val="40"/>
      <w:u w:val="none"/>
      <w:shd w:fill="auto" w:val="clear"/>
      <w:vertAlign w:val="baseline"/>
    </w:rPr>
  </w:style>
  <w:style w:type="paragraph" w:styleId="Heading5">
    <w:name w:val="heading 5"/>
    <w:basedOn w:val="Normal"/>
    <w:next w:val="Normal"/>
    <w:pPr>
      <w:keepNext w:val="1"/>
      <w:keepLines w:val="1"/>
      <w:spacing w:before="200" w:line="276" w:lineRule="auto"/>
      <w:ind w:left="1008" w:hanging="1008"/>
      <w:jc w:val="both"/>
    </w:pPr>
    <w:rPr>
      <w:rFonts w:ascii="Arial" w:cs="Arial" w:eastAsia="Arial" w:hAnsi="Arial"/>
      <w:color w:val="262626"/>
      <w:sz w:val="20"/>
      <w:szCs w:val="20"/>
    </w:rPr>
  </w:style>
  <w:style w:type="paragraph" w:styleId="Heading6">
    <w:name w:val="heading 6"/>
    <w:basedOn w:val="Normal"/>
    <w:next w:val="Normal"/>
    <w:pPr>
      <w:keepNext w:val="1"/>
      <w:keepLines w:val="1"/>
      <w:spacing w:before="200" w:line="276" w:lineRule="auto"/>
      <w:ind w:left="1152" w:hanging="1152"/>
      <w:jc w:val="both"/>
    </w:pPr>
    <w:rPr>
      <w:rFonts w:ascii="Arial" w:cs="Arial" w:eastAsia="Arial" w:hAnsi="Arial"/>
      <w:i w:val="1"/>
      <w:color w:val="262626"/>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0x010100B92A37DAA208F048A02E8CFD310FEB52</vt:lpwstr>
  </property>
  <property fmtid="{D5CDD505-2E9C-101B-9397-08002B2CF9AE}" pid="3" name="GrammarlyDocumentId">
    <vt:lpwstr>ba08ab18cf383950fcd1caadd382ffe74dc4953716a699a73c3cfbbe756ef1f3</vt:lpwstr>
  </property>
  <property fmtid="{D5CDD505-2E9C-101B-9397-08002B2CF9AE}" pid="4" name="MediaServiceImageTags">
    <vt:lpwstr>MediaServiceImageTags</vt:lpwstr>
  </property>
</Properties>
</file>