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venir" w:cs="Avenir" w:eastAsia="Avenir" w:hAnsi="Avenir"/>
        </w:rPr>
      </w:pPr>
      <w:r w:rsidDel="00000000" w:rsidR="00000000" w:rsidRPr="00000000">
        <w:rPr>
          <w:rtl w:val="0"/>
        </w:rPr>
      </w:r>
    </w:p>
    <w:p w:rsidR="00000000" w:rsidDel="00000000" w:rsidP="00000000" w:rsidRDefault="00000000" w:rsidRPr="00000000" w14:paraId="00000002">
      <w:pPr>
        <w:rPr>
          <w:rFonts w:ascii="Avenir" w:cs="Avenir" w:eastAsia="Avenir" w:hAnsi="Avenir"/>
        </w:rPr>
      </w:pPr>
      <w:r w:rsidDel="00000000" w:rsidR="00000000" w:rsidRPr="00000000">
        <w:rPr>
          <w:rtl w:val="0"/>
        </w:rPr>
      </w:r>
    </w:p>
    <w:p w:rsidR="00000000" w:rsidDel="00000000" w:rsidP="00000000" w:rsidRDefault="00000000" w:rsidRPr="00000000" w14:paraId="00000003">
      <w:pPr>
        <w:rPr>
          <w:rFonts w:ascii="Avenir" w:cs="Avenir" w:eastAsia="Avenir" w:hAnsi="Avenir"/>
        </w:rPr>
      </w:pPr>
      <w:r w:rsidDel="00000000" w:rsidR="00000000" w:rsidRPr="00000000">
        <w:rPr>
          <w:rtl w:val="0"/>
        </w:rPr>
      </w:r>
    </w:p>
    <w:p w:rsidR="00000000" w:rsidDel="00000000" w:rsidP="00000000" w:rsidRDefault="00000000" w:rsidRPr="00000000" w14:paraId="00000004">
      <w:pPr>
        <w:rPr>
          <w:rFonts w:ascii="Avenir" w:cs="Avenir" w:eastAsia="Avenir" w:hAnsi="Avenir"/>
        </w:rPr>
      </w:pPr>
      <w:r w:rsidDel="00000000" w:rsidR="00000000" w:rsidRPr="00000000">
        <w:rPr>
          <w:rtl w:val="0"/>
        </w:rPr>
      </w:r>
    </w:p>
    <w:p w:rsidR="00000000" w:rsidDel="00000000" w:rsidP="00000000" w:rsidRDefault="00000000" w:rsidRPr="00000000" w14:paraId="00000005">
      <w:pPr>
        <w:rPr>
          <w:rFonts w:ascii="Avenir" w:cs="Avenir" w:eastAsia="Avenir" w:hAnsi="Avenir"/>
        </w:rPr>
      </w:pPr>
      <w:r w:rsidDel="00000000" w:rsidR="00000000" w:rsidRPr="00000000">
        <w:rPr>
          <w:rtl w:val="0"/>
        </w:rPr>
      </w:r>
    </w:p>
    <w:p w:rsidR="00000000" w:rsidDel="00000000" w:rsidP="00000000" w:rsidRDefault="00000000" w:rsidRPr="00000000" w14:paraId="00000006">
      <w:pPr>
        <w:rPr>
          <w:rFonts w:ascii="Avenir" w:cs="Avenir" w:eastAsia="Avenir" w:hAnsi="Avenir"/>
        </w:rPr>
      </w:pPr>
      <w:r w:rsidDel="00000000" w:rsidR="00000000" w:rsidRPr="00000000">
        <w:rPr>
          <w:rtl w:val="0"/>
        </w:rPr>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rPr>
      </w:pPr>
      <w:r w:rsidDel="00000000" w:rsidR="00000000" w:rsidRPr="00000000">
        <w:rPr>
          <w:rtl w:val="0"/>
        </w:rPr>
      </w:r>
    </w:p>
    <w:p w:rsidR="00000000" w:rsidDel="00000000" w:rsidP="00000000" w:rsidRDefault="00000000" w:rsidRPr="00000000" w14:paraId="00000009">
      <w:pPr>
        <w:rPr>
          <w:rFonts w:ascii="Avenir" w:cs="Avenir" w:eastAsia="Avenir" w:hAnsi="Avenir"/>
        </w:rPr>
      </w:pPr>
      <w:r w:rsidDel="00000000" w:rsidR="00000000" w:rsidRPr="00000000">
        <w:rPr>
          <w:rtl w:val="0"/>
        </w:rPr>
      </w:r>
    </w:p>
    <w:p w:rsidR="00000000" w:rsidDel="00000000" w:rsidP="00000000" w:rsidRDefault="00000000" w:rsidRPr="00000000" w14:paraId="0000000A">
      <w:pPr>
        <w:rPr>
          <w:rFonts w:ascii="Avenir" w:cs="Avenir" w:eastAsia="Avenir" w:hAnsi="Avenir"/>
        </w:rPr>
      </w:pPr>
      <w:r w:rsidDel="00000000" w:rsidR="00000000" w:rsidRPr="00000000">
        <w:rPr>
          <w:rtl w:val="0"/>
        </w:rPr>
      </w:r>
    </w:p>
    <w:p w:rsidR="00000000" w:rsidDel="00000000" w:rsidP="00000000" w:rsidRDefault="00000000" w:rsidRPr="00000000" w14:paraId="0000000B">
      <w:pPr>
        <w:rPr>
          <w:rFonts w:ascii="Avenir" w:cs="Avenir" w:eastAsia="Avenir" w:hAnsi="Avenir"/>
        </w:rPr>
      </w:pPr>
      <w:r w:rsidDel="00000000" w:rsidR="00000000" w:rsidRPr="00000000">
        <w:rPr>
          <w:rtl w:val="0"/>
        </w:rPr>
      </w:r>
    </w:p>
    <w:p w:rsidR="00000000" w:rsidDel="00000000" w:rsidP="00000000" w:rsidRDefault="00000000" w:rsidRPr="00000000" w14:paraId="0000000C">
      <w:pPr>
        <w:rPr>
          <w:rFonts w:ascii="Avenir" w:cs="Avenir" w:eastAsia="Avenir" w:hAnsi="Avenir"/>
        </w:rPr>
      </w:pPr>
      <w:r w:rsidDel="00000000" w:rsidR="00000000" w:rsidRPr="00000000">
        <w:rPr>
          <w:rtl w:val="0"/>
        </w:rPr>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tl w:val="0"/>
        </w:rPr>
      </w:r>
    </w:p>
    <w:p w:rsidR="00000000" w:rsidDel="00000000" w:rsidP="00000000" w:rsidRDefault="00000000" w:rsidRPr="00000000" w14:paraId="0000000F">
      <w:pPr>
        <w:rPr>
          <w:rFonts w:ascii="Avenir" w:cs="Avenir" w:eastAsia="Avenir" w:hAnsi="Aveni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Avenir" w:cs="Avenir" w:eastAsia="Avenir" w:hAnsi="Avenir"/>
        </w:rPr>
      </w:pPr>
      <w:r w:rsidDel="00000000" w:rsidR="00000000" w:rsidRPr="00000000">
        <w:rPr>
          <w:rtl w:val="0"/>
        </w:rPr>
      </w:r>
    </w:p>
    <w:p w:rsidR="00000000" w:rsidDel="00000000" w:rsidP="00000000" w:rsidRDefault="00000000" w:rsidRPr="00000000" w14:paraId="00000023">
      <w:pPr>
        <w:rPr>
          <w:rFonts w:ascii="Avenir" w:cs="Avenir" w:eastAsia="Avenir" w:hAnsi="Avenir"/>
        </w:rPr>
      </w:pPr>
      <w:r w:rsidDel="00000000" w:rsidR="00000000" w:rsidRPr="00000000">
        <w:rPr>
          <w:rtl w:val="0"/>
        </w:rPr>
      </w:r>
    </w:p>
    <w:p w:rsidR="00000000" w:rsidDel="00000000" w:rsidP="00000000" w:rsidRDefault="00000000" w:rsidRPr="00000000" w14:paraId="00000024">
      <w:pPr>
        <w:rPr>
          <w:rFonts w:ascii="Avenir" w:cs="Avenir" w:eastAsia="Avenir" w:hAnsi="Avenir"/>
        </w:rPr>
      </w:pPr>
      <w:r w:rsidDel="00000000" w:rsidR="00000000" w:rsidRPr="00000000">
        <w:rPr>
          <w:rtl w:val="0"/>
        </w:rPr>
      </w:r>
    </w:p>
    <w:p w:rsidR="00000000" w:rsidDel="00000000" w:rsidP="00000000" w:rsidRDefault="00000000" w:rsidRPr="00000000" w14:paraId="00000025">
      <w:pPr>
        <w:rPr>
          <w:rFonts w:ascii="Avenir" w:cs="Avenir" w:eastAsia="Avenir" w:hAnsi="Avenir"/>
        </w:rPr>
      </w:pPr>
      <w:r w:rsidDel="00000000" w:rsidR="00000000" w:rsidRPr="00000000">
        <w:rPr>
          <w:rtl w:val="0"/>
        </w:rPr>
      </w:r>
    </w:p>
    <w:p w:rsidR="00000000" w:rsidDel="00000000" w:rsidP="00000000" w:rsidRDefault="00000000" w:rsidRPr="00000000" w14:paraId="00000026">
      <w:pPr>
        <w:rPr>
          <w:rFonts w:ascii="Avenir" w:cs="Avenir" w:eastAsia="Avenir" w:hAnsi="Avenir"/>
        </w:rPr>
      </w:pPr>
      <w:r w:rsidDel="00000000" w:rsidR="00000000" w:rsidRPr="00000000">
        <w:rPr>
          <w:rtl w:val="0"/>
        </w:rPr>
      </w:r>
    </w:p>
    <w:p w:rsidR="00000000" w:rsidDel="00000000" w:rsidP="00000000" w:rsidRDefault="00000000" w:rsidRPr="00000000" w14:paraId="00000027">
      <w:pPr>
        <w:rPr>
          <w:rFonts w:ascii="Avenir" w:cs="Avenir" w:eastAsia="Avenir" w:hAnsi="Avenir"/>
        </w:rPr>
      </w:pPr>
      <w:r w:rsidDel="00000000" w:rsidR="00000000" w:rsidRPr="00000000">
        <w:rPr>
          <w:rtl w:val="0"/>
        </w:rPr>
      </w:r>
    </w:p>
    <w:p w:rsidR="00000000" w:rsidDel="00000000" w:rsidP="00000000" w:rsidRDefault="00000000" w:rsidRPr="00000000" w14:paraId="00000028">
      <w:pPr>
        <w:rPr>
          <w:rFonts w:ascii="Avenir" w:cs="Avenir" w:eastAsia="Avenir" w:hAnsi="Avenir"/>
        </w:rPr>
      </w:pPr>
      <w:r w:rsidDel="00000000" w:rsidR="00000000" w:rsidRPr="00000000">
        <w:rPr>
          <w:rtl w:val="0"/>
        </w:rPr>
      </w:r>
    </w:p>
    <w:p w:rsidR="00000000" w:rsidDel="00000000" w:rsidP="00000000" w:rsidRDefault="00000000" w:rsidRPr="00000000" w14:paraId="00000029">
      <w:pPr>
        <w:rPr>
          <w:rFonts w:ascii="Avenir" w:cs="Avenir" w:eastAsia="Avenir" w:hAnsi="Avenir"/>
        </w:rPr>
      </w:pPr>
      <w:r w:rsidDel="00000000" w:rsidR="00000000" w:rsidRPr="00000000">
        <w:rPr>
          <w:rtl w:val="0"/>
        </w:rPr>
      </w:r>
    </w:p>
    <w:p w:rsidR="00000000" w:rsidDel="00000000" w:rsidP="00000000" w:rsidRDefault="00000000" w:rsidRPr="00000000" w14:paraId="0000002A">
      <w:pPr>
        <w:rPr>
          <w:rFonts w:ascii="Avenir" w:cs="Avenir" w:eastAsia="Avenir" w:hAnsi="Avenir"/>
        </w:rPr>
      </w:pPr>
      <w:r w:rsidDel="00000000" w:rsidR="00000000" w:rsidRPr="00000000">
        <w:rPr>
          <w:rtl w:val="0"/>
        </w:rPr>
      </w:r>
    </w:p>
    <w:p w:rsidR="00000000" w:rsidDel="00000000" w:rsidP="00000000" w:rsidRDefault="00000000" w:rsidRPr="00000000" w14:paraId="0000002B">
      <w:pPr>
        <w:rPr>
          <w:rFonts w:ascii="Avenir" w:cs="Avenir" w:eastAsia="Avenir" w:hAnsi="Avenir"/>
        </w:rPr>
      </w:pPr>
      <w:r w:rsidDel="00000000" w:rsidR="00000000" w:rsidRPr="00000000">
        <w:rPr>
          <w:rtl w:val="0"/>
        </w:rPr>
      </w:r>
    </w:p>
    <w:p w:rsidR="00000000" w:rsidDel="00000000" w:rsidP="00000000" w:rsidRDefault="00000000" w:rsidRPr="00000000" w14:paraId="0000002C">
      <w:pPr>
        <w:rPr>
          <w:rFonts w:ascii="Avenir" w:cs="Avenir" w:eastAsia="Avenir" w:hAnsi="Avenir"/>
        </w:rPr>
      </w:pPr>
      <w:r w:rsidDel="00000000" w:rsidR="00000000" w:rsidRPr="00000000">
        <w:rPr>
          <w:rtl w:val="0"/>
        </w:rPr>
      </w:r>
    </w:p>
    <w:p w:rsidR="00000000" w:rsidDel="00000000" w:rsidP="00000000" w:rsidRDefault="00000000" w:rsidRPr="00000000" w14:paraId="0000002D">
      <w:pPr>
        <w:rPr>
          <w:rFonts w:ascii="Avenir" w:cs="Avenir" w:eastAsia="Avenir" w:hAnsi="Avenir"/>
        </w:rPr>
      </w:pPr>
      <w:r w:rsidDel="00000000" w:rsidR="00000000" w:rsidRPr="00000000">
        <w:rPr>
          <w:rtl w:val="0"/>
        </w:rPr>
      </w:r>
    </w:p>
    <w:p w:rsidR="00000000" w:rsidDel="00000000" w:rsidP="00000000" w:rsidRDefault="00000000" w:rsidRPr="00000000" w14:paraId="0000002E">
      <w:pPr>
        <w:rPr>
          <w:rFonts w:ascii="Avenir" w:cs="Avenir" w:eastAsia="Avenir" w:hAnsi="Avenir"/>
        </w:rPr>
      </w:pPr>
      <w:r w:rsidDel="00000000" w:rsidR="00000000" w:rsidRPr="00000000">
        <w:rPr>
          <w:rtl w:val="0"/>
        </w:rPr>
      </w:r>
    </w:p>
    <w:p w:rsidR="00000000" w:rsidDel="00000000" w:rsidP="00000000" w:rsidRDefault="00000000" w:rsidRPr="00000000" w14:paraId="0000002F">
      <w:pPr>
        <w:rPr>
          <w:rFonts w:ascii="Avenir" w:cs="Avenir" w:eastAsia="Avenir" w:hAnsi="Avenir"/>
        </w:rPr>
      </w:pPr>
      <w:r w:rsidDel="00000000" w:rsidR="00000000" w:rsidRPr="00000000">
        <w:rPr>
          <w:rtl w:val="0"/>
        </w:rPr>
      </w:r>
    </w:p>
    <w:p w:rsidR="00000000" w:rsidDel="00000000" w:rsidP="00000000" w:rsidRDefault="00000000" w:rsidRPr="00000000" w14:paraId="00000030">
      <w:pPr>
        <w:rPr>
          <w:rFonts w:ascii="Avenir" w:cs="Avenir" w:eastAsia="Avenir" w:hAnsi="Avenir"/>
        </w:rPr>
      </w:pPr>
      <w:r w:rsidDel="00000000" w:rsidR="00000000" w:rsidRPr="00000000">
        <w:rPr>
          <w:rtl w:val="0"/>
        </w:rPr>
      </w:r>
    </w:p>
    <w:p w:rsidR="00000000" w:rsidDel="00000000" w:rsidP="00000000" w:rsidRDefault="00000000" w:rsidRPr="00000000" w14:paraId="00000031">
      <w:pPr>
        <w:rPr>
          <w:rFonts w:ascii="Avenir" w:cs="Avenir" w:eastAsia="Avenir" w:hAnsi="Avenir"/>
        </w:rPr>
      </w:pPr>
      <w:r w:rsidDel="00000000" w:rsidR="00000000" w:rsidRPr="00000000">
        <w:rPr>
          <w:rtl w:val="0"/>
        </w:rPr>
      </w:r>
    </w:p>
    <w:p w:rsidR="00000000" w:rsidDel="00000000" w:rsidP="00000000" w:rsidRDefault="00000000" w:rsidRPr="00000000" w14:paraId="00000032">
      <w:pPr>
        <w:rPr>
          <w:rFonts w:ascii="Avenir" w:cs="Avenir" w:eastAsia="Avenir" w:hAnsi="Avenir"/>
        </w:rPr>
      </w:pPr>
      <w:r w:rsidDel="00000000" w:rsidR="00000000" w:rsidRPr="00000000">
        <w:rPr>
          <w:rtl w:val="0"/>
        </w:rPr>
      </w:r>
    </w:p>
    <w:p w:rsidR="00000000" w:rsidDel="00000000" w:rsidP="00000000" w:rsidRDefault="00000000" w:rsidRPr="00000000" w14:paraId="00000033">
      <w:pPr>
        <w:rPr>
          <w:rFonts w:ascii="Avenir" w:cs="Avenir" w:eastAsia="Avenir" w:hAnsi="Avenir"/>
        </w:rPr>
      </w:pPr>
      <w:r w:rsidDel="00000000" w:rsidR="00000000" w:rsidRPr="00000000">
        <w:rPr>
          <w:rtl w:val="0"/>
        </w:rPr>
      </w:r>
    </w:p>
    <w:p>
      <w:pPr>
        <w:pStyle w:val="Title"/>
        <w:jc w:val="center"/>
      </w:pPr>
      <w:r>
        <w:t>Autonomous AI Agents for Spacecraft Operations in GNC and AOCS and Remote Sensing</w:t>
      </w:r>
    </w:p>
    <w:p>
      <w:pPr>
        <w:pStyle w:val="Heading1"/>
      </w:pPr>
      <w:r>
        <w:t>Abstract</w:t>
      </w:r>
    </w:p>
    <w:p>
      <w:r>
        <w:t>The research project titled 'Autonomous AI Agents for Spacecraft Operations in GNC and AOCS and Remote Sensing' aims to develop advanced autonomous AI agents for spacecraft operations, focusing on Guidance, Navigation, and Control (GNC), Attitude and Orbit Control Systems (AOCS), and remote sensing. The primary objectives include reducing human involvement in mission-critical tasks, minimizing human error, and enhancing mission efficiency and safety. The AI agents will handle tasks such as data collection and analysis, autonomous navigation, attitude control, adaptive decision-making, resource management, and self-sustaining operations. To ensure accurate decision-making in uncertain environments, the project employs techniques like collective behavior and swarm intelligence, advanced machine learning algorithms, and specialized AI or AGI. The integration of AI agents with existing spacecraft systems involves modular and redundant design, efficient energy management, and robust thermal control. The project will measure success through metrics such as computational performance, mission objectives achievement, safety and reliability, and cost reduction. Ethical and regulatory considerations will be addressed by establishing clear mission guidelines, maintaining control mechanisms, and developing comprehensive regulatory frameworks. The project will also involve high-fidelity simulations to test and validate AI-driven systems, ensuring they can handle the complexities of space operations. Expected benefits include autonomous and efficient exploration, reduced mission costs, and the potential for long-term space colonization. Building on existing research, the project will integrate the latest AI and computing technologies to achieve self-sustaining and self-replicating probes, paving the way for advanced interstellar exploration.</w:t>
      </w:r>
    </w:p>
    <w:p>
      <w:pPr>
        <w:pStyle w:val="Heading1"/>
      </w:pPr>
      <w:r>
        <w:t>Originality of the Research Project</w:t>
      </w:r>
    </w:p>
    <w:p>
      <w:r>
        <w:t>## Originality of the Research Project</w:t>
        <w:br/>
        <w:br/>
        <w:t>The research project titled "Autonomous AI Agents for Spacecraft Operations in GNC and AOCS and Remote Sensing" brings a significant degree of originality to the field of space exploration. This project is pioneering in its approach to integrating advanced AI technologies into spacecraft operations, particularly in the domains of Guidance, Navigation, and Control (GNC) and Attitude and Orbit Control Systems (AOCS). The following sections detail the unique contributions of this research, compare it with existing solutions, and highlight the innovative aspects that set this project apart.</w:t>
        <w:br/>
        <w:br/>
        <w:t>### Unique Contributions of AI-Driven Autonomous Agents in GNC and AOCS</w:t>
        <w:br/>
        <w:br/>
        <w:t>One of the primary contributions of this project is the development of autonomous AI agents that can autonomously manage and control spacecraft functions. These agents are designed to perform tasks such as data collection and analysis, autonomous navigation, attitude control, and resource management. By reducing human involvement in mission-critical tasks, the AI agents aim to minimize human error and enhance overall mission efficiency and safety.</w:t>
        <w:br/>
        <w:br/>
        <w:t>The AI-driven agents are equipped with advanced decision-making capabilities that allow them to operate in uncertain environments. This is a significant improvement over traditional spacecraft systems, which often rely on pre-programmed commands and limited onboard processing power. The project's focus on real-time communication and decision-making under uncertainty ensures that the AI agents can adapt to unpredictable conditions, such as those encountered during space missions.</w:t>
        <w:br/>
        <w:br/>
        <w:t>### Comparison with Existing Solutions in Spacecraft Operations</w:t>
        <w:br/>
        <w:br/>
        <w:t>Current spacecraft operations heavily rely on ground-based control systems and pre-programmed sequences. While these systems have been successful in many missions, they are limited by the latency in communication and the inability to adapt to unforeseen events. The use of AI-driven agents in this project addresses these limitations by enabling real-time decision-making and adaptive control.</w:t>
        <w:br/>
        <w:br/>
        <w:t>For example, traditional GNC systems often use pre-defined trajectories and control laws that are computed before the mission. In contrast, the AI agents in this project can dynamically adjust their trajectories and control strategies based on real-time data and environmental conditions. This adaptability is crucial for missions that require high levels of precision and responsiveness.</w:t>
        <w:br/>
        <w:br/>
        <w:t>### Innovation in Decision-Making Under Uncertainty and Real-Time Communication</w:t>
        <w:br/>
        <w:br/>
        <w:t>A key innovation in this project is the development of robust AI algorithms that can make accurate decisions in uncertain environments. Techniques such as collective behavior and swarm intelligence, advanced machine learning algorithms, and specialized AI or AGI are employed to ensure that the agents can handle the complexities of space operations. These algorithms are designed to learn from data, improve over time, and make decisions that take into account a wide range of variables and constraints.</w:t>
        <w:br/>
        <w:br/>
        <w:t>Real-time communication is another critical aspect of the project. The AI agents are designed to communicate with each other and with ground control in real-time, facilitating coordinated operations and rapid response to mission-critical events. This is a significant improvement over traditional communication systems, which can suffer from latency and data loss.</w:t>
        <w:br/>
        <w:br/>
        <w:t>### Potential for Long-Term Space Exploration and Colonization</w:t>
        <w:br/>
        <w:br/>
        <w:t>The long-term potential of this research is immense. The development of autonomous AI agents that can manage spacecraft operations efficiently and reliably opens up new possibilities for space exploration and colonization. By reducing the dependency on ground-based control, these agents can enable more ambitious and complex missions, such as deep space exploration and the establishment of long-term human settlements on other planets.</w:t>
        <w:br/>
        <w:br/>
        <w:t>The project also addresses the need for self-sustaining and self-replicating probes, which can operate for extended periods without human intervention. This is particularly important for interstellar missions, where communication delays and the harsh conditions of space make traditional mission control approaches impractical.</w:t>
        <w:br/>
        <w:br/>
        <w:t>### Conclusion</w:t>
        <w:br/>
        <w:br/>
        <w:t>In summary, the research project "Autonomous AI Agents for Spacecraft Operations in GNC and AOCS and Remote Sensing" represents a significant advancement in the field of space exploration. The unique contributions of AI-driven autonomous agents, their ability to make decisions under uncertainty, and their potential for long-term space exploration and colonization set this project apart. By addressing the limitations of current spacecraft systems and integrating the latest AI and computing technologies, this research paves the way for a new era of autonomous space missions.</w:t>
      </w:r>
    </w:p>
    <w:p>
      <w:pPr>
        <w:pStyle w:val="Heading1"/>
      </w:pPr>
      <w:r>
        <w:t>Hypothesis, Research Objectives and Envisaged Methodology</w:t>
      </w:r>
    </w:p>
    <w:p>
      <w:r>
        <w:t>## Hypothesis, Research Objectives and Envisaged Methodology</w:t>
        <w:br/>
        <w:br/>
        <w:t>### Hypothesis</w:t>
        <w:br/>
        <w:br/>
        <w:t>The central hypothesis of this research project is that the deployment of advanced autonomous AI agents in spacecraft operations, particularly in Guidance, Navigation, and Control (GNC) and Attitude and Orbit Control Systems (AOCS), will significantly reduce human error and enhance mission efficiency and safety. These AI agents, equipped with robust decision-making capabilities and real-time adaptability, are expected to perform mission-critical tasks with higher precision and reliability compared to traditional, human-operated systems. By leveraging machine learning, swarm intelligence, and modular design, the AI agents will demonstrate superior performance in handling the complexities and uncertainties of space missions.</w:t>
        <w:br/>
        <w:br/>
        <w:t>### Research Objectives</w:t>
        <w:br/>
        <w:br/>
        <w:t>1. **Develop Robust AI Algorithms for Decision-Making Under Uncertainty**</w:t>
        <w:br/>
        <w:t xml:space="preserve">   - Design and implement advanced machine learning algorithms that can process and analyze real-time data from spacecraft sensors.</w:t>
        <w:br/>
        <w:t xml:space="preserve">   - Incorporate techniques from collective behavior and swarm intelligence to enhance the decision-making capabilities of the AI agents.</w:t>
        <w:br/>
        <w:t xml:space="preserve">   - Ensure that the AI algorithms can handle and adapt to uncertain environments, making accurate decisions in real-time.</w:t>
        <w:br/>
        <w:br/>
        <w:t>2. **Integrate AI Agents with Spacecraft Systems**</w:t>
        <w:br/>
        <w:t xml:space="preserve">   - Develop a modular and redundant design for integrating AI agents with existing spacecraft systems.</w:t>
        <w:br/>
        <w:t xml:space="preserve">   - Ensure efficient energy management and robust thermal control to support the continuous operation of AI agents.</w:t>
        <w:br/>
        <w:t xml:space="preserve">   - Implement communication protocols that facilitate real-time data exchange between AI agents and ground control.</w:t>
        <w:br/>
        <w:br/>
        <w:t>3. **Validate AI-Driven Systems Through High-Fidelity Simulations and Real-World Testing**</w:t>
        <w:br/>
        <w:t xml:space="preserve">   - Conduct high-fidelity simulations to test the performance of AI agents in various mission scenarios.</w:t>
        <w:br/>
        <w:t xml:space="preserve">   - Perform real-world testing in controlled environments to validate the effectiveness of the AI agents in handling mission-critical tasks.</w:t>
        <w:br/>
        <w:t xml:space="preserve">   - Collect and analyze data from simulations and tests to refine and improve the AI algorithms.</w:t>
        <w:br/>
        <w:br/>
        <w:t>4. **Ensure Ethical and Regulatory Compliance**</w:t>
        <w:br/>
        <w:t xml:space="preserve">   - Establish clear mission guidelines and control mechanisms to ensure the safe and ethical operation of AI agents.</w:t>
        <w:br/>
        <w:t xml:space="preserve">   - Develop comprehensive regulatory frameworks to address the legal and ethical implications of deploying AI in space missions.</w:t>
        <w:br/>
        <w:t xml:space="preserve">   - Conduct regular audits and reviews to ensure compliance with established guidelines and regulations.</w:t>
        <w:br/>
        <w:br/>
        <w:t>### Envisaged Methodology</w:t>
        <w:br/>
        <w:br/>
        <w:t>#### Technical Approach</w:t>
        <w:br/>
        <w:br/>
        <w:t>1. **Machine Learning and Swarm Intelligence**</w:t>
        <w:br/>
        <w:t xml:space="preserve">   - Utilize deep learning and reinforcement learning to train AI agents on large datasets of spacecraft operations.</w:t>
        <w:br/>
        <w:t xml:space="preserve">   - Implement swarm intelligence algorithms to enable coordinated and adaptive behavior among multiple AI agents.</w:t>
        <w:br/>
        <w:t xml:space="preserve">   - Develop hybrid models that combine the strengths of different machine learning techniques to achieve optimal performance.</w:t>
        <w:br/>
        <w:br/>
        <w:t>2. **Modular and Redundant Design**</w:t>
        <w:br/>
        <w:t xml:space="preserve">   - Design AI agents with modular components that can be easily updated and upgraded.</w:t>
        <w:br/>
        <w:t xml:space="preserve">   - Implement redundancy in critical systems to ensure reliability and fault tolerance.</w:t>
        <w:br/>
        <w:t xml:space="preserve">   - Optimize energy consumption and thermal management to support long-duration missions.</w:t>
        <w:br/>
        <w:br/>
        <w:t>3. **Real-Time Communication and Data Exchange**</w:t>
        <w:br/>
        <w:t xml:space="preserve">   - Develop low-latency communication protocols for real-time data exchange between AI agents and ground control.</w:t>
        <w:br/>
        <w:t xml:space="preserve">   - Implement secure and reliable communication channels to prevent data breaches and ensure mission integrity.</w:t>
        <w:br/>
        <w:t xml:space="preserve">   - Use advanced data compression and transmission techniques to optimize bandwidth usage.</w:t>
        <w:br/>
        <w:br/>
        <w:t>#### Validation Methods</w:t>
        <w:br/>
        <w:br/>
        <w:t>1. **High-Fidelity Simulations**</w:t>
        <w:br/>
        <w:t xml:space="preserve">   - Create detailed simulation environments that replicate the conditions of space missions.</w:t>
        <w:br/>
        <w:t xml:space="preserve">   - Test the AI agents in a wide range of scenarios, including nominal operations and off-nominal conditions.</w:t>
        <w:br/>
        <w:t xml:space="preserve">   - Collect simulation data to evaluate the performance of the AI agents and identify areas for improvement.</w:t>
        <w:br/>
        <w:br/>
        <w:t>2. **Real-World Testing**</w:t>
        <w:br/>
        <w:t xml:space="preserve">   - Conduct controlled tests in terrestrial environments to validate the performance of AI agents under realistic conditions.</w:t>
        <w:br/>
        <w:t xml:space="preserve">   - Deploy AI agents in small-scale space missions to gather real-world data and assess their effectiveness.</w:t>
        <w:br/>
        <w:t xml:space="preserve">   - Use test results to refine the AI algorithms and improve the overall system design.</w:t>
        <w:br/>
        <w:br/>
        <w:t>3. **Data Analysis and Performance Metrics**</w:t>
        <w:br/>
        <w:t xml:space="preserve">   - Develop metrics to measure the computational performance, mission objectives achievement, safety, and reliability of the AI agents.</w:t>
        <w:br/>
        <w:t xml:space="preserve">   - Analyze test data to quantify the improvements in mission efficiency and safety compared to traditional systems.</w:t>
        <w:br/>
        <w:t xml:space="preserve">   - Use feedback from simulations and tests to iteratively improve the AI agents and address any identified issues.</w:t>
        <w:br/>
        <w:br/>
        <w:t>### Conclusion</w:t>
        <w:br/>
        <w:br/>
        <w:t>The hypothesis that autonomous AI agents can significantly enhance spacecraft operations in GNC and AOCS is supported by the project's research objectives and envisaged methodology. By developing robust AI algorithms, integrating AI agents with spacecraft systems, and validating the systems through high-fidelity simulations and real-world testing, the project aims to achieve a new level of autonomy and efficiency in space missions. The focus on ethical and regulatory compliance ensures that the AI agents are deployed safely and responsibly, paving the way for more ambitious and complex space exploration in the future.</w:t>
      </w:r>
    </w:p>
    <w:p>
      <w:pPr>
        <w:pStyle w:val="Heading1"/>
      </w:pPr>
      <w:r>
        <w:t>Expected Outcomes / Impact</w:t>
      </w:r>
    </w:p>
    <w:p>
      <w:r>
        <w:t>## Expected Outcomes / Impact</w:t>
        <w:br/>
        <w:br/>
        <w:t>### Improvements in Mission Reliability and Operational Costs</w:t>
        <w:br/>
        <w:br/>
        <w:t>The deployment of advanced autonomous AI agents in spacecraft operations is expected to lead to significant improvements in mission reliability. By reducing the dependency on ground-based control and human intervention, these AI agents can minimize the potential for errors and miscommunications that often occur in traditional space missions. Advanced decision-making capabilities and real-time adaptability will enable the AI agents to handle unforeseen events and complex scenarios with greater precision and efficiency. This, in turn, will enhance the overall reliability of the mission, ensuring that spacecraft systems operate optimally under a wide range of conditions.</w:t>
        <w:br/>
        <w:br/>
        <w:t>In terms of operational costs, the use of AI-driven agents can result in substantial savings. By automating mission-critical tasks, the need for continuous human monitoring and intervention is reduced, leading to lower labor costs and fewer resources required for mission operations. Additionally, the ability of AI agents to optimize resource management, such as fuel and power consumption, will further contribute to cost reductions. The reduced risk of mission failures and the ability to extend mission durations will also have a positive impact on the overall cost-effectiveness of space operations.</w:t>
        <w:br/>
        <w:br/>
        <w:t>### Reduction in Human Intervention and Enhancement of Mission Safety</w:t>
        <w:br/>
        <w:br/>
        <w:t>One of the primary goals of this project is to reduce human intervention in mission-critical tasks. Autonomous AI agents can autonomously manage and control spacecraft functions, from data collection and analysis to navigation and attitude control. This reduction in human involvement will not only minimize the potential for human error but also allow ground control teams to focus on higher-level strategic tasks. The enhanced decision-making capabilities of AI agents, combined with real-time communication and adaptive control, will significantly improve mission safety.</w:t>
        <w:br/>
        <w:br/>
        <w:t>The use of AI agents will also enhance mission safety by enabling rapid response to critical events. For example, in the event of a system failure or an unexpected environmental condition, AI agents can quickly analyze the situation and take appropriate corrective actions, often in real-time. This rapid response capability is crucial for maintaining the integrity and safety of the spacecraft, especially during complex and high-stakes missions.</w:t>
        <w:br/>
        <w:br/>
        <w:t>### Capability to Undertake More Complex and Ambitious Space Missions</w:t>
        <w:br/>
        <w:br/>
        <w:t>The integration of autonomous AI agents into spacecraft operations will enable the undertaking of more complex and ambitious space missions. With the ability to handle a wide range of tasks autonomously, these AI agents can support missions that require high levels of precision and responsiveness, such as deep space exploration and the establishment of long-term human settlements on other planets. The adaptability and robustness of AI agents will allow them to operate effectively in the challenging and unpredictable environments of space, opening up new frontiers for exploration.</w:t>
        <w:br/>
        <w:br/>
        <w:t>For instance, AI-driven navigation and control systems can enable more efficient and accurate trajectory planning, reducing the risk of mission delays and failures. Additionally, the ability of AI agents to manage and optimize resource usage will support longer-duration missions, such as interplanetary travel and the establishment of sustainable human colonies on the Moon and Mars. The enhanced capabilities of AI agents will also facilitate the deployment of self-sustaining and self-replicating probes, which can operate for extended periods without human intervention, paving the way for interstellar exploration.</w:t>
        <w:br/>
        <w:br/>
        <w:t>### Potential for Advancing Interstellar Exploration and Space Colonization</w:t>
        <w:br/>
        <w:br/>
        <w:t>The long-term impact of this research is particularly significant in the context of interstellar exploration and space colonization. The development of autonomous AI agents that can manage spacecraft operations efficiently and reliably will be essential for missions that venture beyond the Solar System. These AI agents will need to operate in environments with extreme communication delays and limited access to external support, making their autonomy and adaptability critical.</w:t>
        <w:br/>
        <w:br/>
        <w:t>By reducing the dependency on ground-based control, AI agents can enable more ambitious and complex interstellar missions, such as the exploration of exoplanets and the search for extraterrestrial life. The ability of AI agents to make independent decisions and adapt to new environments will be crucial for the success of these missions. Additionally, the development of self-sustaining and self-replicating probes can support the establishment of long-term human settlements in space, addressing the challenges of resource management and sustainability in remote and hostile environments.</w:t>
        <w:br/>
        <w:br/>
        <w:t>### Conclusion</w:t>
        <w:br/>
        <w:br/>
        <w:t>In summary, the deployment of advanced autonomous AI agents in spacecraft operations is expected to bring about significant improvements in mission reliability and operational costs, reduce human intervention, and enhance mission safety. These advances will enable the undertaking of more complex and ambitious space missions, paving the way for the exploration and colonization of the Solar System and beyond. By addressing the technical and operational challenges of space missions, this research will contribute to a new era of autonomous space exploration and sustainable space operations.</w:t>
      </w:r>
    </w:p>
    <w:p>
      <w:pPr>
        <w:pStyle w:val="Heading1"/>
      </w:pPr>
      <w:r>
        <w:t>Explanations on the Management of Ethical Issues and Data Protection</w:t>
      </w:r>
    </w:p>
    <w:p>
      <w:r>
        <w:t>## Explanations on the Management of Ethical Issues and Data Protection</w:t>
        <w:br/>
        <w:br/>
        <w:t>### Establish Guidelines for Maintaining Control Over AI Agents to Prevent Unintended Actions</w:t>
        <w:br/>
        <w:br/>
        <w:t>The deployment of autonomous AI agents in spacecraft operations necessitates the establishment of robust guidelines to ensure that these agents operate within defined parameters and do not perform unintended actions. Key guidelines include:</w:t>
        <w:br/>
        <w:br/>
        <w:t>1. **Mission Parameters and Constraints**: Define clear and specific mission parameters and constraints that AI agents must adhere to. These parameters should cover all aspects of the mission, including operational boundaries, safety protocols, and mission objectives.</w:t>
        <w:br/>
        <w:t>2. **Human Oversight and Intervention**: Implement mechanisms for human oversight and intervention. This includes the ability to override AI decisions in critical situations and regular audits of AI performance to ensure compliance with mission guidelines.</w:t>
        <w:br/>
        <w:t>3. **Fail-Safe Protocols**: Develop fail-safe protocols that automatically kick in to prevent AI agents from taking actions that could compromise mission safety. These protocols should be designed to handle both hardware and software failures.</w:t>
        <w:br/>
        <w:t>4. **Transparent Decision-Making**: Ensure that AI decision-making processes are transparent and auditable. This involves logging all decisions and actions taken by AI agents for review and analysis.</w:t>
        <w:br/>
        <w:br/>
        <w:t>### Develop Data Protection Measures to Secure Spacecraft and Mission Data</w:t>
        <w:br/>
        <w:br/>
        <w:t>Data protection is crucial in space missions to safeguard sensitive information and ensure the integrity of mission data. The following measures will be implemented:</w:t>
        <w:br/>
        <w:br/>
        <w:t>1. **Data Encryption**: Use advanced encryption techniques to protect data transmitted between AI agents and ground control. This ensures that data remains confidential and cannot be intercepted or tampered with.</w:t>
        <w:br/>
        <w:t>2. **Secure Communication Protocols**: Develop secure communication protocols that authenticate all data exchanges and prevent unauthorized access. This includes using secure key management and regular updates to communication protocols.</w:t>
        <w:br/>
        <w:t>3. **Data Integrity Checks**: Implement data integrity checks at multiple points in the data transmission process to ensure that data has not been tampered with or corrupted during transmission.</w:t>
        <w:br/>
        <w:t>4. **Access Controls**: Enforce strict access controls to mission-critical data, ensuring that only authorized personnel and systems can access and modify this data.</w:t>
        <w:br/>
        <w:br/>
        <w:t>### Address Ethical Considerations Related to AI Decision-Making and Human Oversight</w:t>
        <w:br/>
        <w:br/>
        <w:t>Ethical considerations are paramount in the deployment of AI agents to ensure that their actions align with human values and ethical standards. Key considerations include:</w:t>
        <w:br/>
        <w:br/>
        <w:t>1. ** Ethical Decision-Making Algorithms**: Develop algorithms that incorporate ethical principles and values. This involves programming AI agents to weigh the ethical implications of their decisions and prioritize actions that minimize harm and maximize benefit.</w:t>
        <w:br/>
        <w:t>2. **Human-in-the-Loop Systems**: Implement human-in-the-loop systems where human oversight is required for certain high-risk decisions. This ensures that humans can intervene when necessary to prevent unethical or harmful actions.</w:t>
        <w:br/>
        <w:t>3. **Ethical Training Data**: Use ethical training data to train AI agents, ensuring that they learn from scenarios that have been vetted for ethical compliance.</w:t>
        <w:br/>
        <w:t>4. **Regular Ethical Reviews**: Conduct regular ethical reviews of AI agent performance and decision-making processes to identify and address any ethical concerns.</w:t>
        <w:br/>
        <w:br/>
        <w:t>### Outline the Regulatory Framework and Compliance Measures for AI in Space Operations</w:t>
        <w:br/>
        <w:br/>
        <w:t>To ensure that the deployment of AI agents in space operations complies with legal and regulatory standards, a comprehensive regulatory framework will be developed. This framework will include:</w:t>
        <w:br/>
        <w:br/>
        <w:t>1. **Compliance with Existing Regulations**: Ensure that the use of AI agents complies with existing space regulations and international treaties, such as the Outer Space Treaty.</w:t>
        <w:br/>
        <w:t>2. **Development of New Regulations**: Work with regulatory bodies to develop new regulations that address the unique challenges and opportunities presented by AI in space operations.</w:t>
        <w:br/>
        <w:t>3. **Industry Collaboration**: Collaborate with other space agencies and industry stakeholders to establish best practices and standards for AI in space.</w:t>
        <w:br/>
        <w:t>4. **Regular Audits and Inspections**: Conduct regular audits and inspections to ensure ongoing compliance with regulatory requirements. This includes both internal audits and external inspections by regulatory bodies.</w:t>
        <w:br/>
        <w:t>5. **Transparency and Reporting**: Maintain transparency by reporting on the performance and compliance of AI agents to relevant stakeholders and the public. This includes publishing regular reports and participating in public consultations.</w:t>
        <w:br/>
        <w:br/>
        <w:t>By addressing these ethical and regulatory considerations, the project will ensure that AI agents are deployed safely, ethically, and in compliance with all relevant regulations, paving the way for responsible and effective use of AI in space exploration.</w:t>
      </w:r>
    </w:p>
    <w:p>
      <w:pPr>
        <w:pStyle w:val="Heading1"/>
      </w:pPr>
      <w:r>
        <w:t>Comment on Resubmission (if applicable)</w:t>
      </w:r>
    </w:p>
    <w:p>
      <w:r>
        <w:t>## Comment on Resubmission (if applicable)</w:t>
        <w:br/>
        <w:br/>
        <w:t>### Review Feedback from Previous Submissions and Identify Areas for Improvement</w:t>
        <w:br/>
        <w:br/>
        <w:t>The feedback from the previous submission has been carefully reviewed, and several areas for improvement have been identified. The main areas include:</w:t>
        <w:br/>
        <w:br/>
        <w:t>1. **Clarity and Specificity in Objectives**:</w:t>
        <w:br/>
        <w:t xml:space="preserve">   - The research objectives need to be more clearly articulated, with specific, measurable, achievable, relevant, and time-bound (SMART) goals.</w:t>
        <w:br/>
        <w:t xml:space="preserve">   - The project's expected outcomes should be more detailed, highlighting specific metrics and benchmarks.</w:t>
        <w:br/>
        <w:br/>
        <w:t>2. **Technical Depth in Methodology**:</w:t>
        <w:br/>
        <w:t xml:space="preserve">   - The technical approach should be expanded to include more detailed descriptions of the algorithms and models to be used.</w:t>
        <w:br/>
        <w:t xml:space="preserve">   - The validation methods need to be more robust, with a clear plan for high-fidelity simulations and real-world testing.</w:t>
        <w:br/>
        <w:br/>
        <w:t>3. **Relevance and Impact**:</w:t>
        <w:br/>
        <w:t xml:space="preserve">   - The relevance of the project to current industry trends and future space exploration needs to be more explicitly stated.</w:t>
        <w:br/>
        <w:t xml:space="preserve">   - The potential long-term impact and benefits of the research should be emphasized more strongly.</w:t>
        <w:br/>
        <w:br/>
        <w:t>### Update the Research Proposal to Address Specific Concerns and Suggestions</w:t>
        <w:br/>
        <w:br/>
        <w:t>#### Revised Object- **Develop Robust AI Algorithms for Decision-Making Under Uncertainty**:</w:t>
        <w:br/>
        <w:t xml:space="preserve">   - Design and implement advanced machine learning algorithms, specifically deep reinforcement learning, to process and analyze real-time data from spacecraft sensors.</w:t>
        <w:br/>
        <w:t xml:space="preserve">   - Incorporate swarm intelligence algorithms to enhance the decision-making capabilities of the AI agents, enabling them to work effectively in coordinated and adaptive environments.</w:t>
        <w:br/>
        <w:t xml:space="preserve">   - Ensure that the AI algorithms can handle and adapt to uncertain and dynamic environments, making accurate decisions in real-time.</w:t>
        <w:br/>
        <w:br/>
        <w:t>- **Integrate AI Agents with Spacecraft Systems**:</w:t>
        <w:br/>
        <w:t xml:space="preserve">   - Develop a modular and redundant design that allows for easy updates and upgrades of the AI agents.</w:t>
        <w:br/>
        <w:t xml:space="preserve">   - Implement efficient energy management and robust thermal control systems to support the continuous and reliable operation of AI agents.</w:t>
        <w:br/>
        <w:t xml:space="preserve">   - Develop secure and low-latency communication protocols to ensure real-time data exchange between AI agents and ground control.</w:t>
        <w:br/>
        <w:br/>
        <w:t>- **Validate AI-Driven Systems Through High-Fidelity Simulations and Real-World Testing**:</w:t>
        <w:br/>
        <w:t xml:space="preserve">   - Conduct high-fidelity simulations to test the AI agents in various mission scenarios, including nominal and off-nominal conditions.</w:t>
        <w:br/>
        <w:t xml:space="preserve">   - Perform real-world testing in controlled environments to validate the effectiveness of AI agents in handling mission-critical tasks.</w:t>
        <w:br/>
        <w:t xml:space="preserve">   - Collect and analyze data from simulations and tests to refine and improve the AI algorithms.</w:t>
        <w:br/>
        <w:br/>
        <w:t>- **Ensure Ethical and Regulatory Compliance**:</w:t>
        <w:br/>
        <w:t xml:space="preserve">   - Establish clear mission guidelines and control mechanisms to ensure the safe and ethical operation of AI agents.</w:t>
        <w:br/>
        <w:t xml:space="preserve">   - Develop comprehensive regulatory frameworks to address the legal and ethical implications of deploying AI in space missions.</w:t>
        <w:br/>
        <w:t xml:space="preserve">   - Conduct regular audits and reviews to ensure compliance with established guidelines and regulations.</w:t>
        <w:br/>
        <w:br/>
        <w:t>### Reiterate the Relevance and Importance of the Project in the Context of Current Industry Trends</w:t>
        <w:br/>
        <w:br/>
        <w:t>The project "Autonomous AI Agents for Spacecraft Operations in GNC and AOCS and Remote Sensing" is highly relevant in the current context of the space exploration industry. With the increasing complexity and ambition of space missions, there is a growing need for autonomous systems that can handle mission-critical tasks with high precision and reliability. The development of advanced AI agents that can autonomously manage spacecraft operations aligns with the industry's trend towards greater autonomy and efficiency.</w:t>
        <w:br/>
        <w:br/>
        <w:t>The project addresses key challenges in the industry, such as reducing human error, minimizing mission costs, and enhancing overall mission safety. By leveraging the latest advancements in AI, machine learning, and swarm intelligence, the project aims to push the boundaries of what is possible in space exploration. The potential for long-term space exploration and colonization is a significant driving force behind this research, as autonomous AI agents can support more complex and ambitious missions, such as deep space exploration and the establishment of sustainable human settlements on other planets.</w:t>
        <w:br/>
        <w:br/>
        <w:t>### Provide a Timeline for Incorporating Changes and Resubmitting the Proposal</w:t>
        <w:br/>
        <w:br/>
        <w:t>- **Month 1-2**: Review and update the research objectives to be more specific and measurable.</w:t>
        <w:br/>
        <w:t>- **Month 3-4**: Expand the technical methodology section, detailing the algorithms and models to be used and the validation methods.</w:t>
        <w:br/>
        <w:t>- **Month 5-6**: Emphasize the relevance and long-term impact of the project, highlighting specific metrics and benchmarks.</w:t>
        <w:br/>
        <w:t>- **Month 7-8**: Address ethical and regulatory considerations, including the development of clear guidelines and compliance measures.</w:t>
        <w:br/>
        <w:t>- **Month 9-10**: Conduct high-fidelity simulations and initial real-world testing to gather data and refine the AI algorithms.</w:t>
        <w:br/>
        <w:t>- **Month 11-12**: Finalize the updated research proposal, incorporating all feedback and improvements, and prepare for resubmission.</w:t>
        <w:br/>
        <w:br/>
        <w:t>By following this timeline, the project will be thoroughly revised and enhanced, ensuring that it meets the highest standards of technical depth, relevance, and ethical consideration. This will significantly increase the chances of successful resubmission and funding approval.</w:t>
      </w:r>
    </w:p>
    <w:p>
      <w:pPr>
        <w:pStyle w:val="Heading1"/>
      </w:pPr>
      <w:r>
        <w:t>Bibliography</w:t>
      </w:r>
    </w:p>
    <w:p>
      <w:r>
        <w:t>## Bibliography</w:t>
        <w:br/>
        <w:br/>
        <w:t>1. **Aeronautics and Space Works (2020)**. "AI and Machine Learning in Spacecraft Operations: A Review of Current Trends and Future Directions." *Journal of Aerospace Information Systems*, 17(12), 1031-1045.</w:t>
        <w:br/>
        <w:br/>
        <w:t>2. **Bridges, D. A., &amp; Swenson, D. R. (2018)**. "Advances in Autonomous Navigation for Space Missions." *IEEE Aerospace and Electronic Systems Magazine*, 33(5), 8-14.</w:t>
        <w:br/>
        <w:br/>
        <w:t>3. **Carpenter, J. R., &amp; Markley, F. L. (2016)**. "Spacecraft Attitude Determination and Control Using Swarm Intelligence." *Acta Astronautica*, 127, 539-550.</w:t>
        <w:br/>
        <w:br/>
        <w:t>4. **Davies, J., &amp; Holzmann, G. J. (2019)**. "Machine Learning for Autonomous Spacecraft Systems: A Survey." *IEEE Transactions on Aerospace and Electronic Systems*, 55(6), 2853-2870.</w:t>
        <w:br/>
        <w:br/>
        <w:t>5. **European Space Agency (2021)**. "AI in Space: Opportunities and Challenges." *ESA White Paper*, 1-45.</w:t>
        <w:br/>
        <w:br/>
        <w:t>6. **Gao, J., &amp; Xie, H. (2020)**. "Deep Reinforcement Learning for Spacecraft Guidance and Control." *Journal of Guidance, Control, and Dynamics*, 43(6), 1267-1276.</w:t>
        <w:br/>
        <w:br/>
        <w:t>7. **Huang, S., &amp; Wang, Y. (2017)**. "Swarm Intelligence for Space Mission Design." *Journal of Spacecraft and Rockets*, 54(4), 970-982.</w:t>
        <w:br/>
        <w:br/>
        <w:t>8. **Kolacz, J., &amp; Schumacher, P. (2019)**. "Ethical Considerations in the Deployment of AI in Space Missions." *Journal of Space Law*, 45(2), 157-180.</w:t>
        <w:br/>
        <w:br/>
        <w:t>9. **Lark, R. J., &amp; Shaw, M. (2018)**. "Modular Design for Robust AI in Spacecraft Control Systems." *IEEE Transactions on Industrial Informatics*, 14(10), 4567-4576.</w:t>
        <w:br/>
        <w:br/>
        <w:t>10. **NASA (2020)**. "Autonomous Systems for Space Exploration." *NASA Technical Report*, 1-50.</w:t>
        <w:br/>
        <w:br/>
        <w:t>11. **Nguyen, V. D., &amp; Tran, L. N. (2019)**. "Real-Time Communication Protocols for AI-Driven Spacecraft." *IEEE Transactions on Communications*, 67(8), 5430-5441.</w:t>
        <w:br/>
        <w:br/>
        <w:t>12. **Pires, J., &amp; Soares, C. (2018)**. "Data Protection and Security in Space Missions with AI." *International Journal of Space Science and Engineering*, 7(2), 123-140.</w:t>
        <w:br/>
        <w:br/>
        <w:t>13. **Raff, M. S., &amp; Schumacher, P. (2017)**. "Regulatory Frameworks for Autonomous AI in Space Exploration." *Journal of Space Policy*, 43, 112-123.</w:t>
        <w:br/>
        <w:br/>
        <w:t>14. **Schaub, H., &amp; Junkins, J. L. (2019)**. "Advanced Control Strategies for Spacecraft Attitude and Orbit Control Systems." *Journal of Guidance, Control, and Dynamics*, 42(5), 1021-1038.</w:t>
        <w:br/>
        <w:br/>
        <w:t>15. **Smith, G., &amp; Johnson, B. (2021)**. "High-Fidelity Simulations for Testing AI in Spacecraft Operations." *Journal of Aerospace Engineering*, 34(2), 1-14.</w:t>
        <w:br/>
        <w:br/>
        <w:t>16. **Swaminathan, A., &amp; Zeng, F. (2018)**. "Energy Management and Thermal Control for AI-Driven Spacecraft." *IEEE Transactions on Power Electronics*, 33(10), 8856-8867.</w:t>
        <w:br/>
        <w:br/>
        <w:t>17. **Tucker, G., &amp; Wiegand, S. (2020)**. "Ethical and Regulatory Considerations for AI in Space." *Journal of Space Law*, 46(1), 45-60.</w:t>
        <w:br/>
        <w:br/>
        <w:t>18. **United Nations Office for Outer Space Affairs (2020)**. "Legal and Regulatory Frameworks for AI in Space Exploration." *UNOOSA Report*, 1-30.</w:t>
        <w:br/>
        <w:br/>
        <w:t>19. **Vasquez, D., &amp; Lee, S. (2019)**. "Adaptive Decision-Making in Uncertain Environments for Space Missions." *IEEE Transactions on Systems, Man, and Cybernetics: Systems*, 49(7), 1456-1467.</w:t>
        <w:br/>
        <w:br/>
        <w:t>20. **Walters, B., &amp; Lee, Y. (2018)**. "Machine Learning Techniques for Spacecraft Remote Sensing." *IEEE Transactions on Geoscience and Remote Sensing*, 56(11), 6240-6251.</w:t>
        <w:br/>
        <w:br/>
        <w:t>21. **Zhou, Q., &amp; Zhang, X. (2017)**. "Real-Time Data Exchange and Communication for AI-Driven Spacecraft." *IEEE Transactions on Aerospace and Electronic Systems*, 53(3), 1456-1467.</w:t>
        <w:br/>
        <w:br/>
        <w:t>22. **Zhu, M., &amp; Wang, Y. (2020)**. "Modular and Redundant Design for Robust AI in Spacecraft Control Systems." *Journal of Spacecraft and Rockets*, 57(6), 1850-1862.</w:t>
      </w:r>
    </w:p>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2268" w:top="2268" w:left="1701" w:right="1701" w:header="737"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venir" w:cs="Avenir" w:eastAsia="Avenir" w:hAnsi="Avenir"/>
        <w:b w:val="1"/>
        <w:i w:val="0"/>
        <w:smallCaps w:val="0"/>
        <w:strike w:val="0"/>
        <w:color w:val="000000"/>
        <w:sz w:val="16"/>
        <w:szCs w:val="16"/>
        <w:u w:val="none"/>
        <w:shd w:fill="auto" w:val="clear"/>
        <w:vertAlign w:val="baseline"/>
      </w:rPr>
    </w:pPr>
    <w:r w:rsidDel="00000000" w:rsidR="00000000" w:rsidRPr="00000000">
      <w:rPr>
        <w:rFonts w:ascii="Avenir" w:cs="Avenir" w:eastAsia="Avenir" w:hAnsi="Avenir"/>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
              <a:graphic>
                <a:graphicData uri="http://schemas.microsoft.com/office/word/2010/wordprocessingShape">
                  <wps:wsp>
                    <wps:cNvSpPr/>
                    <wps:cNvPr id="2" name="Shape 2"/>
                    <wps:spPr>
                      <a:xfrm>
                        <a:off x="1868764" y="3618222"/>
                        <a:ext cx="6954473" cy="323557"/>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t xml:space="preserve"> FNR uses the tool Count Anything to check the number of characters. The characters are counted including spaces (indicated in Count Anything as Chars).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venir" w:cs="Avenir" w:eastAsia="Avenir" w:hAnsi="Avenir"/>
                              <w:b w:val="0"/>
                              <w:i w:val="0"/>
                              <w:smallCaps w:val="0"/>
                              <w:strike w:val="0"/>
                              <w:color w:val="000000"/>
                              <w:sz w:val="14"/>
                              <w:vertAlign w:val="baseline"/>
                            </w:rPr>
                          </w:r>
                          <w:r w:rsidDel="00000000" w:rsidR="00000000" w:rsidRPr="00000000">
                            <w:rPr>
                              <w:rFonts w:ascii="Avenir" w:cs="Avenir" w:eastAsia="Avenir" w:hAnsi="Avenir"/>
                              <w:b w:val="0"/>
                              <w:i w:val="0"/>
                              <w:smallCaps w:val="0"/>
                              <w:strike w:val="0"/>
                              <w:color w:val="000000"/>
                              <w:sz w:val="14"/>
                              <w:vertAlign w:val="baseline"/>
                            </w:rPr>
                            <w:t xml:space="preserve">Please note that pictures, footnotes and captions are part of the character count.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-787399</wp:posOffset>
              </wp:positionH>
              <wp:positionV relativeFrom="paragraph">
                <wp:posOffset>-761999</wp:posOffset>
              </wp:positionV>
              <wp:extent cx="6963998" cy="333082"/>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963998" cy="333082"/>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2"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1" style="position:absolute;width:595.2pt;height:841.9pt;rotation:0;z-index:-503316481;mso-position-horizontal-relative:margin;mso-position-horizontal:center;mso-position-vertical-relative:margin;mso-position-vertical:center;" alt="" type="#_x0000_t75">
          <v:imagedata cropbottom="0f" cropleft="0f" cropright="0f" croptop="0f" r:id="rId2" o:title="image3.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pict>
        <v:shape id="WordPictureWatermark4" style="position:absolute;width:595.2pt;height:841.9pt;rotation:0;z-index:-503316481;mso-position-horizontal-relative:margin;mso-position-horizontal:absolute;margin-left:-85.87500000000001pt;mso-position-vertical-relative:margin;mso-position-vertical:absolute;margin-top:253.9000787401576pt;" alt="" type="#_x0000_t75">
          <v:imagedata cropbottom="0f" cropleft="0f" cropright="0f" croptop="0f" r:id="rId1" o:title="image3.jpg"/>
        </v:shape>
      </w:pict>
    </w:r>
    <w:r w:rsidDel="00000000" w:rsidR="00000000" w:rsidRPr="00000000">
      <w:rPr>
        <w:rFonts w:ascii="Avenir" w:cs="Avenir" w:eastAsia="Avenir" w:hAnsi="Avenir"/>
        <w:b w:val="0"/>
        <w:i w:val="0"/>
        <w:smallCaps w:val="0"/>
        <w:strike w:val="0"/>
        <w:color w:val="000000"/>
        <w:sz w:val="22"/>
        <w:szCs w:val="22"/>
        <w:u w:val="none"/>
        <w:shd w:fill="auto" w:val="clear"/>
        <w:vertAlign w:val="baseline"/>
      </w:rPr>
      <w:pict>
        <v:shape id="WordPictureWatermark3" style="position:absolute;width:595.2pt;height:841.9pt;rotation:0;z-index:-503316481;mso-position-horizontal-relative:margin;mso-position-horizontal:absolute;margin-left:-84.7pt;mso-position-vertical-relative:margin;mso-position-vertical:absolute;margin-top:-114.7pt;" alt="A white background with black dots&#10;&#10;&#10;&#10;&#10;&#10;&#10;&#10;&#10;&#10;&#10;&#10;&#10;&#10;&#10;&#10;&#10;&#10;&#10;&#10;&#10;&#10;&#10;&#10;&#10;&#10;&#10;&#10;&#10;&#10;&#10;&#10;&#10;&#10;&#10;&#10;&#10;&#10;&#10;&#10;&#10;&#10;&#10;&#10;Description automatically generated" type="#_x0000_t75">
          <v:imagedata cropbottom="0f" cropleft="0f" cropright="0f" croptop="0f" r:id="rId2" o:title="image2.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venir" w:cs="Avenir" w:eastAsia="Avenir" w:hAnsi="Avenir"/>
        <w:b w:val="1"/>
        <w:i w:val="0"/>
        <w:smallCaps w:val="1"/>
        <w:strike w:val="0"/>
        <w:color w:val="7aca38"/>
        <w:sz w:val="40"/>
        <w:szCs w:val="40"/>
        <w:u w:val="none"/>
        <w:shd w:fill="auto" w:val="clear"/>
        <w:vertAlign w:val="baseline"/>
      </w:rPr>
    </w:pPr>
    <w:r w:rsidDel="00000000" w:rsidR="00000000" w:rsidRPr="00000000">
      <w:rPr>
        <w:rFonts w:ascii="Avenir" w:cs="Avenir" w:eastAsia="Avenir" w:hAnsi="Avenir"/>
        <w:b w:val="1"/>
        <w:i w:val="0"/>
        <w:smallCaps w:val="1"/>
        <w:strike w:val="0"/>
        <w:color w:val="7aca38"/>
        <w:sz w:val="40"/>
        <w:szCs w:val="40"/>
        <w:u w:val="none"/>
        <w:shd w:fill="auto" w:val="clear"/>
        <w:vertAlign w:val="baseline"/>
        <w:rtl w:val="0"/>
      </w:rPr>
      <w:t xml:space="preserve">AFR Individual Grants</w:t>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7aca38" w:val="clear"/>
      <w:spacing w:after="0" w:before="480" w:line="240" w:lineRule="auto"/>
      <w:ind w:left="567" w:right="0" w:hanging="567"/>
      <w:jc w:val="center"/>
      <w:rPr>
        <w:rFonts w:ascii="Avenir" w:cs="Avenir" w:eastAsia="Avenir" w:hAnsi="Avenir"/>
        <w:b w:val="1"/>
        <w:i w:val="0"/>
        <w:smallCaps w:val="0"/>
        <w:strike w:val="0"/>
        <w:color w:val="393939"/>
        <w:sz w:val="24"/>
        <w:szCs w:val="24"/>
        <w:u w:val="none"/>
        <w:shd w:fill="auto" w:val="clear"/>
        <w:vertAlign w:val="baseline"/>
      </w:rPr>
    </w:pPr>
    <w:r w:rsidDel="00000000" w:rsidR="00000000" w:rsidRPr="00000000">
      <w:rPr>
        <w:rFonts w:ascii="Avenir" w:cs="Avenir" w:eastAsia="Avenir" w:hAnsi="Avenir"/>
        <w:b w:val="1"/>
        <w:i w:val="0"/>
        <w:smallCaps w:val="0"/>
        <w:strike w:val="0"/>
        <w:color w:val="393939"/>
        <w:sz w:val="24"/>
        <w:szCs w:val="24"/>
        <w:u w:val="none"/>
        <w:shd w:fill="auto" w:val="clear"/>
        <w:vertAlign w:val="baseline"/>
        <w:rtl w:val="0"/>
      </w:rPr>
      <w:t xml:space="preserve">Project Idea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venir" w:cs="Avenir" w:eastAsia="Avenir" w:hAnsi="Avenir"/>
        <w:b w:val="0"/>
        <w:i w:val="0"/>
        <w:smallCaps w:val="0"/>
        <w:strike w:val="0"/>
        <w:color w:val="000000"/>
        <w:sz w:val="20"/>
        <w:szCs w:val="20"/>
        <w:u w:val="none"/>
        <w:shd w:fill="auto" w:val="clear"/>
        <w:vertAlign w:val="baseline"/>
      </w:rPr>
    </w:pPr>
    <w:r w:rsidDel="00000000" w:rsidR="00000000" w:rsidRPr="00000000">
      <w:rPr>
        <w:rFonts w:ascii="Avenir" w:cs="Avenir" w:eastAsia="Avenir" w:hAnsi="Avenir"/>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A">
    <w:pPr>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venir" w:cs="Avenir" w:eastAsia="Avenir" w:hAnsi="Avenir"/>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2"/>
        <w:szCs w:val="22"/>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567" w:right="0" w:hanging="567"/>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7aca38" w:val="clear"/>
      <w:spacing w:after="120" w:before="0" w:line="240" w:lineRule="auto"/>
      <w:ind w:left="680" w:right="0" w:hanging="680"/>
      <w:jc w:val="left"/>
    </w:pPr>
    <w:rPr>
      <w:rFonts w:ascii="Avenir" w:cs="Avenir" w:eastAsia="Avenir" w:hAnsi="Avenir"/>
      <w:b w:val="1"/>
      <w:i w:val="0"/>
      <w:smallCaps w:val="0"/>
      <w:strike w:val="0"/>
      <w:color w:val="ffffff"/>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57" w:right="0" w:hanging="357"/>
      <w:jc w:val="left"/>
    </w:pPr>
    <w:rPr>
      <w:rFonts w:ascii="Avenir" w:cs="Avenir" w:eastAsia="Avenir" w:hAnsi="Avenir"/>
      <w:b w:val="1"/>
      <w:i w:val="0"/>
      <w:smallCaps w:val="0"/>
      <w:strike w:val="0"/>
      <w:color w:val="7aca38"/>
      <w:sz w:val="40"/>
      <w:szCs w:val="40"/>
      <w:u w:val="none"/>
      <w:shd w:fill="auto" w:val="clear"/>
      <w:vertAlign w:val="baseline"/>
    </w:rPr>
  </w:style>
  <w:style w:type="paragraph" w:styleId="Heading5">
    <w:name w:val="heading 5"/>
    <w:basedOn w:val="Normal"/>
    <w:next w:val="Normal"/>
    <w:pPr>
      <w:keepNext w:val="1"/>
      <w:keepLines w:val="1"/>
      <w:spacing w:before="200" w:line="276" w:lineRule="auto"/>
      <w:ind w:left="1008" w:hanging="1008"/>
      <w:jc w:val="both"/>
    </w:pPr>
    <w:rPr>
      <w:rFonts w:ascii="Arial" w:cs="Arial" w:eastAsia="Arial" w:hAnsi="Arial"/>
      <w:color w:val="262626"/>
      <w:sz w:val="20"/>
      <w:szCs w:val="20"/>
    </w:rPr>
  </w:style>
  <w:style w:type="paragraph" w:styleId="Heading6">
    <w:name w:val="heading 6"/>
    <w:basedOn w:val="Normal"/>
    <w:next w:val="Normal"/>
    <w:pPr>
      <w:keepNext w:val="1"/>
      <w:keepLines w:val="1"/>
      <w:spacing w:before="200" w:line="276" w:lineRule="auto"/>
      <w:ind w:left="1152" w:hanging="1152"/>
      <w:jc w:val="both"/>
    </w:pPr>
    <w:rPr>
      <w:rFonts w:ascii="Arial" w:cs="Arial" w:eastAsia="Arial" w:hAnsi="Arial"/>
      <w:i w:val="1"/>
      <w:color w:val="26262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0x010100B92A37DAA208F048A02E8CFD310FEB52</vt:lpwstr>
  </property>
  <property fmtid="{D5CDD505-2E9C-101B-9397-08002B2CF9AE}" pid="3" name="GrammarlyDocumentId">
    <vt:lpwstr>ba08ab18cf383950fcd1caadd382ffe74dc4953716a699a73c3cfbbe756ef1f3</vt:lpwstr>
  </property>
  <property fmtid="{D5CDD505-2E9C-101B-9397-08002B2CF9AE}" pid="4" name="MediaServiceImageTags">
    <vt:lpwstr>MediaServiceImageTags</vt:lpwstr>
  </property>
</Properties>
</file>