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A6C0B" w14:textId="77777777" w:rsidR="00442F54" w:rsidRPr="00C6321C" w:rsidRDefault="00442F54" w:rsidP="00442F54">
      <w:pPr>
        <w:spacing w:before="100" w:beforeAutospacing="1" w:after="100" w:afterAutospacing="1"/>
        <w:outlineLvl w:val="2"/>
        <w:rPr>
          <w:b/>
          <w:bCs/>
          <w:sz w:val="27"/>
          <w:szCs w:val="27"/>
        </w:rPr>
      </w:pPr>
      <w:r w:rsidRPr="00C6321C">
        <w:rPr>
          <w:b/>
          <w:bCs/>
          <w:sz w:val="27"/>
          <w:szCs w:val="27"/>
        </w:rPr>
        <w:t>Question 1: Cloud Computing for Deep Learning (20 points)</w:t>
      </w:r>
    </w:p>
    <w:p w14:paraId="1E5FA0DD" w14:textId="77777777" w:rsidR="00442F54" w:rsidRPr="00C6321C" w:rsidRDefault="00442F54" w:rsidP="00442F54">
      <w:pPr>
        <w:spacing w:before="100" w:beforeAutospacing="1" w:after="100" w:afterAutospacing="1"/>
      </w:pPr>
      <w:r w:rsidRPr="00C6321C">
        <w:t>Cloud computing offers significant advantages for deep learning applications.</w:t>
      </w:r>
    </w:p>
    <w:p w14:paraId="55AB00F8" w14:textId="77777777" w:rsidR="00442F54" w:rsidRPr="00C6321C" w:rsidRDefault="00442F54" w:rsidP="00442F54">
      <w:pPr>
        <w:spacing w:before="100" w:beforeAutospacing="1" w:after="100" w:afterAutospacing="1"/>
      </w:pPr>
      <w:r w:rsidRPr="00C6321C">
        <w:t xml:space="preserve">(a) Define </w:t>
      </w:r>
      <w:r w:rsidRPr="00C6321C">
        <w:rPr>
          <w:b/>
          <w:bCs/>
        </w:rPr>
        <w:t>elasticity</w:t>
      </w:r>
      <w:r w:rsidRPr="00C6321C">
        <w:t xml:space="preserve"> and </w:t>
      </w:r>
      <w:r w:rsidRPr="00C6321C">
        <w:rPr>
          <w:b/>
          <w:bCs/>
        </w:rPr>
        <w:t>scalability</w:t>
      </w:r>
      <w:r w:rsidRPr="00C6321C">
        <w:t xml:space="preserve"> in the context of cloud computing for deep learning. (10 points)</w:t>
      </w:r>
      <w:r w:rsidRPr="00C6321C">
        <w:br/>
        <w:t xml:space="preserve">(b) Compare </w:t>
      </w:r>
      <w:r w:rsidRPr="00C6321C">
        <w:rPr>
          <w:b/>
          <w:bCs/>
        </w:rPr>
        <w:t xml:space="preserve">AWS </w:t>
      </w:r>
      <w:proofErr w:type="spellStart"/>
      <w:r w:rsidRPr="00C6321C">
        <w:rPr>
          <w:b/>
          <w:bCs/>
        </w:rPr>
        <w:t>SageMaker</w:t>
      </w:r>
      <w:proofErr w:type="spellEnd"/>
      <w:r w:rsidRPr="00C6321C">
        <w:t xml:space="preserve">, </w:t>
      </w:r>
      <w:r w:rsidRPr="00C6321C">
        <w:rPr>
          <w:b/>
          <w:bCs/>
        </w:rPr>
        <w:t>Google Vertex AI</w:t>
      </w:r>
      <w:r w:rsidRPr="00C6321C">
        <w:t xml:space="preserve">, and </w:t>
      </w:r>
      <w:r w:rsidRPr="00C6321C">
        <w:rPr>
          <w:b/>
          <w:bCs/>
        </w:rPr>
        <w:t>Microsoft Azure Machine Learning Studio</w:t>
      </w:r>
      <w:r w:rsidRPr="00C6321C">
        <w:t xml:space="preserve"> in terms of their deep learning capabilities. (10 points)</w:t>
      </w:r>
    </w:p>
    <w:p w14:paraId="1C511D43" w14:textId="77777777" w:rsidR="00442F54" w:rsidRPr="009E4A81" w:rsidRDefault="00442F54" w:rsidP="00442F54">
      <w:pPr>
        <w:spacing w:before="100" w:beforeAutospacing="1" w:after="100" w:afterAutospacing="1"/>
        <w:outlineLvl w:val="2"/>
        <w:rPr>
          <w:b/>
          <w:bCs/>
          <w:sz w:val="27"/>
          <w:szCs w:val="27"/>
        </w:rPr>
      </w:pPr>
      <w:r w:rsidRPr="009E4A81">
        <w:rPr>
          <w:b/>
          <w:bCs/>
          <w:sz w:val="27"/>
          <w:szCs w:val="27"/>
        </w:rPr>
        <w:t>Expected Output</w:t>
      </w:r>
    </w:p>
    <w:p w14:paraId="6EDC4DC8" w14:textId="77777777" w:rsidR="00442F54" w:rsidRDefault="00442F54" w:rsidP="00442F54">
      <w:pPr>
        <w:pStyle w:val="p1"/>
        <w:rPr>
          <w:sz w:val="28"/>
          <w:szCs w:val="28"/>
        </w:rPr>
      </w:pPr>
      <w:r>
        <w:rPr>
          <w:sz w:val="28"/>
          <w:szCs w:val="28"/>
        </w:rPr>
        <w:t xml:space="preserve">Write the definition and comparison for (a) and (b). No code needed. </w:t>
      </w:r>
    </w:p>
    <w:p w14:paraId="637CFC34" w14:textId="77777777" w:rsidR="0067406E" w:rsidRDefault="0067406E"/>
    <w:p w14:paraId="7B93EBE0" w14:textId="3716A340" w:rsidR="00442F54" w:rsidRPr="00442F54" w:rsidRDefault="00442F54">
      <w:pPr>
        <w:rPr>
          <w:b/>
          <w:bCs/>
          <w:sz w:val="32"/>
          <w:szCs w:val="32"/>
        </w:rPr>
      </w:pPr>
      <w:r w:rsidRPr="00442F54">
        <w:rPr>
          <w:b/>
          <w:bCs/>
          <w:sz w:val="32"/>
          <w:szCs w:val="32"/>
          <w:highlight w:val="yellow"/>
        </w:rPr>
        <w:t>Answer:</w:t>
      </w:r>
    </w:p>
    <w:p w14:paraId="576B7672" w14:textId="77777777" w:rsidR="00442F54" w:rsidRDefault="00442F54"/>
    <w:p w14:paraId="62EBD2D6" w14:textId="1BCFC10A" w:rsidR="00442F54" w:rsidRDefault="00442F54" w:rsidP="00442F54">
      <w:pPr>
        <w:spacing w:before="100" w:beforeAutospacing="1" w:after="100" w:afterAutospacing="1"/>
        <w:outlineLvl w:val="2"/>
        <w:rPr>
          <w:b/>
          <w:bCs/>
          <w:sz w:val="36"/>
          <w:szCs w:val="36"/>
        </w:rPr>
      </w:pPr>
      <w:r>
        <w:rPr>
          <w:b/>
          <w:bCs/>
          <w:sz w:val="36"/>
          <w:szCs w:val="36"/>
        </w:rPr>
        <w:t>a)</w:t>
      </w:r>
    </w:p>
    <w:p w14:paraId="40884F90" w14:textId="5F29D561" w:rsidR="00442F54" w:rsidRPr="00442F54" w:rsidRDefault="00442F54" w:rsidP="00442F54">
      <w:pPr>
        <w:spacing w:before="100" w:beforeAutospacing="1" w:after="100" w:afterAutospacing="1"/>
        <w:outlineLvl w:val="2"/>
        <w:rPr>
          <w:b/>
          <w:bCs/>
          <w:sz w:val="27"/>
          <w:szCs w:val="27"/>
        </w:rPr>
      </w:pPr>
      <w:r w:rsidRPr="00442F54">
        <w:rPr>
          <w:b/>
          <w:bCs/>
          <w:sz w:val="27"/>
          <w:szCs w:val="27"/>
        </w:rPr>
        <w:t>Elasticity:</w:t>
      </w:r>
    </w:p>
    <w:p w14:paraId="48612F3D" w14:textId="77777777" w:rsidR="00442F54" w:rsidRPr="00442F54" w:rsidRDefault="00442F54" w:rsidP="00442F54">
      <w:pPr>
        <w:spacing w:before="100" w:beforeAutospacing="1" w:after="100" w:afterAutospacing="1"/>
      </w:pPr>
      <w:r w:rsidRPr="00442F54">
        <w:t>Elasticity in cloud computing refers to the ability of a system to automatically scale resources up or down based on demand. This ensures efficient use of resources while minimizing costs. In deep learning, elasticity allows cloud platforms to allocate more computational power when training large models and reduce resources when the workload decreases.</w:t>
      </w:r>
    </w:p>
    <w:p w14:paraId="535E0E87" w14:textId="77777777" w:rsidR="00442F54" w:rsidRPr="00442F54" w:rsidRDefault="00442F54" w:rsidP="00442F54">
      <w:pPr>
        <w:spacing w:before="100" w:beforeAutospacing="1" w:after="100" w:afterAutospacing="1"/>
        <w:outlineLvl w:val="2"/>
        <w:rPr>
          <w:b/>
          <w:bCs/>
          <w:sz w:val="27"/>
          <w:szCs w:val="27"/>
        </w:rPr>
      </w:pPr>
      <w:r w:rsidRPr="00442F54">
        <w:rPr>
          <w:b/>
          <w:bCs/>
          <w:sz w:val="27"/>
          <w:szCs w:val="27"/>
        </w:rPr>
        <w:t>Scalability:</w:t>
      </w:r>
    </w:p>
    <w:p w14:paraId="5A6022F0" w14:textId="77777777" w:rsidR="00442F54" w:rsidRDefault="00442F54" w:rsidP="00442F54">
      <w:pPr>
        <w:spacing w:before="100" w:beforeAutospacing="1" w:after="100" w:afterAutospacing="1"/>
      </w:pPr>
      <w:r w:rsidRPr="00442F54">
        <w:t>Scalability is the capability of a system to handle increased workload by adding more resources, either vertically (upgrading existing hardware) or horizontally (adding more machines). In deep learning, scalability ensures that as datasets and model complexity grow, the cloud infrastructure can accommodate the increasing demands without performance degradation.</w:t>
      </w:r>
    </w:p>
    <w:p w14:paraId="6832CB2C" w14:textId="77777777" w:rsidR="00442F54" w:rsidRDefault="00442F54" w:rsidP="00442F54">
      <w:pPr>
        <w:spacing w:before="100" w:beforeAutospacing="1" w:after="100" w:afterAutospacing="1"/>
      </w:pPr>
    </w:p>
    <w:p w14:paraId="1CD93141" w14:textId="77777777" w:rsidR="00442F54" w:rsidRDefault="00442F54" w:rsidP="00442F54">
      <w:pPr>
        <w:spacing w:before="100" w:beforeAutospacing="1" w:after="100" w:afterAutospacing="1"/>
      </w:pPr>
    </w:p>
    <w:p w14:paraId="5510D145" w14:textId="77777777" w:rsidR="00442F54" w:rsidRDefault="00442F54" w:rsidP="00442F54">
      <w:pPr>
        <w:spacing w:before="100" w:beforeAutospacing="1" w:after="100" w:afterAutospacing="1"/>
      </w:pPr>
    </w:p>
    <w:p w14:paraId="0742DEB3" w14:textId="77777777" w:rsidR="00442F54" w:rsidRDefault="00442F54" w:rsidP="00442F54">
      <w:pPr>
        <w:spacing w:before="100" w:beforeAutospacing="1" w:after="100" w:afterAutospacing="1"/>
      </w:pPr>
    </w:p>
    <w:p w14:paraId="0878BD0B" w14:textId="77777777" w:rsidR="00442F54" w:rsidRDefault="00442F54" w:rsidP="00442F54">
      <w:pPr>
        <w:spacing w:before="100" w:beforeAutospacing="1" w:after="100" w:afterAutospacing="1"/>
      </w:pPr>
    </w:p>
    <w:p w14:paraId="5CE808D0" w14:textId="77777777" w:rsidR="00442F54" w:rsidRDefault="00442F54" w:rsidP="00442F54">
      <w:pPr>
        <w:spacing w:before="100" w:beforeAutospacing="1" w:after="100" w:afterAutospacing="1"/>
      </w:pPr>
    </w:p>
    <w:p w14:paraId="3F6AB676" w14:textId="77777777" w:rsidR="00442F54" w:rsidRPr="00442F54" w:rsidRDefault="00442F54" w:rsidP="00442F54">
      <w:pPr>
        <w:spacing w:before="100" w:beforeAutospacing="1" w:after="100" w:afterAutospacing="1"/>
      </w:pPr>
    </w:p>
    <w:p w14:paraId="69854CA0" w14:textId="77777777" w:rsidR="00442F54" w:rsidRDefault="00442F54" w:rsidP="00442F54">
      <w:pPr>
        <w:spacing w:before="100" w:beforeAutospacing="1" w:after="100" w:afterAutospacing="1"/>
        <w:outlineLvl w:val="1"/>
        <w:rPr>
          <w:sz w:val="28"/>
          <w:szCs w:val="28"/>
        </w:rPr>
      </w:pPr>
      <w:r>
        <w:rPr>
          <w:sz w:val="28"/>
          <w:szCs w:val="28"/>
        </w:rPr>
        <w:lastRenderedPageBreak/>
        <w:t>b)</w:t>
      </w:r>
    </w:p>
    <w:p w14:paraId="5DD4CD81" w14:textId="332C32F7" w:rsidR="00442F54" w:rsidRPr="00442F54" w:rsidRDefault="00442F54" w:rsidP="00442F54">
      <w:pPr>
        <w:spacing w:before="100" w:beforeAutospacing="1" w:after="100" w:afterAutospacing="1"/>
        <w:outlineLvl w:val="1"/>
        <w:rPr>
          <w:sz w:val="28"/>
          <w:szCs w:val="28"/>
        </w:rPr>
      </w:pPr>
      <w:r w:rsidRPr="00442F54">
        <w:rPr>
          <w:sz w:val="28"/>
          <w:szCs w:val="28"/>
        </w:rPr>
        <w:t xml:space="preserve">Comparison of AWS </w:t>
      </w:r>
      <w:proofErr w:type="spellStart"/>
      <w:r w:rsidRPr="00442F54">
        <w:rPr>
          <w:sz w:val="28"/>
          <w:szCs w:val="28"/>
        </w:rPr>
        <w:t>SageMaker</w:t>
      </w:r>
      <w:proofErr w:type="spellEnd"/>
      <w:r w:rsidRPr="00442F54">
        <w:rPr>
          <w:sz w:val="28"/>
          <w:szCs w:val="28"/>
        </w:rPr>
        <w:t>, Google Vertex AI, and Microsoft Azure Machine Learning Studio</w:t>
      </w:r>
    </w:p>
    <w:tbl>
      <w:tblPr>
        <w:tblStyle w:val="TableGrid"/>
        <w:tblW w:w="9594" w:type="dxa"/>
        <w:tblLook w:val="04A0" w:firstRow="1" w:lastRow="0" w:firstColumn="1" w:lastColumn="0" w:noHBand="0" w:noVBand="1"/>
      </w:tblPr>
      <w:tblGrid>
        <w:gridCol w:w="2398"/>
        <w:gridCol w:w="2398"/>
        <w:gridCol w:w="2399"/>
        <w:gridCol w:w="2399"/>
      </w:tblGrid>
      <w:tr w:rsidR="00442F54" w14:paraId="7D3F0CBB" w14:textId="77777777" w:rsidTr="00442F54">
        <w:trPr>
          <w:trHeight w:val="889"/>
        </w:trPr>
        <w:tc>
          <w:tcPr>
            <w:tcW w:w="2398" w:type="dxa"/>
          </w:tcPr>
          <w:p w14:paraId="72245334" w14:textId="77E0A4A7" w:rsidR="00442F54" w:rsidRDefault="00442F54" w:rsidP="00442F54">
            <w:pPr>
              <w:spacing w:before="100" w:beforeAutospacing="1" w:after="100" w:afterAutospacing="1"/>
              <w:jc w:val="center"/>
            </w:pPr>
            <w:r w:rsidRPr="00442F54">
              <w:t>Feature</w:t>
            </w:r>
          </w:p>
        </w:tc>
        <w:tc>
          <w:tcPr>
            <w:tcW w:w="2398" w:type="dxa"/>
          </w:tcPr>
          <w:p w14:paraId="7698DF35" w14:textId="5E802D8B" w:rsidR="00442F54" w:rsidRDefault="00442F54" w:rsidP="00442F54">
            <w:pPr>
              <w:spacing w:before="100" w:beforeAutospacing="1" w:after="100" w:afterAutospacing="1"/>
            </w:pPr>
            <w:r w:rsidRPr="00442F54">
              <w:rPr>
                <w:b/>
                <w:bCs/>
              </w:rPr>
              <w:t>AWS SageMaker</w:t>
            </w:r>
          </w:p>
        </w:tc>
        <w:tc>
          <w:tcPr>
            <w:tcW w:w="2399" w:type="dxa"/>
          </w:tcPr>
          <w:p w14:paraId="61B7F50E" w14:textId="40BA69E9" w:rsidR="00442F54" w:rsidRDefault="00442F54" w:rsidP="00442F54">
            <w:pPr>
              <w:spacing w:before="100" w:beforeAutospacing="1" w:after="100" w:afterAutospacing="1"/>
            </w:pPr>
            <w:r w:rsidRPr="00442F54">
              <w:rPr>
                <w:b/>
                <w:bCs/>
              </w:rPr>
              <w:t>Google Vertex AI</w:t>
            </w:r>
          </w:p>
        </w:tc>
        <w:tc>
          <w:tcPr>
            <w:tcW w:w="2399" w:type="dxa"/>
          </w:tcPr>
          <w:p w14:paraId="6940FD37" w14:textId="39D9324B" w:rsidR="00442F54" w:rsidRDefault="00442F54" w:rsidP="00442F54">
            <w:pPr>
              <w:spacing w:before="100" w:beforeAutospacing="1" w:after="100" w:afterAutospacing="1"/>
            </w:pPr>
            <w:r w:rsidRPr="00442F54">
              <w:rPr>
                <w:b/>
                <w:bCs/>
              </w:rPr>
              <w:t>Microsoft Azure ML Studio</w:t>
            </w:r>
          </w:p>
        </w:tc>
      </w:tr>
      <w:tr w:rsidR="00442F54" w14:paraId="5F1C37A2" w14:textId="77777777" w:rsidTr="00442F54">
        <w:trPr>
          <w:trHeight w:val="443"/>
        </w:trPr>
        <w:tc>
          <w:tcPr>
            <w:tcW w:w="2398" w:type="dxa"/>
          </w:tcPr>
          <w:p w14:paraId="76D85565" w14:textId="2FBAA748" w:rsidR="00442F54" w:rsidRDefault="00442F54" w:rsidP="00442F54">
            <w:pPr>
              <w:spacing w:before="100" w:beforeAutospacing="1" w:after="100" w:afterAutospacing="1"/>
            </w:pPr>
            <w:r w:rsidRPr="00442F54">
              <w:rPr>
                <w:b/>
                <w:bCs/>
              </w:rPr>
              <w:t>Ease of Use</w:t>
            </w:r>
          </w:p>
        </w:tc>
        <w:tc>
          <w:tcPr>
            <w:tcW w:w="2398" w:type="dxa"/>
          </w:tcPr>
          <w:p w14:paraId="64510072" w14:textId="4D7BC728" w:rsidR="00442F54" w:rsidRDefault="00442F54" w:rsidP="00442F54">
            <w:pPr>
              <w:spacing w:before="100" w:beforeAutospacing="1" w:after="100" w:afterAutospacing="1"/>
            </w:pPr>
            <w:r w:rsidRPr="00442F54">
              <w:t>Moderate</w:t>
            </w:r>
          </w:p>
        </w:tc>
        <w:tc>
          <w:tcPr>
            <w:tcW w:w="2399" w:type="dxa"/>
          </w:tcPr>
          <w:p w14:paraId="128AFFE4" w14:textId="45F0C938" w:rsidR="00442F54" w:rsidRDefault="00442F54" w:rsidP="00442F54">
            <w:pPr>
              <w:spacing w:before="100" w:beforeAutospacing="1" w:after="100" w:afterAutospacing="1"/>
            </w:pPr>
            <w:r w:rsidRPr="00442F54">
              <w:t>High</w:t>
            </w:r>
          </w:p>
        </w:tc>
        <w:tc>
          <w:tcPr>
            <w:tcW w:w="2399" w:type="dxa"/>
          </w:tcPr>
          <w:p w14:paraId="79878592" w14:textId="6A073776" w:rsidR="00442F54" w:rsidRDefault="00442F54" w:rsidP="00442F54">
            <w:pPr>
              <w:spacing w:before="100" w:beforeAutospacing="1" w:after="100" w:afterAutospacing="1"/>
            </w:pPr>
            <w:r w:rsidRPr="00442F54">
              <w:t>High</w:t>
            </w:r>
          </w:p>
        </w:tc>
      </w:tr>
      <w:tr w:rsidR="00442F54" w14:paraId="66E3A909" w14:textId="77777777" w:rsidTr="00442F54">
        <w:trPr>
          <w:trHeight w:val="870"/>
        </w:trPr>
        <w:tc>
          <w:tcPr>
            <w:tcW w:w="2398" w:type="dxa"/>
          </w:tcPr>
          <w:p w14:paraId="588F3CF5" w14:textId="2FE3C1DD" w:rsidR="00442F54" w:rsidRDefault="00442F54" w:rsidP="00442F54">
            <w:pPr>
              <w:spacing w:before="100" w:beforeAutospacing="1" w:after="100" w:afterAutospacing="1"/>
            </w:pPr>
            <w:proofErr w:type="spellStart"/>
            <w:r w:rsidRPr="00442F54">
              <w:rPr>
                <w:b/>
                <w:bCs/>
              </w:rPr>
              <w:t>AutoML</w:t>
            </w:r>
            <w:proofErr w:type="spellEnd"/>
            <w:r w:rsidRPr="00442F54">
              <w:rPr>
                <w:b/>
                <w:bCs/>
              </w:rPr>
              <w:t xml:space="preserve"> Capabilities</w:t>
            </w:r>
          </w:p>
        </w:tc>
        <w:tc>
          <w:tcPr>
            <w:tcW w:w="2398" w:type="dxa"/>
          </w:tcPr>
          <w:p w14:paraId="0A226D8E" w14:textId="547CE58D" w:rsidR="00442F54" w:rsidRDefault="00442F54" w:rsidP="00442F54">
            <w:pPr>
              <w:spacing w:before="100" w:beforeAutospacing="1" w:after="100" w:afterAutospacing="1"/>
            </w:pPr>
            <w:r w:rsidRPr="00442F54">
              <w:t>Yes</w:t>
            </w:r>
          </w:p>
        </w:tc>
        <w:tc>
          <w:tcPr>
            <w:tcW w:w="2399" w:type="dxa"/>
          </w:tcPr>
          <w:p w14:paraId="65D19F4D" w14:textId="4ACFD52A" w:rsidR="00442F54" w:rsidRDefault="00442F54" w:rsidP="00442F54">
            <w:pPr>
              <w:spacing w:before="100" w:beforeAutospacing="1" w:after="100" w:afterAutospacing="1"/>
            </w:pPr>
            <w:r w:rsidRPr="00442F54">
              <w:t>Yes</w:t>
            </w:r>
          </w:p>
        </w:tc>
        <w:tc>
          <w:tcPr>
            <w:tcW w:w="2399" w:type="dxa"/>
          </w:tcPr>
          <w:p w14:paraId="35D92816" w14:textId="1EF838E2" w:rsidR="00442F54" w:rsidRDefault="00442F54" w:rsidP="00442F54">
            <w:pPr>
              <w:spacing w:before="100" w:beforeAutospacing="1" w:after="100" w:afterAutospacing="1"/>
            </w:pPr>
            <w:r w:rsidRPr="00442F54">
              <w:t>Yes</w:t>
            </w:r>
          </w:p>
        </w:tc>
      </w:tr>
      <w:tr w:rsidR="00442F54" w14:paraId="7401952E" w14:textId="77777777" w:rsidTr="00442F54">
        <w:trPr>
          <w:trHeight w:val="443"/>
        </w:trPr>
        <w:tc>
          <w:tcPr>
            <w:tcW w:w="2398" w:type="dxa"/>
          </w:tcPr>
          <w:p w14:paraId="46D89E54" w14:textId="5C56DE57" w:rsidR="00442F54" w:rsidRDefault="00442F54" w:rsidP="00442F54">
            <w:pPr>
              <w:spacing w:before="100" w:beforeAutospacing="1" w:after="100" w:afterAutospacing="1"/>
            </w:pPr>
            <w:r w:rsidRPr="00442F54">
              <w:rPr>
                <w:b/>
                <w:bCs/>
              </w:rPr>
              <w:t>Scalability</w:t>
            </w:r>
          </w:p>
        </w:tc>
        <w:tc>
          <w:tcPr>
            <w:tcW w:w="2398" w:type="dxa"/>
          </w:tcPr>
          <w:p w14:paraId="7F3ED11B" w14:textId="2B43BBE8" w:rsidR="00442F54" w:rsidRDefault="00442F54" w:rsidP="00442F54">
            <w:pPr>
              <w:spacing w:before="100" w:beforeAutospacing="1" w:after="100" w:afterAutospacing="1"/>
            </w:pPr>
            <w:r w:rsidRPr="00442F54">
              <w:t>High</w:t>
            </w:r>
          </w:p>
        </w:tc>
        <w:tc>
          <w:tcPr>
            <w:tcW w:w="2399" w:type="dxa"/>
          </w:tcPr>
          <w:p w14:paraId="27E8FBC9" w14:textId="28914D4E" w:rsidR="00442F54" w:rsidRDefault="00442F54" w:rsidP="00442F54">
            <w:pPr>
              <w:spacing w:before="100" w:beforeAutospacing="1" w:after="100" w:afterAutospacing="1"/>
            </w:pPr>
            <w:r w:rsidRPr="00442F54">
              <w:t>High</w:t>
            </w:r>
          </w:p>
        </w:tc>
        <w:tc>
          <w:tcPr>
            <w:tcW w:w="2399" w:type="dxa"/>
          </w:tcPr>
          <w:p w14:paraId="301014FA" w14:textId="4A0F79D1" w:rsidR="00442F54" w:rsidRDefault="00442F54" w:rsidP="00442F54">
            <w:pPr>
              <w:spacing w:before="100" w:beforeAutospacing="1" w:after="100" w:afterAutospacing="1"/>
            </w:pPr>
            <w:r w:rsidRPr="00442F54">
              <w:t>High</w:t>
            </w:r>
          </w:p>
        </w:tc>
      </w:tr>
      <w:tr w:rsidR="00442F54" w14:paraId="4C3B3FE6" w14:textId="77777777" w:rsidTr="00442F54">
        <w:trPr>
          <w:trHeight w:val="889"/>
        </w:trPr>
        <w:tc>
          <w:tcPr>
            <w:tcW w:w="2398" w:type="dxa"/>
          </w:tcPr>
          <w:p w14:paraId="7BC50828" w14:textId="482C7DBC" w:rsidR="00442F54" w:rsidRDefault="00442F54" w:rsidP="00442F54">
            <w:pPr>
              <w:spacing w:before="100" w:beforeAutospacing="1" w:after="100" w:afterAutospacing="1"/>
            </w:pPr>
            <w:r w:rsidRPr="00442F54">
              <w:rPr>
                <w:b/>
                <w:bCs/>
              </w:rPr>
              <w:t>Integration with Cloud Services</w:t>
            </w:r>
          </w:p>
        </w:tc>
        <w:tc>
          <w:tcPr>
            <w:tcW w:w="2398" w:type="dxa"/>
          </w:tcPr>
          <w:p w14:paraId="50D6EFE0" w14:textId="10A7C4A9" w:rsidR="00442F54" w:rsidRDefault="00442F54" w:rsidP="00442F54">
            <w:pPr>
              <w:spacing w:before="100" w:beforeAutospacing="1" w:after="100" w:afterAutospacing="1"/>
            </w:pPr>
            <w:r w:rsidRPr="00442F54">
              <w:t>Deep integration with AWS services</w:t>
            </w:r>
          </w:p>
        </w:tc>
        <w:tc>
          <w:tcPr>
            <w:tcW w:w="2399" w:type="dxa"/>
            <w:vAlign w:val="center"/>
          </w:tcPr>
          <w:p w14:paraId="60BD3C44" w14:textId="3D291483" w:rsidR="00442F54" w:rsidRDefault="00442F54" w:rsidP="00442F54">
            <w:pPr>
              <w:spacing w:before="100" w:beforeAutospacing="1" w:after="100" w:afterAutospacing="1"/>
            </w:pPr>
            <w:r w:rsidRPr="00442F54">
              <w:t>Deep integration with Google Cloud</w:t>
            </w:r>
          </w:p>
        </w:tc>
        <w:tc>
          <w:tcPr>
            <w:tcW w:w="2399" w:type="dxa"/>
            <w:vAlign w:val="center"/>
          </w:tcPr>
          <w:p w14:paraId="56BDD904" w14:textId="6165C8F6" w:rsidR="00442F54" w:rsidRDefault="00442F54" w:rsidP="00442F54">
            <w:pPr>
              <w:spacing w:before="100" w:beforeAutospacing="1" w:after="100" w:afterAutospacing="1"/>
            </w:pPr>
            <w:r w:rsidRPr="00442F54">
              <w:t>Deep integration with Google Cloud</w:t>
            </w:r>
          </w:p>
        </w:tc>
      </w:tr>
      <w:tr w:rsidR="00442F54" w14:paraId="7A91B0EA" w14:textId="77777777" w:rsidTr="00442F54">
        <w:trPr>
          <w:trHeight w:val="443"/>
        </w:trPr>
        <w:tc>
          <w:tcPr>
            <w:tcW w:w="2398" w:type="dxa"/>
          </w:tcPr>
          <w:p w14:paraId="180F4568" w14:textId="7A7F0989" w:rsidR="00442F54" w:rsidRDefault="00442F54" w:rsidP="00442F54">
            <w:pPr>
              <w:spacing w:before="100" w:beforeAutospacing="1" w:after="100" w:afterAutospacing="1"/>
            </w:pPr>
            <w:r w:rsidRPr="00442F54">
              <w:rPr>
                <w:b/>
                <w:bCs/>
              </w:rPr>
              <w:t>GPU/TPU Support</w:t>
            </w:r>
          </w:p>
        </w:tc>
        <w:tc>
          <w:tcPr>
            <w:tcW w:w="2398" w:type="dxa"/>
          </w:tcPr>
          <w:p w14:paraId="1CE65B02" w14:textId="2A242778" w:rsidR="00442F54" w:rsidRDefault="00442F54" w:rsidP="00442F54">
            <w:pPr>
              <w:spacing w:before="100" w:beforeAutospacing="1" w:after="100" w:afterAutospacing="1"/>
            </w:pPr>
            <w:r w:rsidRPr="00442F54">
              <w:t>Yes (Nvidia GPUs)</w:t>
            </w:r>
          </w:p>
        </w:tc>
        <w:tc>
          <w:tcPr>
            <w:tcW w:w="2399" w:type="dxa"/>
            <w:vAlign w:val="center"/>
          </w:tcPr>
          <w:p w14:paraId="4C3E265B" w14:textId="35D3EB05" w:rsidR="00442F54" w:rsidRDefault="00442F54" w:rsidP="00442F54">
            <w:pPr>
              <w:spacing w:before="100" w:beforeAutospacing="1" w:after="100" w:afterAutospacing="1"/>
            </w:pPr>
            <w:r w:rsidRPr="00442F54">
              <w:t>Yes (TPUs &amp; GPUs)</w:t>
            </w:r>
          </w:p>
        </w:tc>
        <w:tc>
          <w:tcPr>
            <w:tcW w:w="2399" w:type="dxa"/>
            <w:vAlign w:val="center"/>
          </w:tcPr>
          <w:p w14:paraId="0752479B" w14:textId="38905F7C" w:rsidR="00442F54" w:rsidRDefault="00442F54" w:rsidP="00442F54">
            <w:pPr>
              <w:spacing w:before="100" w:beforeAutospacing="1" w:after="100" w:afterAutospacing="1"/>
            </w:pPr>
            <w:r w:rsidRPr="00442F54">
              <w:t>Yes (GPUs)</w:t>
            </w:r>
          </w:p>
        </w:tc>
      </w:tr>
      <w:tr w:rsidR="00442F54" w14:paraId="4CF08230" w14:textId="77777777" w:rsidTr="00442F54">
        <w:trPr>
          <w:trHeight w:val="443"/>
        </w:trPr>
        <w:tc>
          <w:tcPr>
            <w:tcW w:w="2398" w:type="dxa"/>
          </w:tcPr>
          <w:p w14:paraId="423CF645" w14:textId="454DA1C8" w:rsidR="00442F54" w:rsidRDefault="00442F54" w:rsidP="00442F54">
            <w:pPr>
              <w:spacing w:before="100" w:beforeAutospacing="1" w:after="100" w:afterAutospacing="1"/>
            </w:pPr>
            <w:r w:rsidRPr="00442F54">
              <w:rPr>
                <w:b/>
                <w:bCs/>
              </w:rPr>
              <w:t>Pricing Model</w:t>
            </w:r>
          </w:p>
        </w:tc>
        <w:tc>
          <w:tcPr>
            <w:tcW w:w="2398" w:type="dxa"/>
          </w:tcPr>
          <w:p w14:paraId="37C0993F" w14:textId="20DDE592" w:rsidR="00442F54" w:rsidRDefault="00442F54" w:rsidP="00442F54">
            <w:pPr>
              <w:spacing w:before="100" w:beforeAutospacing="1" w:after="100" w:afterAutospacing="1"/>
            </w:pPr>
            <w:r w:rsidRPr="00442F54">
              <w:t>Pay-per-use</w:t>
            </w:r>
          </w:p>
        </w:tc>
        <w:tc>
          <w:tcPr>
            <w:tcW w:w="2399" w:type="dxa"/>
          </w:tcPr>
          <w:p w14:paraId="72C3DA1A" w14:textId="4009B065" w:rsidR="00442F54" w:rsidRDefault="00442F54" w:rsidP="00442F54">
            <w:pPr>
              <w:spacing w:before="100" w:beforeAutospacing="1" w:after="100" w:afterAutospacing="1"/>
            </w:pPr>
            <w:r w:rsidRPr="00442F54">
              <w:t>Pay-per-use</w:t>
            </w:r>
          </w:p>
        </w:tc>
        <w:tc>
          <w:tcPr>
            <w:tcW w:w="2399" w:type="dxa"/>
          </w:tcPr>
          <w:p w14:paraId="5E931DF1" w14:textId="1F0A8F33" w:rsidR="00442F54" w:rsidRDefault="00442F54" w:rsidP="00442F54">
            <w:pPr>
              <w:spacing w:before="100" w:beforeAutospacing="1" w:after="100" w:afterAutospacing="1"/>
            </w:pPr>
            <w:r w:rsidRPr="00442F54">
              <w:t>Pay-per-use</w:t>
            </w:r>
          </w:p>
        </w:tc>
      </w:tr>
      <w:tr w:rsidR="00442F54" w14:paraId="27DA8757" w14:textId="77777777" w:rsidTr="00442F54">
        <w:trPr>
          <w:trHeight w:val="1760"/>
        </w:trPr>
        <w:tc>
          <w:tcPr>
            <w:tcW w:w="2398" w:type="dxa"/>
          </w:tcPr>
          <w:p w14:paraId="41BF4AE5" w14:textId="7260F027" w:rsidR="00442F54" w:rsidRDefault="00442F54" w:rsidP="00442F54">
            <w:pPr>
              <w:spacing w:before="100" w:beforeAutospacing="1" w:after="100" w:afterAutospacing="1"/>
            </w:pPr>
            <w:r w:rsidRPr="00442F54">
              <w:rPr>
                <w:b/>
                <w:bCs/>
              </w:rPr>
              <w:t>Best For</w:t>
            </w:r>
          </w:p>
        </w:tc>
        <w:tc>
          <w:tcPr>
            <w:tcW w:w="2398" w:type="dxa"/>
          </w:tcPr>
          <w:p w14:paraId="62A91CC3" w14:textId="3F41C6D6" w:rsidR="00442F54" w:rsidRDefault="00442F54" w:rsidP="00442F54">
            <w:pPr>
              <w:spacing w:before="100" w:beforeAutospacing="1" w:after="100" w:afterAutospacing="1"/>
            </w:pPr>
            <w:r w:rsidRPr="00442F54">
              <w:t>Enterprises needing AWS integration</w:t>
            </w:r>
          </w:p>
        </w:tc>
        <w:tc>
          <w:tcPr>
            <w:tcW w:w="2399" w:type="dxa"/>
          </w:tcPr>
          <w:p w14:paraId="0CC1626C" w14:textId="58AD9BB4" w:rsidR="00442F54" w:rsidRDefault="00442F54" w:rsidP="00442F54">
            <w:pPr>
              <w:spacing w:before="100" w:beforeAutospacing="1" w:after="100" w:afterAutospacing="1"/>
            </w:pPr>
            <w:r w:rsidRPr="00442F54">
              <w:t>AI-driven applications leveraging Google Cloud</w:t>
            </w:r>
          </w:p>
        </w:tc>
        <w:tc>
          <w:tcPr>
            <w:tcW w:w="2399" w:type="dxa"/>
          </w:tcPr>
          <w:p w14:paraId="71E98D31" w14:textId="58724775" w:rsidR="00442F54" w:rsidRDefault="00442F54" w:rsidP="00442F54">
            <w:pPr>
              <w:spacing w:before="100" w:beforeAutospacing="1" w:after="100" w:afterAutospacing="1"/>
            </w:pPr>
            <w:r w:rsidRPr="00442F54">
              <w:t>Businesses using Microsoft’s ecosystem</w:t>
            </w:r>
          </w:p>
        </w:tc>
      </w:tr>
    </w:tbl>
    <w:p w14:paraId="7A7E8F01" w14:textId="77777777" w:rsidR="00442F54" w:rsidRDefault="00442F54" w:rsidP="00442F54">
      <w:pPr>
        <w:spacing w:before="100" w:beforeAutospacing="1" w:after="100" w:afterAutospacing="1"/>
      </w:pPr>
    </w:p>
    <w:p w14:paraId="0F4EDABA" w14:textId="47DCBE55" w:rsidR="00442F54" w:rsidRPr="00442F54" w:rsidRDefault="00442F54" w:rsidP="00442F54">
      <w:pPr>
        <w:spacing w:before="100" w:beforeAutospacing="1" w:after="100" w:afterAutospacing="1"/>
      </w:pPr>
      <w:r w:rsidRPr="00442F54">
        <w:t>Each of these cloud platforms offers powerful tools for deep learning, and the choice depends on specific project needs, preferred cloud ecosystem, and cost considerations.</w:t>
      </w:r>
    </w:p>
    <w:p w14:paraId="6B3B7948" w14:textId="77777777" w:rsidR="00442F54" w:rsidRDefault="00442F54"/>
    <w:sectPr w:rsidR="00442F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54"/>
    <w:rsid w:val="002A0F04"/>
    <w:rsid w:val="00442F54"/>
    <w:rsid w:val="0067406E"/>
    <w:rsid w:val="00E2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0F7D"/>
  <w15:chartTrackingRefBased/>
  <w15:docId w15:val="{A6B1511E-A8C6-4C28-8256-3913BA80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F54"/>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42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F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F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F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F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F54"/>
    <w:rPr>
      <w:rFonts w:eastAsiaTheme="majorEastAsia" w:cstheme="majorBidi"/>
      <w:color w:val="272727" w:themeColor="text1" w:themeTint="D8"/>
    </w:rPr>
  </w:style>
  <w:style w:type="paragraph" w:styleId="Title">
    <w:name w:val="Title"/>
    <w:basedOn w:val="Normal"/>
    <w:next w:val="Normal"/>
    <w:link w:val="TitleChar"/>
    <w:uiPriority w:val="10"/>
    <w:qFormat/>
    <w:rsid w:val="00442F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F54"/>
    <w:pPr>
      <w:spacing w:before="160"/>
      <w:jc w:val="center"/>
    </w:pPr>
    <w:rPr>
      <w:i/>
      <w:iCs/>
      <w:color w:val="404040" w:themeColor="text1" w:themeTint="BF"/>
    </w:rPr>
  </w:style>
  <w:style w:type="character" w:customStyle="1" w:styleId="QuoteChar">
    <w:name w:val="Quote Char"/>
    <w:basedOn w:val="DefaultParagraphFont"/>
    <w:link w:val="Quote"/>
    <w:uiPriority w:val="29"/>
    <w:rsid w:val="00442F54"/>
    <w:rPr>
      <w:i/>
      <w:iCs/>
      <w:color w:val="404040" w:themeColor="text1" w:themeTint="BF"/>
    </w:rPr>
  </w:style>
  <w:style w:type="paragraph" w:styleId="ListParagraph">
    <w:name w:val="List Paragraph"/>
    <w:basedOn w:val="Normal"/>
    <w:uiPriority w:val="34"/>
    <w:qFormat/>
    <w:rsid w:val="00442F54"/>
    <w:pPr>
      <w:ind w:left="720"/>
      <w:contextualSpacing/>
    </w:pPr>
  </w:style>
  <w:style w:type="character" w:styleId="IntenseEmphasis">
    <w:name w:val="Intense Emphasis"/>
    <w:basedOn w:val="DefaultParagraphFont"/>
    <w:uiPriority w:val="21"/>
    <w:qFormat/>
    <w:rsid w:val="00442F54"/>
    <w:rPr>
      <w:i/>
      <w:iCs/>
      <w:color w:val="0F4761" w:themeColor="accent1" w:themeShade="BF"/>
    </w:rPr>
  </w:style>
  <w:style w:type="paragraph" w:styleId="IntenseQuote">
    <w:name w:val="Intense Quote"/>
    <w:basedOn w:val="Normal"/>
    <w:next w:val="Normal"/>
    <w:link w:val="IntenseQuoteChar"/>
    <w:uiPriority w:val="30"/>
    <w:qFormat/>
    <w:rsid w:val="00442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F54"/>
    <w:rPr>
      <w:i/>
      <w:iCs/>
      <w:color w:val="0F4761" w:themeColor="accent1" w:themeShade="BF"/>
    </w:rPr>
  </w:style>
  <w:style w:type="character" w:styleId="IntenseReference">
    <w:name w:val="Intense Reference"/>
    <w:basedOn w:val="DefaultParagraphFont"/>
    <w:uiPriority w:val="32"/>
    <w:qFormat/>
    <w:rsid w:val="00442F54"/>
    <w:rPr>
      <w:b/>
      <w:bCs/>
      <w:smallCaps/>
      <w:color w:val="0F4761" w:themeColor="accent1" w:themeShade="BF"/>
      <w:spacing w:val="5"/>
    </w:rPr>
  </w:style>
  <w:style w:type="paragraph" w:customStyle="1" w:styleId="p1">
    <w:name w:val="p1"/>
    <w:basedOn w:val="Normal"/>
    <w:rsid w:val="00442F54"/>
    <w:rPr>
      <w:color w:val="000000"/>
      <w:sz w:val="18"/>
      <w:szCs w:val="18"/>
    </w:rPr>
  </w:style>
  <w:style w:type="table" w:styleId="TableGrid">
    <w:name w:val="Table Grid"/>
    <w:basedOn w:val="TableNormal"/>
    <w:uiPriority w:val="39"/>
    <w:rsid w:val="00442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93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Ketham Bharadwaj</dc:creator>
  <cp:keywords/>
  <dc:description/>
  <cp:lastModifiedBy>Ketham Bharadwaj</cp:lastModifiedBy>
  <cp:revision>1</cp:revision>
  <dcterms:created xsi:type="dcterms:W3CDTF">2025-02-25T20:29:00Z</dcterms:created>
  <dcterms:modified xsi:type="dcterms:W3CDTF">2025-02-25T20:39:00Z</dcterms:modified>
</cp:coreProperties>
</file>