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SYMBIOSIS: 49 — Current Game Design Document</w:t>
      </w:r>
    </w:p>
    <w:p>
      <w:pPr>
        <w:spacing w:after="200"/>
      </w:pPr>
      <w:r>
        <w:rPr>
          <w:color w:val="505A61"/>
          <w:sz w:val="18"/>
        </w:rPr>
        <w:t>Implementation baseline: 5 October 2026  |  Unity 6000.3.4f1  |  No-camera desktop build</w:t>
      </w:r>
    </w:p>
    <w:p>
      <w:r>
        <w:t>SYMBIOSIS: 49 is an endless, top-down spatial strategy game about urban human–wildlife coexistence. The player rearranges a functioning 7 × 7 city instead of directly assigning animals to destinations. Layout decisions change commutes, wildlife passages, food opportunities and risk. The research asks whether players can connect a spatial choice to later animal outcomes and discuss trade-offs in shared space. Surviving longer is a game objective, not proof of such understanding. This document records the current no-camera desktop rules and known limits.</w:t>
      </w:r>
    </w:p>
    <w:p>
      <w:pPr>
        <w:pStyle w:val="Heading1"/>
      </w:pPr>
      <w:r>
        <w:t>Objective and daily loop</w:t>
      </w:r>
    </w:p>
    <w:p>
      <w:r>
        <w:t>A run starts with four residents. It ends if fewer than three remain or cumulative animal deaths reach three. Residents who cannot complete the home → work → meal → home loop for three consecutive days leave individually. The game does not end merely because too few people can work on one day. Resource points, movement charges and a negative-balance loss condition have been removed.</w:t>
      </w:r>
    </w:p>
    <w:p>
      <w:r>
        <w:t>Each day the player inspects the board, routes and next-day preview, then completes one valid action before advancing: confirming a real layout change or successfully placing manual food when its cooldown has ended. The actions are mutually exclusive; an unchanged planning confirmation or invalid feeding attempt does not count. Planning pauses the simulation. Once play resumes, residents travel their commute and animals seek food through species-specific passages. The day boundary settles route events, meals, waste, hunger and resident departures, with a concise review of actual results.</w:t>
      </w:r>
    </w:p>
    <w:p>
      <w:pPr>
        <w:pStyle w:val="Heading1"/>
      </w:pPr>
      <w:r>
        <w:t>Board, routes and player actions</w:t>
      </w:r>
    </w:p>
    <w:p>
      <w:r>
        <w:t>The board contains 49 independent one-cell rooms. It includes eight homes, four offices, two canteens, a supermarket, garages, waste rooms, four pigeon plazas and several green habitats and public spaces. The central park occupies one fixed cell; the fox den is also fixed. Other rooms, including pigeon plazas, can be rearranged. Furniture and room function move together with each module.</w:t>
      </w:r>
    </w:p>
    <w:p>
      <w:r>
        <w:t>The player swaps rooms, can use one temporary tray slot, and may rotate eligible animal passages. The whole 49-cell layout must remain valid before confirmation. One free layout action may change at most three rooms and uses that day's sole action. Human routes use physical doors; wildlife normally uses only matching animal exits on non-pedestrian sides. The visible ground trail reflects the animal route pattern: straight, bend, T-junction, crossroads or dead end. An animal on its third day of severe hunger may temporarily use pedestrian doors, but never a closed exit.</w:t>
      </w:r>
    </w:p>
    <w:tbl>
      <w:tblPr>
        <w:tblW w:type="auto" w:w="0"/>
        <w:jc w:val="center"/>
        <w:tblLayout w:type="fixed"/>
        <w:tblLook w:firstColumn="1" w:firstRow="1" w:lastColumn="0" w:lastRow="0" w:noHBand="0" w:noVBand="1" w:val="04A0"/>
      </w:tblPr>
      <w:tblGrid>
        <w:gridCol w:w="2088"/>
        <w:gridCol w:w="3096"/>
        <w:gridCol w:w="4680"/>
      </w:tblGrid>
      <w:tr>
        <w:tc>
          <w:tcPr>
            <w:tcW w:type="dxa" w:w="2088"/>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Player action</w:t>
            </w:r>
          </w:p>
        </w:tc>
        <w:tc>
          <w:tcPr>
            <w:tcW w:type="dxa" w:w="3096"/>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Cost / gate</w:t>
            </w:r>
          </w:p>
        </w:tc>
        <w:tc>
          <w:tcPr>
            <w:tcW w:type="dxa" w:w="4680"/>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Current effect</w:t>
            </w:r>
          </w:p>
        </w:tc>
      </w:tr>
      <w:tr>
        <w:tc>
          <w:tcPr>
            <w:tcW w:type="dxa" w:w="2088"/>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Rearrange or rotate</w:t>
            </w:r>
          </w:p>
        </w:tc>
        <w:tc>
          <w:tcPr>
            <w:tcW w:type="dxa" w:w="3096"/>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Free; at most three changed rooms; uses the daily action</w:t>
            </w:r>
          </w:p>
        </w:tc>
        <w:tc>
          <w:tcPr>
            <w:tcW w:type="dxa" w:w="4680"/>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A real swap or rotation permits the next day</w:t>
            </w:r>
          </w:p>
        </w:tc>
      </w:tr>
      <w:tr>
        <w:tc>
          <w:tcPr>
            <w:tcW w:type="dxa" w:w="2088"/>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Manual feeding</w:t>
            </w:r>
          </w:p>
        </w:tc>
        <w:tc>
          <w:tcPr>
            <w:tcW w:type="dxa" w:w="3096"/>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Once every three game days; excludes rearrangement that day</w:t>
            </w:r>
          </w:p>
        </w:tc>
        <w:tc>
          <w:tcPr>
            <w:tcW w:type="dxa" w:w="4680"/>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A successful placement completes the daily action; leftovers may become waste</w:t>
            </w:r>
          </w:p>
        </w:tc>
      </w:tr>
      <w:tr>
        <w:tc>
          <w:tcPr>
            <w:tcW w:type="dxa" w:w="2088"/>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Inspect forecast</w:t>
            </w:r>
          </w:p>
        </w:tc>
        <w:tc>
          <w:tcPr>
            <w:tcW w:type="dxa" w:w="3096"/>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Available while planning</w:t>
            </w:r>
          </w:p>
        </w:tc>
        <w:tc>
          <w:tcPr>
            <w:tcW w:type="dxa" w:w="4680"/>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Shows route, food and persistent-risk changes</w:t>
            </w:r>
          </w:p>
        </w:tc>
      </w:tr>
      <w:tr>
        <w:tc>
          <w:tcPr>
            <w:tcW w:type="dxa" w:w="2088"/>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Advance day</w:t>
            </w:r>
          </w:p>
        </w:tc>
        <w:tc>
          <w:tcPr>
            <w:tcW w:type="dxa" w:w="3096"/>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Requires one valid action: rearrange or feed</w:t>
            </w:r>
          </w:p>
        </w:tc>
        <w:tc>
          <w:tcPr>
            <w:tcW w:type="dxa" w:w="4680"/>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Runs people, wildlife and day-end settlement</w:t>
            </w:r>
          </w:p>
        </w:tc>
      </w:tr>
    </w:tbl>
    <w:p>
      <w:pPr>
        <w:spacing w:after="0"/>
      </w:pPr>
    </w:p>
    <w:p>
      <w:r>
        <w:t>The fixed park and four movable green habitats form a food-support network only when at least four green cells connect to the park through animal passages. This unlocks linked food bonuses, not guaranteed meals. Daily route events can close or divert a passage; park-edge pigeon plazas take a two-day rest rotation from day four. The planning preview compares an edited layout with the current one and marks persistent food risk even when the projected change is positive.</w:t>
      </w:r>
    </w:p>
    <w:p>
      <w:pPr>
        <w:pStyle w:val="Heading1"/>
      </w:pPr>
      <w:r>
        <w:t>Residents, work and waste</w:t>
      </w:r>
    </w:p>
    <w:p>
      <w:r>
        <w:t>The population starts at four and may grow to eight. A resident needs all three route legs—home to office, office to meal, and meal to home—to count as completing a day. Visible characters follow the planned route, while a three-cell overhead status shows work, meal and return progress. Each failed day increases that resident's absence streak; three consecutive failures cause departure. The HUD reports the number currently able to work, and an arrival receives a prominent notice. A community square adjacent to both office and canteen can extend a feasible commute by one step.</w:t>
      </w:r>
    </w:p>
    <w:p>
      <w:r>
        <w:t>People can travel through physical doors independently of the animal passage pattern. Placing food or workplace access near homes can help residents, but it may also interfere with wildlife access. Planning feedback separates predicted route effects from the actual outcome after a day has elapsed.</w:t>
      </w:r>
    </w:p>
    <w:p>
      <w:r>
        <w:t>Homes, food facilities and other active rooms produce waste. Waste rooms have limited capacity and scheduled collection; overflow or broken collection routes impair the settlement. Uneaten player-placed food becomes one unit of waste when it expires. Waste is therefore both a human-service burden and a possible wildlife attractor; it is not a spendable currency.</w:t>
      </w:r>
    </w:p>
    <w:p>
      <w:pPr>
        <w:pStyle w:val="Heading1"/>
      </w:pPr>
      <w:r>
        <w:t>Wildlife, food and risk</w:t>
      </w:r>
    </w:p>
    <w:p>
      <w:r>
        <w:t>The starting wildlife includes 12 pigeons, four squirrels, two hedgehogs and one fox. Pigeons forage in groups associated with their plaza and choose reachable food; squirrels range roughly one room from woodland and return; hedgehogs favour sheltered food and may meet at night after eating; the fox searches and may prey on other animals. Species travel differs, and path changes cause replanning. Each animal must actually reach and claim food: a positive seed forecast does not mean every pigeon eats. The number of lit overhead cells shows days remaining before starvation; green or red expresses estimated access to current portions through eligible passages, not a promised meal. Predation, starvation and traffic all count toward the three-death limit.</w:t>
      </w:r>
    </w:p>
    <w:tbl>
      <w:tblPr>
        <w:tblW w:type="auto" w:w="0"/>
        <w:jc w:val="center"/>
        <w:tblLayout w:type="fixed"/>
        <w:tblLook w:firstColumn="1" w:firstRow="1" w:lastColumn="0" w:lastRow="0" w:noHBand="0" w:noVBand="1" w:val="04A0"/>
      </w:tblPr>
      <w:tblGrid>
        <w:gridCol w:w="2592"/>
        <w:gridCol w:w="3312"/>
        <w:gridCol w:w="3960"/>
      </w:tblGrid>
      <w:tr>
        <w:tc>
          <w:tcPr>
            <w:tcW w:type="dxa" w:w="2592"/>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Food / habitat</w:t>
            </w:r>
          </w:p>
        </w:tc>
        <w:tc>
          <w:tcPr>
            <w:tcW w:type="dxa" w:w="3312"/>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How it works</w:t>
            </w:r>
          </w:p>
        </w:tc>
        <w:tc>
          <w:tcPr>
            <w:tcW w:type="dxa" w:w="3960"/>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Design consequence</w:t>
            </w:r>
          </w:p>
        </w:tc>
      </w:tr>
      <w:tr>
        <w:tc>
          <w:tcPr>
            <w:tcW w:type="dxa" w:w="2592"/>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Park + green network</w:t>
            </w:r>
          </w:p>
        </w:tc>
        <w:tc>
          <w:tcPr>
            <w:tcW w:type="dxa" w:w="3312"/>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Four connected green cells activate support</w:t>
            </w:r>
          </w:p>
        </w:tc>
        <w:tc>
          <w:tcPr>
            <w:tcW w:type="dxa" w:w="3960"/>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Connection helps supply but does not deliver meals</w:t>
            </w:r>
          </w:p>
        </w:tc>
      </w:tr>
      <w:tr>
        <w:tc>
          <w:tcPr>
            <w:tcW w:type="dxa" w:w="2592"/>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Pigeon plazas</w:t>
            </w:r>
          </w:p>
        </w:tc>
        <w:tc>
          <w:tcPr>
            <w:tcW w:type="dxa" w:w="3312"/>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Seeds and grouped travel; edge plazas rotate rest</w:t>
            </w:r>
          </w:p>
        </w:tc>
        <w:tc>
          <w:tcPr>
            <w:tcW w:type="dxa" w:w="3960"/>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Reachability and timing matter</w:t>
            </w:r>
          </w:p>
        </w:tc>
      </w:tr>
      <w:tr>
        <w:tc>
          <w:tcPr>
            <w:tcW w:type="dxa" w:w="2592"/>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Oak, shrubs and waste</w:t>
            </w:r>
          </w:p>
        </w:tc>
        <w:tc>
          <w:tcPr>
            <w:tcW w:type="dxa" w:w="3312"/>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Scheduled nuts, insects and discarded food</w:t>
            </w:r>
          </w:p>
        </w:tc>
        <w:tc>
          <w:tcPr>
            <w:tcW w:type="dxa" w:w="3960"/>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Shelter, upkeep and risk compete</w:t>
            </w:r>
          </w:p>
        </w:tc>
      </w:tr>
      <w:tr>
        <w:tc>
          <w:tcPr>
            <w:tcW w:type="dxa" w:w="2592"/>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Manual food</w:t>
            </w:r>
          </w:p>
        </w:tc>
        <w:tc>
          <w:tcPr>
            <w:tcW w:type="dxa" w:w="3312"/>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Limited emergency intervention</w:t>
            </w:r>
          </w:p>
        </w:tc>
        <w:tc>
          <w:tcPr>
            <w:tcW w:type="dxa" w:w="3960"/>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May replace a day's swap, but not long-term habitat and route planning</w:t>
            </w:r>
          </w:p>
        </w:tc>
      </w:tr>
    </w:tbl>
    <w:p>
      <w:pPr>
        <w:spacing w:after="0"/>
      </w:pPr>
    </w:p>
    <w:p>
      <w:r>
        <w:t>Manual feeding is available once every three game days and uses that day's action. It is an emergency measure, not the main food source. A commuting resident may also feed a nearby animal; each resident can do so at most once per day. Natural food depends on connected habitat, growth and daily schedules. Park-edge plaza rest and temporary route events vary the useful layout; moved shrubs need two day boundaries to restore shelter. The day-end review distinguishes death causes and actual meals and routes without attributing every concurrent change to the latest swap.</w:t>
      </w:r>
    </w:p>
    <w:p>
      <w:r/>
    </w:p>
    <w:p>
      <w:pPr>
        <w:pStyle w:val="Heading1"/>
      </w:pPr>
      <w:r>
        <w:t>Interface, pacing and evidence boundary</w:t>
      </w:r>
    </w:p>
    <w:p>
      <w:r>
        <w:t>The board is seen from above. Mouse-wheel zoom and middle-button drag support close inspection; the player can follow an animal and return to the overview. The interface uses icons, rings, three-cell character statuses, short planning deltas and optional details instead of a permanent wall of text. English is the initial interface language; Chinese is selectable. Pause and 1×, 2× and 4× speeds are available.</w:t>
      </w:r>
    </w:p>
    <w:p>
      <w:r>
        <w:t>At 1×, a complete day lasts six minutes: dawn 30 s, day 150 s, dusk 30 s and night 150 s. Endless play is the core game. The no-camera Research mode runs at 1× and records layouts, indicators, key events and endings for controlled evaluation. Camera recognition currently has a calibration, projection and synthetic-observation framework, but no complete physical-marker detector or validation with the final board; it is not part of the completed research build. Exportable logs are not participant findings or validated ecological predictions.</w:t>
      </w:r>
    </w:p>
    <w:p>
      <w:pPr>
        <w:pStyle w:val="Heading1"/>
      </w:pPr>
      <w:r>
        <w:t>Spatial trade-offs and current limitations</w:t>
      </w:r>
    </w:p>
    <w:tbl>
      <w:tblPr>
        <w:tblW w:type="auto" w:w="0"/>
        <w:jc w:val="center"/>
        <w:tblLayout w:type="fixed"/>
        <w:tblLook w:firstColumn="1" w:firstRow="1" w:lastColumn="0" w:lastRow="0" w:noHBand="0" w:noVBand="1" w:val="04A0"/>
      </w:tblPr>
      <w:tblGrid>
        <w:gridCol w:w="2880"/>
        <w:gridCol w:w="3024"/>
        <w:gridCol w:w="3960"/>
      </w:tblGrid>
      <w:tr>
        <w:tc>
          <w:tcPr>
            <w:tcW w:type="dxa" w:w="2880"/>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Layout choice</w:t>
            </w:r>
          </w:p>
        </w:tc>
        <w:tc>
          <w:tcPr>
            <w:tcW w:type="dxa" w:w="3024"/>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Potential gain</w:t>
            </w:r>
          </w:p>
        </w:tc>
        <w:tc>
          <w:tcPr>
            <w:tcW w:type="dxa" w:w="3960"/>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Counter-risk to check</w:t>
            </w:r>
          </w:p>
        </w:tc>
      </w:tr>
      <w:tr>
        <w:tc>
          <w:tcPr>
            <w:tcW w:type="dxa" w:w="2880"/>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Shorter home–work–meal loop</w:t>
            </w:r>
          </w:p>
        </w:tc>
        <w:tc>
          <w:tcPr>
            <w:tcW w:type="dxa" w:w="3024"/>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More complete resident days</w:t>
            </w:r>
          </w:p>
        </w:tc>
        <w:tc>
          <w:tcPr>
            <w:tcW w:type="dxa" w:w="3960"/>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May block an animal passage</w:t>
            </w:r>
          </w:p>
        </w:tc>
      </w:tr>
      <w:tr>
        <w:tc>
          <w:tcPr>
            <w:tcW w:type="dxa" w:w="2880"/>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Connected green cells</w:t>
            </w:r>
          </w:p>
        </w:tc>
        <w:tc>
          <w:tcPr>
            <w:tcW w:type="dxa" w:w="3024"/>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Natural-food support</w:t>
            </w:r>
          </w:p>
        </w:tc>
        <w:tc>
          <w:tcPr>
            <w:tcW w:type="dxa" w:w="3960"/>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Actual animal arrival may still fail</w:t>
            </w:r>
          </w:p>
        </w:tc>
      </w:tr>
      <w:tr>
        <w:tc>
          <w:tcPr>
            <w:tcW w:type="dxa" w:w="2880"/>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Open wildlife route</w:t>
            </w:r>
          </w:p>
        </w:tc>
        <w:tc>
          <w:tcPr>
            <w:tcW w:type="dxa" w:w="3024"/>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Safer foraging access</w:t>
            </w:r>
          </w:p>
        </w:tc>
        <w:tc>
          <w:tcPr>
            <w:tcW w:type="dxa" w:w="3960"/>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Fox access and traffic exposure may rise</w:t>
            </w:r>
          </w:p>
        </w:tc>
      </w:tr>
      <w:tr>
        <w:tc>
          <w:tcPr>
            <w:tcW w:type="dxa" w:w="2880"/>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Reroute near a garage</w:t>
            </w:r>
          </w:p>
        </w:tc>
        <w:tc>
          <w:tcPr>
            <w:tcW w:type="dxa" w:w="3024"/>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Alternative access</w:t>
            </w:r>
          </w:p>
        </w:tc>
        <w:tc>
          <w:tcPr>
            <w:tcW w:type="dxa" w:w="3960"/>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Wildlife traffic risk may increase</w:t>
            </w:r>
          </w:p>
        </w:tc>
      </w:tr>
    </w:tbl>
    <w:p>
      <w:pPr>
        <w:spacing w:after="0"/>
      </w:pPr>
    </w:p>
    <w:p>
      <w:r>
        <w:t>EditMode and PlayMode tests cover layout legality, passages, commutes, foraging and day transitions, but neither long-run balance nor player understanding has been validated with participants. The current rule allows repeated reversal of the same room swap to satisfy the daily action gate, so mandatory action does not always produce a new spatial trade-off. Food-access indicators use current portions, species ranges and passages; an animal may still miss a meal because of travel time, competing claims or predation. The planning preview and day-end review distinguish prediction from outcome, but playtesting must still establish whether players can explain specific consequences rather than only optimise survival time.</w:t>
      </w:r>
    </w:p>
    <w:sectPr w:rsidR="00FC693F" w:rsidRPr="0006063C" w:rsidSect="00034616">
      <w:pgSz w:w="12240" w:h="15840"/>
      <w:pgMar w:top="1037" w:right="1123" w:bottom="99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color w:val="191E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eastAsia="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eastAsia="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Bdr>
        <w:top w:val="nil"/>
        <w:left w:val="nil"/>
        <w:bottom w:val="nil"/>
        <w:right w:val="nil"/>
      </w:pBdr>
    </w:pPr>
    <w:rPr>
      <w:rFonts w:asciiTheme="majorHAnsi" w:eastAsiaTheme="majorEastAsia" w:hAnsiTheme="majorHAnsi" w:cstheme="majorBidi" w:ascii="Calibri" w:hAnsi="Calibri" w:eastAsia="Calibr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SYMBIOSIS: 49 — Current Game Design Document</dc:title>
  <dc:subject>Current implemented no-camera game design baseline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