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3DBE" w14:textId="4577D6A8" w:rsidR="006673F8" w:rsidRDefault="007F2D67">
      <w:r>
        <w:t xml:space="preserve">Discuss the entity integrity and referential integrity constraints. Why is each considered important? </w:t>
      </w:r>
    </w:p>
    <w:sectPr w:rsidR="0066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67"/>
    <w:rsid w:val="006673F8"/>
    <w:rsid w:val="007F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491D"/>
  <w15:chartTrackingRefBased/>
  <w15:docId w15:val="{2B28982F-E575-45C7-86E9-779F033B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Jeremiah Lowhorn</cp:lastModifiedBy>
  <cp:revision>1</cp:revision>
  <dcterms:created xsi:type="dcterms:W3CDTF">2023-06-23T19:38:00Z</dcterms:created>
  <dcterms:modified xsi:type="dcterms:W3CDTF">2023-06-23T19:39:00Z</dcterms:modified>
</cp:coreProperties>
</file>