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3DBE" w14:textId="02FED3E8" w:rsidR="006673F8" w:rsidRPr="0044164E" w:rsidRDefault="0044164E" w:rsidP="0044164E">
      <w:r>
        <w:t xml:space="preserve">How does SQL allow implementation of the entity integrity and referential integrity constraints described in Chapter 3? What about referential triggered actions?  </w:t>
      </w:r>
    </w:p>
    <w:sectPr w:rsidR="006673F8" w:rsidRPr="0044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67"/>
    <w:rsid w:val="0044164E"/>
    <w:rsid w:val="006673F8"/>
    <w:rsid w:val="007F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491D"/>
  <w15:chartTrackingRefBased/>
  <w15:docId w15:val="{2B28982F-E575-45C7-86E9-779F033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2</cp:revision>
  <dcterms:created xsi:type="dcterms:W3CDTF">2023-06-23T19:38:00Z</dcterms:created>
  <dcterms:modified xsi:type="dcterms:W3CDTF">2023-06-25T15:08:00Z</dcterms:modified>
</cp:coreProperties>
</file>