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178.png" ContentType="image/png"/>
  <Override PartName="/word/media/rId166.png" ContentType="image/png"/>
  <Override PartName="/word/media/rId168.png" ContentType="image/png"/>
  <Override PartName="/word/media/rId169.png" ContentType="image/png"/>
  <Override PartName="/word/media/rId170.jpg" ContentType="image/jpeg"/>
  <Override PartName="/word/media/rId171.png" ContentType="image/png"/>
  <Override PartName="/word/media/rId172.png" ContentType="image/png"/>
  <Override PartName="/word/media/rId173.png" ContentType="image/png"/>
  <Override PartName="/word/media/rId165.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17</w:t>
      </w:r>
      <w:r>
        <w:t xml:space="preserve"> </w:t>
      </w:r>
      <w:r>
        <w:t xml:space="preserve">November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stringi_1.7.5   rmarkdown_2.11 </w:t>
      </w:r>
      <w:r>
        <w:br/>
      </w:r>
      <w:r>
        <w:rPr>
          <w:rStyle w:val="VerbatimChar"/>
        </w:rPr>
        <w:t xml:space="preserve">##  [9] highr_0.9       stringr_1.4.0   xfun_0.28       digest_0.6.28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bloggeur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"17 November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inclue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3" w:name="décoration-du-texte"/>
      <w:r>
        <w:t xml:space="preserve">Décoration du texte</w:t>
      </w:r>
      <w:bookmarkEnd w:id="103"/>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4" w:name="les-titres"/>
      <w:r>
        <w:t xml:space="preserve">Les titres</w:t>
      </w:r>
      <w:bookmarkEnd w:id="104"/>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5" w:name="les-listes"/>
      <w:r>
        <w:t xml:space="preserve">Les listes</w:t>
      </w:r>
      <w:bookmarkEnd w:id="105"/>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6" w:name="listes-non-numérotées"/>
      <w:r>
        <w:t xml:space="preserve">Listes non numérotées</w:t>
      </w:r>
      <w:bookmarkEnd w:id="106"/>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7" w:name="listes-numérotées"/>
      <w:r>
        <w:t xml:space="preserve">Listes numérotées</w:t>
      </w:r>
      <w:bookmarkEnd w:id="107"/>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8" w:name="sauts-de-ligne"/>
      <w:r>
        <w:t xml:space="preserve">Sauts de ligne</w:t>
      </w:r>
      <w:bookmarkEnd w:id="108"/>
    </w:p>
    <w:p>
      <w:pPr>
        <w:pStyle w:val="FirstParagraph"/>
      </w:pPr>
      <w:r>
        <w:t xml:space="preserve">En ajoutant une ligne (ou plus) vide entre deux paragraphes, les paragraphes sont correctement formatés</w:t>
      </w:r>
      <w:r>
        <w:rPr>
          <w:rStyle w:val="FootnoteReference"/>
        </w:rPr>
        <w:footnoteReference w:id="109"/>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entre l’exemple d’avant est l’ajout d’une tabulation après</w:t>
      </w:r>
      <w:r>
        <w:t xml:space="preserve"> </w:t>
      </w:r>
      <w:r>
        <w:t xml:space="preserve">“</w:t>
      </w:r>
      <w:r>
        <w:t xml:space="preserve">veniam.</w:t>
      </w:r>
      <w:r>
        <w:t xml:space="preserve">”</w:t>
      </w:r>
      <w:r>
        <w:t xml:space="preserve">.</w:t>
      </w:r>
    </w:p>
    <w:p>
      <w:pPr>
        <w:pStyle w:val="Heading2"/>
      </w:pPr>
      <w:bookmarkStart w:id="110" w:name="blocs-de-citation"/>
      <w:r>
        <w:t xml:space="preserve">Blocs de citation</w:t>
      </w:r>
      <w:bookmarkEnd w:id="110"/>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1" w:name="blocs-de-code"/>
      <w:r>
        <w:t xml:space="preserve">Blocs de code</w:t>
      </w:r>
      <w:bookmarkEnd w:id="111"/>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2"/>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14" w:name="les-barres-horizontales"/>
      <w:r>
        <w:t xml:space="preserve">Les barres horizontales</w:t>
      </w:r>
      <w:bookmarkEnd w:id="114"/>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5" w:name="mathématiques"/>
      <w:r>
        <w:t xml:space="preserve">Mathématiques</w:t>
      </w:r>
      <w:bookmarkEnd w:id="115"/>
    </w:p>
    <w:p>
      <w:pPr>
        <w:pStyle w:val="Heading3"/>
      </w:pPr>
      <w:bookmarkStart w:id="116" w:name="symboles-mathématiques"/>
      <w:r>
        <w:t xml:space="preserve">Symboles mathématiques</w:t>
      </w:r>
      <w:bookmarkEnd w:id="116"/>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7">
        <w:r>
          <w:rPr>
            <w:rStyle w:val="Hyperlink"/>
          </w:rPr>
          <w:t xml:space="preserve">Latex</w:t>
        </w:r>
      </w:hyperlink>
      <w:r>
        <w:t xml:space="preserve"> </w:t>
      </w:r>
      <w:r>
        <w:t xml:space="preserve">et qui</w:t>
      </w:r>
      <w:r>
        <w:t xml:space="preserve"> </w:t>
      </w:r>
      <w:r>
        <w:t xml:space="preserve">seront utilisées par</w:t>
      </w:r>
      <w:r>
        <w:t xml:space="preserve"> </w:t>
      </w:r>
      <w:hyperlink r:id="rId118">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9">
        <w:r>
          <w:rPr>
            <w:rStyle w:val="Hyperlink"/>
          </w:rPr>
          <w:t xml:space="preserve">regarder ce site</w:t>
        </w:r>
      </w:hyperlink>
      <w:r>
        <w:t xml:space="preserve">, pour quelque</w:t>
      </w:r>
      <w:r>
        <w:t xml:space="preserve"> </w:t>
      </w:r>
      <w:r>
        <w:t xml:space="preserve">choses de plus complet, jetez un œil</w:t>
      </w:r>
      <w:r>
        <w:t xml:space="preserve"> </w:t>
      </w:r>
      <w:hyperlink r:id="rId120">
        <w:r>
          <w:rPr>
            <w:rStyle w:val="Hyperlink"/>
          </w:rPr>
          <w:t xml:space="preserve">ici</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1" w:name="équations"/>
      <w:r>
        <w:t xml:space="preserve">Équations</w:t>
      </w:r>
      <w:bookmarkEnd w:id="121"/>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2"/>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4">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5">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6">
        <w:r>
          <w:rPr>
            <w:rStyle w:val="Hyperlink"/>
          </w:rPr>
          <w:t xml:space="preserve">https://www.overleaf.com/learn/latex/Cross%20referencing%20sections,%20equations%20and%20floats</w:t>
        </w:r>
      </w:hyperlink>
      <w:r>
        <w:t xml:space="preserve">).</w:t>
      </w:r>
    </w:p>
    <w:p>
      <w:pPr>
        <w:pStyle w:val="Heading2"/>
      </w:pPr>
      <w:bookmarkStart w:id="127" w:name="les-images"/>
      <w:r>
        <w:t xml:space="preserve">Les images</w:t>
      </w:r>
      <w:bookmarkEnd w:id="127"/>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8"/>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9">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30" w:name="les-tables"/>
      <w:r>
        <w:t xml:space="preserve">Les tables</w:t>
      </w:r>
      <w:bookmarkEnd w:id="130"/>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1">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2">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3">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4" w:name="références"/>
      <w:r>
        <w:t xml:space="preserve">Références</w:t>
      </w:r>
      <w:bookmarkEnd w:id="134"/>
    </w:p>
    <w:p>
      <w:pPr>
        <w:pStyle w:val="Heading3"/>
      </w:pPr>
      <w:bookmarkStart w:id="135" w:name="liens-hypertextes"/>
      <w:r>
        <w:t xml:space="preserve">Liens hypertextes</w:t>
      </w:r>
      <w:bookmarkEnd w:id="135"/>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6">
        <w:r>
          <w:rPr>
            <w:rStyle w:val="Hyperlink"/>
          </w:rPr>
          <w:t xml:space="preserve">Markdown</w:t>
        </w:r>
      </w:hyperlink>
      <w:r>
        <w:t xml:space="preserve"> </w:t>
      </w:r>
      <w:r>
        <w:t xml:space="preserve">de Wikipedia.</w:t>
      </w:r>
    </w:p>
    <w:p>
      <w:pPr>
        <w:pStyle w:val="Heading3"/>
      </w:pPr>
      <w:bookmarkStart w:id="137" w:name="notes-de-bas-de-page"/>
      <w:r>
        <w:t xml:space="preserve">Notes de bas de page</w:t>
      </w:r>
      <w:bookmarkEnd w:id="137"/>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8"/>
      </w:r>
      <w:r>
        <w:t xml:space="preserve"> </w:t>
      </w:r>
      <w:r>
        <w:t xml:space="preserve">et une autre</w:t>
      </w:r>
      <w:r>
        <w:rPr>
          <w:rStyle w:val="FootnoteReference"/>
        </w:rPr>
        <w:footnoteReference w:id="139"/>
      </w:r>
      <w:r>
        <w:t xml:space="preserve">.</w:t>
      </w:r>
    </w:p>
    <w:p>
      <w:pPr>
        <w:pStyle w:val="BodyText"/>
      </w:pPr>
      <w:r>
        <w:t xml:space="preserve">Notez qu’il faut séparer le texte des notes de bas de pages du texte principal d’un saut de ligne.</w:t>
      </w:r>
    </w:p>
    <w:p>
      <w:pPr>
        <w:pStyle w:val="Heading3"/>
      </w:pPr>
      <w:bookmarkStart w:id="140" w:name="références-à-une-section"/>
      <w:r>
        <w:t xml:space="preserve">Références à une section</w:t>
      </w:r>
      <w:bookmarkEnd w:id="140"/>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1" w:name="références-bibliographiques"/>
      <w:r>
        <w:t xml:space="preserve">Références bibliographiques</w:t>
      </w:r>
      <w:bookmarkEnd w:id="141"/>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42">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43"/>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44">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5">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6">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7" w:name="intégration-de-r-dans-le-document"/>
      <w:r>
        <w:t xml:space="preserve">Intégration de R dans le document</w:t>
      </w:r>
      <w:bookmarkEnd w:id="147"/>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8" w:name="les-blocs-de-code-r"/>
      <w:r>
        <w:t xml:space="preserve">Les blocs de code R</w:t>
      </w:r>
      <w:bookmarkEnd w:id="148"/>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9">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50">
        <w:r>
          <w:rPr>
            <w:rStyle w:val="Hyperlink"/>
          </w:rPr>
          <w:t xml:space="preserve">site de knitr</w:t>
        </w:r>
      </w:hyperlink>
      <w:r>
        <w:t xml:space="preserve">.</w:t>
      </w:r>
    </w:p>
    <w:p>
      <w:pPr>
        <w:pStyle w:val="Heading2"/>
      </w:pPr>
      <w:bookmarkStart w:id="151" w:name="X1a360d9be2d41d14f19da06e701c6c05e7541a4"/>
      <w:r>
        <w:t xml:space="preserve">Modifier l’affichage du code source et des sorties associées</w:t>
      </w:r>
      <w:bookmarkEnd w:id="151"/>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52">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3" w:name="X21e0296aa15067dbd604642410e06bad0c71838"/>
      <w:r>
        <w:t xml:space="preserve">Modifier l’affichage du code source avec le paramètre</w:t>
      </w:r>
      <w:r>
        <w:t xml:space="preserve"> </w:t>
      </w:r>
      <w:r>
        <w:rPr>
          <w:rStyle w:val="VerbatimChar"/>
        </w:rPr>
        <w:t xml:space="preserve">echo</w:t>
      </w:r>
      <w:bookmarkEnd w:id="153"/>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4" w:name="modifier-laffichage-des-sorties"/>
      <w:r>
        <w:t xml:space="preserve">Modifier l’affichage des sorties</w:t>
      </w:r>
      <w:bookmarkEnd w:id="154"/>
    </w:p>
    <w:p>
      <w:pPr>
        <w:pStyle w:val="Heading4"/>
      </w:pPr>
      <w:bookmarkStart w:id="155" w:name="le-paramètre-comment"/>
      <w:r>
        <w:t xml:space="preserve">Le paramètre</w:t>
      </w:r>
      <w:r>
        <w:t xml:space="preserve"> </w:t>
      </w:r>
      <w:r>
        <w:rPr>
          <w:rStyle w:val="VerbatimChar"/>
        </w:rPr>
        <w:t xml:space="preserve">comment</w:t>
      </w:r>
      <w:bookmarkEnd w:id="155"/>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6" w:name="le-paramètre-results"/>
      <w:r>
        <w:t xml:space="preserve">Le paramètre</w:t>
      </w:r>
      <w:r>
        <w:t xml:space="preserve"> </w:t>
      </w:r>
      <w:r>
        <w:rPr>
          <w:rStyle w:val="VerbatimChar"/>
        </w:rPr>
        <w:t xml:space="preserve">results</w:t>
      </w:r>
      <w:bookmarkEnd w:id="156"/>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5"/>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6"/>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7"/>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7" w:name="choisir-les-messages-retournés"/>
      <w:r>
        <w:t xml:space="preserve">Choisir les messages retournés</w:t>
      </w:r>
      <w:bookmarkEnd w:id="157"/>
    </w:p>
    <w:p>
      <w:pPr>
        <w:pStyle w:val="FirstParagraph"/>
      </w:pPr>
      <w:r>
        <w:t xml:space="preserve">Il y a trois type de messages retournés par R:</w:t>
      </w:r>
    </w:p>
    <w:p>
      <w:pPr>
        <w:pStyle w:val="Compact"/>
        <w:numPr>
          <w:numId w:val="1048"/>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8"/>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8"/>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8" w:name="modifier-le-mode-devaluation-du-code"/>
      <w:r>
        <w:t xml:space="preserve">Modifier le mode d’evaluation du code</w:t>
      </w:r>
      <w:bookmarkEnd w:id="158"/>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9" w:name="enlever-toutes-sorties"/>
      <w:r>
        <w:t xml:space="preserve">Enlever toutes sorties</w:t>
      </w:r>
      <w:bookmarkEnd w:id="159"/>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60" w:name="exécuter-le-code-silencieusement"/>
      <w:r>
        <w:t xml:space="preserve">Exécuter le code silencieusement</w:t>
      </w:r>
      <w:bookmarkEnd w:id="160"/>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1" w:name="tables-et-figures"/>
      <w:r>
        <w:t xml:space="preserve">Tables et figures</w:t>
      </w:r>
      <w:bookmarkEnd w:id="161"/>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62" w:name="tables"/>
      <w:r>
        <w:t xml:space="preserve">Tables</w:t>
      </w:r>
      <w:bookmarkEnd w:id="162"/>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13.783997</w:t>
            </w:r>
          </w:p>
        </w:tc>
        <w:tc>
          <w:p>
            <w:pPr>
              <w:pStyle w:val="Compact"/>
              <w:jc w:val="right"/>
            </w:pPr>
            <w:r>
              <w:t xml:space="preserve">14.214052</w:t>
            </w:r>
          </w:p>
        </w:tc>
      </w:tr>
      <w:tr>
        <w:tc>
          <w:p>
            <w:pPr>
              <w:pStyle w:val="Compact"/>
              <w:jc w:val="left"/>
            </w:pPr>
            <w:r>
              <w:t xml:space="preserve">traitement_1</w:t>
            </w:r>
          </w:p>
        </w:tc>
        <w:tc>
          <w:p>
            <w:pPr>
              <w:pStyle w:val="Compact"/>
              <w:jc w:val="left"/>
            </w:pPr>
            <w:r>
              <w:t xml:space="preserve">b</w:t>
            </w:r>
          </w:p>
        </w:tc>
        <w:tc>
          <w:p>
            <w:pPr>
              <w:pStyle w:val="Compact"/>
              <w:jc w:val="right"/>
            </w:pPr>
            <w:r>
              <w:t xml:space="preserve">6.779002</w:t>
            </w:r>
          </w:p>
        </w:tc>
        <w:tc>
          <w:p>
            <w:pPr>
              <w:pStyle w:val="Compact"/>
              <w:jc w:val="right"/>
            </w:pPr>
            <w:r>
              <w:t xml:space="preserve">8.075192</w:t>
            </w:r>
          </w:p>
        </w:tc>
      </w:tr>
      <w:tr>
        <w:tc>
          <w:p>
            <w:pPr>
              <w:pStyle w:val="Compact"/>
              <w:jc w:val="left"/>
            </w:pPr>
            <w:r>
              <w:t xml:space="preserve">traitement_1</w:t>
            </w:r>
          </w:p>
        </w:tc>
        <w:tc>
          <w:p>
            <w:pPr>
              <w:pStyle w:val="Compact"/>
              <w:jc w:val="left"/>
            </w:pPr>
            <w:r>
              <w:t xml:space="preserve">c</w:t>
            </w:r>
          </w:p>
        </w:tc>
        <w:tc>
          <w:p>
            <w:pPr>
              <w:pStyle w:val="Compact"/>
              <w:jc w:val="right"/>
            </w:pPr>
            <w:r>
              <w:t xml:space="preserve">18.256270</w:t>
            </w:r>
          </w:p>
        </w:tc>
        <w:tc>
          <w:p>
            <w:pPr>
              <w:pStyle w:val="Compact"/>
              <w:jc w:val="right"/>
            </w:pPr>
            <w:r>
              <w:t xml:space="preserve">19.716690</w:t>
            </w:r>
          </w:p>
        </w:tc>
      </w:tr>
      <w:tr>
        <w:tc>
          <w:p>
            <w:pPr>
              <w:pStyle w:val="Compact"/>
              <w:jc w:val="left"/>
            </w:pPr>
            <w:r>
              <w:t xml:space="preserve">traitement_1</w:t>
            </w:r>
          </w:p>
        </w:tc>
        <w:tc>
          <w:p>
            <w:pPr>
              <w:pStyle w:val="Compact"/>
              <w:jc w:val="left"/>
            </w:pPr>
            <w:r>
              <w:t xml:space="preserve">d</w:t>
            </w:r>
          </w:p>
        </w:tc>
        <w:tc>
          <w:p>
            <w:pPr>
              <w:pStyle w:val="Compact"/>
              <w:jc w:val="right"/>
            </w:pPr>
            <w:r>
              <w:t xml:space="preserve">9.885609</w:t>
            </w:r>
          </w:p>
        </w:tc>
        <w:tc>
          <w:p>
            <w:pPr>
              <w:pStyle w:val="Compact"/>
              <w:jc w:val="right"/>
            </w:pPr>
            <w:r>
              <w:t xml:space="preserve">11.033429</w:t>
            </w:r>
          </w:p>
        </w:tc>
      </w:tr>
      <w:tr>
        <w:tc>
          <w:p>
            <w:pPr>
              <w:pStyle w:val="Compact"/>
              <w:jc w:val="left"/>
            </w:pPr>
            <w:r>
              <w:t xml:space="preserve">traitement_2</w:t>
            </w:r>
          </w:p>
        </w:tc>
        <w:tc>
          <w:p>
            <w:pPr>
              <w:pStyle w:val="Compact"/>
              <w:jc w:val="left"/>
            </w:pPr>
            <w:r>
              <w:t xml:space="preserve">a</w:t>
            </w:r>
          </w:p>
        </w:tc>
        <w:tc>
          <w:p>
            <w:pPr>
              <w:pStyle w:val="Compact"/>
              <w:jc w:val="right"/>
            </w:pPr>
            <w:r>
              <w:t xml:space="preserve">19.118408</w:t>
            </w:r>
          </w:p>
        </w:tc>
        <w:tc>
          <w:p>
            <w:pPr>
              <w:pStyle w:val="Compact"/>
              <w:jc w:val="right"/>
            </w:pPr>
            <w:r>
              <w:t xml:space="preserve">18.413505</w:t>
            </w:r>
          </w:p>
        </w:tc>
      </w:tr>
      <w:tr>
        <w:tc>
          <w:p>
            <w:pPr>
              <w:pStyle w:val="Compact"/>
              <w:jc w:val="left"/>
            </w:pPr>
            <w:r>
              <w:t xml:space="preserve">traitement_2</w:t>
            </w:r>
          </w:p>
        </w:tc>
        <w:tc>
          <w:p>
            <w:pPr>
              <w:pStyle w:val="Compact"/>
              <w:jc w:val="left"/>
            </w:pPr>
            <w:r>
              <w:t xml:space="preserve">b</w:t>
            </w:r>
          </w:p>
        </w:tc>
        <w:tc>
          <w:p>
            <w:pPr>
              <w:pStyle w:val="Compact"/>
              <w:jc w:val="right"/>
            </w:pPr>
            <w:r>
              <w:t xml:space="preserve">19.391086</w:t>
            </w:r>
          </w:p>
        </w:tc>
        <w:tc>
          <w:p>
            <w:pPr>
              <w:pStyle w:val="Compact"/>
              <w:jc w:val="right"/>
            </w:pPr>
            <w:r>
              <w:t xml:space="preserve">18.932293</w:t>
            </w:r>
          </w:p>
        </w:tc>
      </w:tr>
      <w:tr>
        <w:tc>
          <w:p>
            <w:pPr>
              <w:pStyle w:val="Compact"/>
              <w:jc w:val="left"/>
            </w:pPr>
            <w:r>
              <w:t xml:space="preserve">traitement_2</w:t>
            </w:r>
          </w:p>
        </w:tc>
        <w:tc>
          <w:p>
            <w:pPr>
              <w:pStyle w:val="Compact"/>
              <w:jc w:val="left"/>
            </w:pPr>
            <w:r>
              <w:t xml:space="preserve">c</w:t>
            </w:r>
          </w:p>
        </w:tc>
        <w:tc>
          <w:p>
            <w:pPr>
              <w:pStyle w:val="Compact"/>
              <w:jc w:val="right"/>
            </w:pPr>
            <w:r>
              <w:t xml:space="preserve">5.856438</w:t>
            </w:r>
          </w:p>
        </w:tc>
        <w:tc>
          <w:p>
            <w:pPr>
              <w:pStyle w:val="Compact"/>
              <w:jc w:val="right"/>
            </w:pPr>
            <w:r>
              <w:t xml:space="preserve">5.159599</w:t>
            </w:r>
          </w:p>
        </w:tc>
      </w:tr>
      <w:tr>
        <w:tc>
          <w:p>
            <w:pPr>
              <w:pStyle w:val="Compact"/>
              <w:jc w:val="left"/>
            </w:pPr>
            <w:r>
              <w:t xml:space="preserve">traitement_2</w:t>
            </w:r>
          </w:p>
        </w:tc>
        <w:tc>
          <w:p>
            <w:pPr>
              <w:pStyle w:val="Compact"/>
              <w:jc w:val="left"/>
            </w:pPr>
            <w:r>
              <w:t xml:space="preserve">d</w:t>
            </w:r>
          </w:p>
        </w:tc>
        <w:tc>
          <w:p>
            <w:pPr>
              <w:pStyle w:val="Compact"/>
              <w:jc w:val="right"/>
            </w:pPr>
            <w:r>
              <w:t xml:space="preserve">16.107803</w:t>
            </w:r>
          </w:p>
        </w:tc>
        <w:tc>
          <w:p>
            <w:pPr>
              <w:pStyle w:val="Compact"/>
              <w:jc w:val="right"/>
            </w:pPr>
            <w:r>
              <w:t xml:space="preserve">16.111095</w:t>
            </w:r>
          </w:p>
        </w:tc>
      </w:tr>
      <w:tr>
        <w:tc>
          <w:p>
            <w:pPr>
              <w:pStyle w:val="Compact"/>
              <w:jc w:val="left"/>
            </w:pPr>
            <w:r>
              <w:t xml:space="preserve">traitement_3</w:t>
            </w:r>
          </w:p>
        </w:tc>
        <w:tc>
          <w:p>
            <w:pPr>
              <w:pStyle w:val="Compact"/>
              <w:jc w:val="left"/>
            </w:pPr>
            <w:r>
              <w:t xml:space="preserve">a</w:t>
            </w:r>
          </w:p>
        </w:tc>
        <w:tc>
          <w:p>
            <w:pPr>
              <w:pStyle w:val="Compact"/>
              <w:jc w:val="right"/>
            </w:pPr>
            <w:r>
              <w:t xml:space="preserve">18.918021</w:t>
            </w:r>
          </w:p>
        </w:tc>
        <w:tc>
          <w:p>
            <w:pPr>
              <w:pStyle w:val="Compact"/>
              <w:jc w:val="right"/>
            </w:pPr>
            <w:r>
              <w:t xml:space="preserve">19.500875</w:t>
            </w:r>
          </w:p>
        </w:tc>
      </w:tr>
      <w:tr>
        <w:tc>
          <w:p>
            <w:pPr>
              <w:pStyle w:val="Compact"/>
              <w:jc w:val="left"/>
            </w:pPr>
            <w:r>
              <w:t xml:space="preserve">traitement_3</w:t>
            </w:r>
          </w:p>
        </w:tc>
        <w:tc>
          <w:p>
            <w:pPr>
              <w:pStyle w:val="Compact"/>
              <w:jc w:val="left"/>
            </w:pPr>
            <w:r>
              <w:t xml:space="preserve">b</w:t>
            </w:r>
          </w:p>
        </w:tc>
        <w:tc>
          <w:p>
            <w:pPr>
              <w:pStyle w:val="Compact"/>
              <w:jc w:val="right"/>
            </w:pPr>
            <w:r>
              <w:t xml:space="preserve">1.679374</w:t>
            </w:r>
          </w:p>
        </w:tc>
        <w:tc>
          <w:p>
            <w:pPr>
              <w:pStyle w:val="Compact"/>
              <w:jc w:val="right"/>
            </w:pPr>
            <w:r>
              <w:t xml:space="preserve">1.674259</w:t>
            </w:r>
          </w:p>
        </w:tc>
      </w:tr>
      <w:tr>
        <w:tc>
          <w:p>
            <w:pPr>
              <w:pStyle w:val="Compact"/>
              <w:jc w:val="left"/>
            </w:pPr>
            <w:r>
              <w:t xml:space="preserve">traitement_3</w:t>
            </w:r>
          </w:p>
        </w:tc>
        <w:tc>
          <w:p>
            <w:pPr>
              <w:pStyle w:val="Compact"/>
              <w:jc w:val="left"/>
            </w:pPr>
            <w:r>
              <w:t xml:space="preserve">c</w:t>
            </w:r>
          </w:p>
        </w:tc>
        <w:tc>
          <w:p>
            <w:pPr>
              <w:pStyle w:val="Compact"/>
              <w:jc w:val="right"/>
            </w:pPr>
            <w:r>
              <w:t xml:space="preserve">12.744415</w:t>
            </w:r>
          </w:p>
        </w:tc>
        <w:tc>
          <w:p>
            <w:pPr>
              <w:pStyle w:val="Compact"/>
              <w:jc w:val="right"/>
            </w:pPr>
            <w:r>
              <w:t xml:space="preserve">12.122761</w:t>
            </w:r>
          </w:p>
        </w:tc>
      </w:tr>
      <w:tr>
        <w:tc>
          <w:p>
            <w:pPr>
              <w:pStyle w:val="Compact"/>
              <w:jc w:val="left"/>
            </w:pPr>
            <w:r>
              <w:t xml:space="preserve">traitement_3</w:t>
            </w:r>
          </w:p>
        </w:tc>
        <w:tc>
          <w:p>
            <w:pPr>
              <w:pStyle w:val="Compact"/>
              <w:jc w:val="left"/>
            </w:pPr>
            <w:r>
              <w:t xml:space="preserve">d</w:t>
            </w:r>
          </w:p>
        </w:tc>
        <w:tc>
          <w:p>
            <w:pPr>
              <w:pStyle w:val="Compact"/>
              <w:jc w:val="right"/>
            </w:pPr>
            <w:r>
              <w:t xml:space="preserve">9.301421</w:t>
            </w:r>
          </w:p>
        </w:tc>
        <w:tc>
          <w:p>
            <w:pPr>
              <w:pStyle w:val="Compact"/>
              <w:jc w:val="right"/>
            </w:pPr>
            <w:r>
              <w:t xml:space="preserve">10.664948</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13.784</w:t>
            </w:r>
          </w:p>
        </w:tc>
        <w:tc>
          <w:p>
            <w:pPr>
              <w:pStyle w:val="Compact"/>
              <w:jc w:val="right"/>
            </w:pPr>
            <w:r>
              <w:t xml:space="preserve">14.214</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6.779</w:t>
            </w:r>
          </w:p>
        </w:tc>
        <w:tc>
          <w:p>
            <w:pPr>
              <w:pStyle w:val="Compact"/>
              <w:jc w:val="right"/>
            </w:pPr>
            <w:r>
              <w:t xml:space="preserve">8.075</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18.256</w:t>
            </w:r>
          </w:p>
        </w:tc>
        <w:tc>
          <w:p>
            <w:pPr>
              <w:pStyle w:val="Compact"/>
              <w:jc w:val="right"/>
            </w:pPr>
            <w:r>
              <w:t xml:space="preserve">19.717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9.886</w:t>
            </w:r>
          </w:p>
        </w:tc>
        <w:tc>
          <w:p>
            <w:pPr>
              <w:pStyle w:val="Compact"/>
              <w:jc w:val="right"/>
            </w:pPr>
            <w:r>
              <w:t xml:space="preserve">11.033</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19.118</w:t>
            </w:r>
          </w:p>
        </w:tc>
        <w:tc>
          <w:p>
            <w:pPr>
              <w:pStyle w:val="Compact"/>
              <w:jc w:val="right"/>
            </w:pPr>
            <w:r>
              <w:t xml:space="preserve">18.414</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19.391</w:t>
            </w:r>
          </w:p>
        </w:tc>
        <w:tc>
          <w:p>
            <w:pPr>
              <w:pStyle w:val="Compact"/>
              <w:jc w:val="right"/>
            </w:pPr>
            <w:r>
              <w:t xml:space="preserve">18.932</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5.856</w:t>
            </w:r>
          </w:p>
        </w:tc>
        <w:tc>
          <w:p>
            <w:pPr>
              <w:pStyle w:val="Compact"/>
              <w:jc w:val="right"/>
            </w:pPr>
            <w:r>
              <w:t xml:space="preserve">5.160</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16.108</w:t>
            </w:r>
          </w:p>
        </w:tc>
        <w:tc>
          <w:p>
            <w:pPr>
              <w:pStyle w:val="Compact"/>
              <w:jc w:val="right"/>
            </w:pPr>
            <w:r>
              <w:t xml:space="preserve">16.111</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18.918</w:t>
            </w:r>
          </w:p>
        </w:tc>
        <w:tc>
          <w:p>
            <w:pPr>
              <w:pStyle w:val="Compact"/>
              <w:jc w:val="right"/>
            </w:pPr>
            <w:r>
              <w:t xml:space="preserve">19.501</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1.679</w:t>
            </w:r>
          </w:p>
        </w:tc>
        <w:tc>
          <w:p>
            <w:pPr>
              <w:pStyle w:val="Compact"/>
              <w:jc w:val="right"/>
            </w:pPr>
            <w:r>
              <w:t xml:space="preserve">1.674</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12.744</w:t>
            </w:r>
          </w:p>
        </w:tc>
        <w:tc>
          <w:p>
            <w:pPr>
              <w:pStyle w:val="Compact"/>
              <w:jc w:val="right"/>
            </w:pPr>
            <w:r>
              <w:t xml:space="preserve">12.123</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9.301</w:t>
            </w:r>
          </w:p>
        </w:tc>
        <w:tc>
          <w:p>
            <w:pPr>
              <w:pStyle w:val="Compact"/>
              <w:jc w:val="right"/>
            </w:pPr>
            <w:r>
              <w:t xml:space="preserve">10.665</w:t>
            </w:r>
          </w:p>
        </w:tc>
      </w:tr>
    </w:tbl>
    <w:p>
      <w:pPr>
        <w:pStyle w:val="BodyText"/>
      </w:pPr>
      <w:r>
        <w:t xml:space="preserve">Pour en apprendre davantage, reportez-vous à la documentation de cette fonction.</w:t>
      </w:r>
      <w:r>
        <w:t xml:space="preserve"> </w:t>
      </w:r>
      <w:r>
        <w:t xml:space="preserve">Le package</w:t>
      </w:r>
      <w:r>
        <w:t xml:space="preserve"> </w:t>
      </w:r>
      <w:hyperlink r:id="rId163">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64" w:name="figures"/>
      <w:r>
        <w:t xml:space="preserve">Figures</w:t>
      </w:r>
      <w:bookmarkEnd w:id="164"/>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7">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et changer le rapport de forme,</w:t>
      </w:r>
      <w:r>
        <w:t xml:space="preserve"> </w:t>
      </w:r>
      <w:r>
        <w:rPr>
          <w:rStyle w:val="VerbatimChar"/>
        </w:rPr>
        <w:t xml:space="preserve">fig.aspect</w:t>
      </w:r>
      <w:r>
        <w:t xml:space="preserve">. 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49">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0"/>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1"/>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9">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74">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3"/>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5" w:name="graphiques-non-générés-par-r"/>
      <w:r>
        <w:t xml:space="preserve">Graphiques non générés par R</w:t>
      </w:r>
      <w:bookmarkEnd w:id="175"/>
    </w:p>
    <w:p>
      <w:pPr>
        <w:pStyle w:val="FirstParagraph"/>
      </w:pPr>
      <w:r>
        <w:t xml:space="preserve">Dans la section traitant des</w:t>
      </w:r>
      <w:r>
        <w:t xml:space="preserve"> </w:t>
      </w:r>
      <w:hyperlink r:id="rId176">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8"/>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7" w:name="application-modèle-linéaire-dynamique"/>
      <w:r>
        <w:t xml:space="preserve">Application: modèle linéaire dynamique</w:t>
      </w:r>
      <w:bookmarkEnd w:id="177"/>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 :</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0.5084631</w:t>
            </w:r>
          </w:p>
        </w:tc>
        <w:tc>
          <w:p>
            <w:pPr>
              <w:pStyle w:val="Compact"/>
              <w:jc w:val="right"/>
            </w:pPr>
            <w:r>
              <w:t xml:space="preserve">0.6199707</w:t>
            </w:r>
          </w:p>
        </w:tc>
        <w:tc>
          <w:p>
            <w:pPr>
              <w:pStyle w:val="Compact"/>
              <w:jc w:val="right"/>
            </w:pPr>
            <w:r>
              <w:t xml:space="preserve">0.8201405</w:t>
            </w:r>
          </w:p>
        </w:tc>
        <w:tc>
          <w:p>
            <w:pPr>
              <w:pStyle w:val="Compact"/>
              <w:jc w:val="right"/>
            </w:pPr>
            <w:r>
              <w:t xml:space="preserve">0.4312507</w:t>
            </w:r>
          </w:p>
        </w:tc>
      </w:tr>
      <w:tr>
        <w:tc>
          <w:p>
            <w:pPr>
              <w:pStyle w:val="Compact"/>
              <w:jc w:val="left"/>
            </w:pPr>
            <w:r>
              <w:t xml:space="preserve">var1</w:t>
            </w:r>
          </w:p>
        </w:tc>
        <w:tc>
          <w:p>
            <w:pPr>
              <w:pStyle w:val="Compact"/>
              <w:jc w:val="right"/>
            </w:pPr>
            <w:r>
              <w:t xml:space="preserve">0.9848197</w:t>
            </w:r>
          </w:p>
        </w:tc>
        <w:tc>
          <w:p>
            <w:pPr>
              <w:pStyle w:val="Compact"/>
              <w:jc w:val="right"/>
            </w:pPr>
            <w:r>
              <w:t xml:space="preserve">0.0446660</w:t>
            </w:r>
          </w:p>
        </w:tc>
        <w:tc>
          <w:p>
            <w:pPr>
              <w:pStyle w:val="Compact"/>
              <w:jc w:val="right"/>
            </w:pPr>
            <w:r>
              <w:t xml:space="preserve">22.0485453</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0.985</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commentaires</w:t>
      </w:r>
      <w:r>
        <w:t xml:space="preserve"> </w:t>
      </w:r>
      <w:r>
        <w:t xml:space="preserve">seront changées de manière adéquate, ce qui peut s’avérer très utile pour créer rapidement des rapports similaires, par exemple un rapport mensuel pour lequel seules les données changent.</w:t>
      </w:r>
    </w:p>
    <w:p>
      <w:pPr>
        <w:pStyle w:val="Heading1"/>
      </w:pPr>
      <w:bookmarkStart w:id="179" w:name="utilisations-avancées"/>
      <w:r>
        <w:t xml:space="preserve">Utilisations avancées</w:t>
      </w:r>
      <w:bookmarkEnd w:id="179"/>
    </w:p>
    <w:p>
      <w:pPr>
        <w:pStyle w:val="Heading1"/>
      </w:pPr>
      <w:bookmarkStart w:id="180" w:name="références-1"/>
      <w:r>
        <w:t xml:space="preserve">Références</w:t>
      </w:r>
      <w:bookmarkEnd w:id="180"/>
    </w:p>
    <w:bookmarkStart w:id="185" w:name="refs"/>
    <w:bookmarkStart w:id="181" w:name="ref-Knauff2014"/>
    <w:p>
      <w:pPr>
        <w:pStyle w:val="Bibliography"/>
      </w:pPr>
      <w:r>
        <w:t xml:space="preserve">Knauff, M., Nejasmic, J., 2014. An Efficiency Comparison of Document Preparation Systems Used in Academic Research and Development. PLoS One 9, e115069.</w:t>
      </w:r>
    </w:p>
    <w:bookmarkEnd w:id="181"/>
    <w:bookmarkStart w:id="182" w:name="ref-Lande1979"/>
    <w:p>
      <w:pPr>
        <w:pStyle w:val="Bibliography"/>
      </w:pPr>
      <w:r>
        <w:t xml:space="preserve">Lande, R., 1979. Quantitative Genetic Analysis of Multivariate Evolution , Applied to Brain : Body Size Allometry Russell Lande. Evolution (N. Y). 33, 402–416.</w:t>
      </w:r>
    </w:p>
    <w:bookmarkEnd w:id="182"/>
    <w:bookmarkStart w:id="183" w:name="ref-Oreskes1994"/>
    <w:p>
      <w:pPr>
        <w:pStyle w:val="Bibliography"/>
      </w:pPr>
      <w:r>
        <w:t xml:space="preserve">Oreskes, N., Shrader-Frechette, K., Belitz, K., 1994. Verification, validation, and confirmation of numerical models in the earth sciences. Science (80-. ). 263, 641–646.</w:t>
      </w:r>
    </w:p>
    <w:bookmarkEnd w:id="183"/>
    <w:bookmarkStart w:id="184" w:name="ref-xie_dynamic_2017"/>
    <w:p>
      <w:pPr>
        <w:pStyle w:val="Bibliography"/>
      </w:pPr>
      <w:r>
        <w:t xml:space="preserve">Xie, Y., 2017. Dynamic documents with R and knitr. CRC Press, Boca Raton, Florida.</w:t>
      </w:r>
    </w:p>
    <w:bookmarkEnd w:id="184"/>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09">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2">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3">
        <w:r>
          <w:rPr>
            <w:rStyle w:val="Hyperlink"/>
          </w:rPr>
          <w:t xml:space="preserve">https://pandoc.org/MANUAL.html</w:t>
        </w:r>
      </w:hyperlink>
      <w:r>
        <w:t xml:space="preserve">.</w:t>
      </w:r>
    </w:p>
  </w:footnote>
  <w:footnote w:id="122">
    <w:p>
      <w:pPr>
        <w:pStyle w:val="FootnoteText"/>
      </w:pPr>
      <w:r>
        <w:rPr>
          <w:rStyle w:val="FootnoteReference"/>
        </w:rPr>
        <w:footnoteRef/>
      </w:r>
      <w:r>
        <w:t xml:space="preserve"> </w:t>
      </w:r>
      <w:r>
        <w:t xml:space="preserve">voir</w:t>
      </w:r>
      <w:r>
        <w:t xml:space="preserve"> </w:t>
      </w:r>
      <w:hyperlink r:id="rId123">
        <w:r>
          <w:rPr>
            <w:rStyle w:val="Hyperlink"/>
          </w:rPr>
          <w:t xml:space="preserve">https://tex.stackexchange.com/questions/111868/pandoc-how-can-i-get-numbered-latex-equations-to-show-up-in-both-pdf-and-html-o</w:t>
        </w:r>
      </w:hyperlink>
      <w:r>
        <w:t xml:space="preserve">)</w:t>
      </w:r>
    </w:p>
  </w:footnote>
  <w:footnote w:id="138">
    <w:p>
      <w:pPr>
        <w:pStyle w:val="FootnoteText"/>
      </w:pPr>
      <w:r>
        <w:rPr>
          <w:rStyle w:val="FootnoteReference"/>
        </w:rPr>
        <w:footnoteRef/>
      </w:r>
      <w:r>
        <w:t xml:space="preserve"> </w:t>
      </w:r>
      <w:r>
        <w:t xml:space="preserve">la première</w:t>
      </w:r>
    </w:p>
  </w:footnote>
  <w:footnote w:id="139">
    <w:p>
      <w:pPr>
        <w:pStyle w:val="FootnoteText"/>
      </w:pPr>
      <w:r>
        <w:rPr>
          <w:rStyle w:val="FootnoteReference"/>
        </w:rPr>
        <w:footnoteRef/>
      </w:r>
      <w:r>
        <w:t xml:space="preserve"> </w:t>
      </w:r>
      <w:r>
        <w:t xml:space="preserve">la seconde</w:t>
      </w:r>
    </w:p>
  </w:footnote>
  <w:footnote w:id="143">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178" Target="media/rId178.png" /><Relationship Type="http://schemas.openxmlformats.org/officeDocument/2006/relationships/image" Id="rId166" Target="media/rId166.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jp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65" Target="media/rId165.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6"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1"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7"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4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8"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19" Target="http://www.suluclac.com/Wiki+MathJax+Syntax" TargetMode="External" /><Relationship Type="http://schemas.openxmlformats.org/officeDocument/2006/relationships/hyperlink" Id="rId132"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50"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4"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63" Target="https://cran.r-project.org/web/packages/kableExtra/vignettes/awesome_table_in_html.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20" Target="https://en.wikibooks.org/wiki/LaTeX/Mathematics" TargetMode="External" /><Relationship Type="http://schemas.openxmlformats.org/officeDocument/2006/relationships/hyperlink" Id="rId14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6" Target="https://fr.wikipedia.org/wiki/Markdown" TargetMode="External" /><Relationship Type="http://schemas.openxmlformats.org/officeDocument/2006/relationships/hyperlink" Id="rId167"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4"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2" Target="https://github.com/jgm/pandoc-citeproc" TargetMode="External" /><Relationship Type="http://schemas.openxmlformats.org/officeDocument/2006/relationships/hyperlink" Id="rId125" Target="https://github.com/tomduck/pandoc-eqnos" TargetMode="External" /><Relationship Type="http://schemas.openxmlformats.org/officeDocument/2006/relationships/hyperlink" Id="rId129" Target="https://github.com/tomduck/pandoc-fignos" TargetMode="External" /><Relationship Type="http://schemas.openxmlformats.org/officeDocument/2006/relationships/hyperlink" Id="rId133"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3" Target="https://pandoc.org/MANUAL.html"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3"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6"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6" Target="https://www.zotero.org/styles" TargetMode="External" /><Relationship Type="http://schemas.openxmlformats.org/officeDocument/2006/relationships/hyperlink" Id="rId86" Target="https://yaml.org/" TargetMode="External" /><Relationship Type="http://schemas.openxmlformats.org/officeDocument/2006/relationships/hyperlink" Id="rId152" Target="https://yihui.org/knitr/hooks/" TargetMode="External" /><Relationship Type="http://schemas.openxmlformats.org/officeDocument/2006/relationships/hyperlink" Id="rId149"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6"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1"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7"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4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8"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19" Target="http://www.suluclac.com/Wiki+MathJax+Syntax" TargetMode="External" /><Relationship Type="http://schemas.openxmlformats.org/officeDocument/2006/relationships/hyperlink" Id="rId132"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50"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4"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63" Target="https://cran.r-project.org/web/packages/kableExtra/vignettes/awesome_table_in_html.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20" Target="https://en.wikibooks.org/wiki/LaTeX/Mathematics" TargetMode="External" /><Relationship Type="http://schemas.openxmlformats.org/officeDocument/2006/relationships/hyperlink" Id="rId14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6" Target="https://fr.wikipedia.org/wiki/Markdown" TargetMode="External" /><Relationship Type="http://schemas.openxmlformats.org/officeDocument/2006/relationships/hyperlink" Id="rId167"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4"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2" Target="https://github.com/jgm/pandoc-citeproc" TargetMode="External" /><Relationship Type="http://schemas.openxmlformats.org/officeDocument/2006/relationships/hyperlink" Id="rId125" Target="https://github.com/tomduck/pandoc-eqnos" TargetMode="External" /><Relationship Type="http://schemas.openxmlformats.org/officeDocument/2006/relationships/hyperlink" Id="rId129" Target="https://github.com/tomduck/pandoc-fignos" TargetMode="External" /><Relationship Type="http://schemas.openxmlformats.org/officeDocument/2006/relationships/hyperlink" Id="rId133"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3" Target="https://pandoc.org/MANUAL.html"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3"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6"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6" Target="https://www.zotero.org/styles" TargetMode="External" /><Relationship Type="http://schemas.openxmlformats.org/officeDocument/2006/relationships/hyperlink" Id="rId86" Target="https://yaml.org/" TargetMode="External" /><Relationship Type="http://schemas.openxmlformats.org/officeDocument/2006/relationships/hyperlink" Id="rId152" Target="https://yihui.org/knitr/hooks/" TargetMode="External" /><Relationship Type="http://schemas.openxmlformats.org/officeDocument/2006/relationships/hyperlink" Id="rId149"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2021-11-17T15:14:18Z</dcterms:created>
  <dcterms:modified xsi:type="dcterms:W3CDTF">2021-11-17T15:14:18Z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17 November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