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55.png" ContentType="image/png"/>
  <Override PartName="/word/media/rId156.png" ContentType="image/png"/>
  <Override PartName="/word/media/rId157.png" ContentType="image/png"/>
  <Override PartName="/word/media/rId159.png" ContentType="image/png"/>
  <Override PartName="/word/media/rId161.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29</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"29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40" w:name="les-blocs-de-code-r"/>
      <w:r>
        <w:t xml:space="preserve">Les blocs de code R</w:t>
      </w:r>
      <w:bookmarkEnd w:id="140"/>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w:t>
      </w:r>
      <w:r>
        <w:t xml:space="preserve"> </w:t>
      </w:r>
      <w:r>
        <w:rPr>
          <w:rStyle w:val="VerbatimChar"/>
        </w:rPr>
        <w:t xml:space="preserve">`r Sys.time()`</w:t>
      </w:r>
      <w:r>
        <w:t xml:space="preserve"> : 2020-08-29 21:03:06.</w:t>
      </w:r>
    </w:p>
    <w:p>
      <w:pPr>
        <w:pStyle w:val="BodyText"/>
      </w:pPr>
      <w:r>
        <w:t xml:space="preserve">Ensuite, il y a le code que nous souhaitons séparer du reste du texte et dont on</w:t>
      </w:r>
      <w:r>
        <w:t xml:space="preserve"> </w:t>
      </w:r>
      <w:r>
        <w:t xml:space="preserve">souhaite obtenir le résultat. Les morceaux de code (</w:t>
      </w:r>
      <w:r>
        <w:rPr>
          <w:i/>
        </w:rPr>
        <w:t xml:space="preserve">code chunks</w:t>
      </w:r>
      <w:r>
        <w:t xml:space="preserve">) sont alors</w:t>
      </w:r>
      <w:r>
        <w:t xml:space="preserve"> </w:t>
      </w:r>
      <w:r>
        <w:t xml:space="preserve">écrits comme un bloc de code, mais dans l’accolade on peut identifier le bloc de</w:t>
      </w:r>
      <w:r>
        <w:t xml:space="preserve"> </w:t>
      </w:r>
      <w:r>
        <w:t xml:space="preserve">code (</w:t>
      </w:r>
      <w:r>
        <w:rPr>
          <w:rStyle w:val="VerbatimChar"/>
        </w:rPr>
        <w:t xml:space="preserve">idbloc</w:t>
      </w:r>
      <w:r>
        <w:t xml:space="preserve"> </w:t>
      </w:r>
      <w:r>
        <w:t xml:space="preserve">ci-dessous) et varier différents paramètres de rendu (l’ensemble</w:t>
      </w:r>
      <w:r>
        <w:t xml:space="preserve"> </w:t>
      </w:r>
      <w:r>
        <w:t xml:space="preserve">des paramètres sont disponible à l’URL suivante</w:t>
      </w:r>
      <w:r>
        <w:t xml:space="preserve"> </w:t>
      </w:r>
      <w:hyperlink r:id="rId141">
        <w:r>
          <w:rPr>
            <w:rStyle w:val="Hyperlink"/>
          </w:rPr>
          <w:t xml:space="preserve">https://yihui.org/knitr/hooks/</w:t>
        </w:r>
      </w:hyperlink>
      <w:r>
        <w:t xml:space="preserve">)  :</w:t>
      </w:r>
    </w:p>
    <w:p>
      <w:pPr>
        <w:pStyle w:val="SourceCode"/>
      </w:pPr>
      <w:r>
        <w:rPr>
          <w:rStyle w:val="VerbatimChar"/>
        </w:rPr>
        <w:t xml:space="preserve">```{r, idbloc, param1 = val1, param2 = val2 ...}</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 ...}</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éléments est facultative), qui permet</w:t>
      </w:r>
      <w:r>
        <w:t xml:space="preserve"> </w:t>
      </w:r>
      <w:r>
        <w:t xml:space="preserve">notamment de facilement identifier les lignes précédentes me 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 L’apparence des</w:t>
      </w:r>
      <w:r>
        <w:t xml:space="preserve"> </w:t>
      </w:r>
      <w:r>
        <w:t xml:space="preserve">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w:t>
      </w:r>
      <w:r>
        <w:t xml:space="preserve"> </w:t>
      </w:r>
      <w:r>
        <w:t xml:space="preserve">différents formats.</w:t>
      </w:r>
    </w:p>
    <w:p>
      <w:pPr>
        <w:pStyle w:val="Heading2"/>
      </w:pPr>
      <w:bookmarkStart w:id="143" w:name="X24500e1b929957c8a8b6251f0387e9f7a774591"/>
      <w:r>
        <w:t xml:space="preserve">Changer l’apparence du bloc de code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donne</w:t>
      </w:r>
      <w:r>
        <w:t xml:space="preserve"> </w:t>
      </w:r>
      <w:r>
        <w:t xml:space="preserve">une très grande flexibilité assis bien des raisons pédagogiques que pour ajouter</w:t>
      </w:r>
      <w:r>
        <w:t xml:space="preserve"> </w:t>
      </w:r>
      <w:r>
        <w:t xml:space="preserve">des sorties R (figures, tables) sans avoir le code qui va avec.</w:t>
      </w:r>
    </w:p>
    <w:p>
      <w:pPr>
        <w:pStyle w:val="BodyText"/>
      </w:pPr>
      <w:r>
        <w:t xml:space="preserve">WIP!! WIP!! WIP!!</w:t>
      </w:r>
    </w:p>
    <w:p>
      <w:pPr>
        <w:pStyle w:val="BodyText"/>
      </w:pPr>
      <w:r>
        <w:t xml:space="preserve">Notez que pour les couleurs ou encore les polices de fontes, dealer avce les différents formats. Je me</w:t>
      </w:r>
      <w:r>
        <w:t xml:space="preserve"> </w:t>
      </w:r>
      <w:r>
        <w:t xml:space="preserve">concentre sur le plus important. Dépendant du siupports différentes action mais plupart du temps possibles.</w:t>
      </w:r>
    </w:p>
    <w:p>
      <w:pPr>
        <w:pStyle w:val="Heading3"/>
      </w:pPr>
      <w:bookmarkStart w:id="144" w:name="modifier-ce-qui-est-affiché"/>
      <w:r>
        <w:t xml:space="preserve">Modifier ce qui est affiché</w:t>
      </w:r>
      <w:bookmarkEnd w:id="14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5" w:name="modifier-laffichage-des-sorties"/>
      <w:r>
        <w:t xml:space="preserve">Modifier l’affichage des sorties</w:t>
      </w:r>
      <w:bookmarkEnd w:id="145"/>
    </w:p>
    <w:p>
      <w:pPr>
        <w:pStyle w:val="Heading3"/>
      </w:pPr>
      <w:bookmarkStart w:id="146" w:name="le-paramètre-results"/>
      <w:r>
        <w:t xml:space="preserve">Le paramètre</w:t>
      </w:r>
      <w:r>
        <w:t xml:space="preserve"> </w:t>
      </w:r>
      <w:r>
        <w:t xml:space="preserve">“</w:t>
      </w:r>
      <w:r>
        <w:t xml:space="preserve">results</w:t>
      </w:r>
      <w:r>
        <w:t xml:space="preserve">”</w:t>
      </w:r>
      <w:bookmarkEnd w:id="146"/>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6"/>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7"/>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Commentaire : une addition avec R.</w:t>
      </w:r>
      <w:r>
        <w:br/>
      </w:r>
      <w:r>
        <w:rPr>
          <w:rStyle w:val="DecValTok"/>
        </w:rPr>
        <w:t xml:space="preserve">2</w:t>
      </w:r>
      <w:r>
        <w:rPr>
          <w:rStyle w:val="OperatorTok"/>
        </w:rPr>
        <w:t xml:space="preserve">+</w:t>
      </w:r>
      <w:r>
        <w:rPr>
          <w:rStyle w:val="DecValTok"/>
        </w:rPr>
        <w:t xml:space="preserve">3</w:t>
      </w:r>
    </w:p>
    <w:p>
      <w:pPr>
        <w:numPr>
          <w:numId w:val="1048"/>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modifiés en utilisant le paramètre</w:t>
      </w:r>
      <w:r>
        <w:t xml:space="preserve"> </w:t>
      </w:r>
      <w:r>
        <w:rPr>
          <w:rStyle w:val="VerbatimChar"/>
        </w:rPr>
        <w:t xml:space="preserve">comment</w:t>
      </w:r>
      <w:r>
        <w:t xml:space="preserve">:</w:t>
      </w:r>
    </w:p>
    <w:p>
      <w:pPr>
        <w:pStyle w:val="SourceCode"/>
      </w:pPr>
      <w:r>
        <w:rPr>
          <w:rStyle w:val="VerbatimChar"/>
        </w:rPr>
        <w:t xml:space="preserve">``{r comment, comment="$&gt;&gt;"}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$&gt;&gt; [1] 5</w:t>
      </w:r>
    </w:p>
    <w:p>
      <w:pPr>
        <w:pStyle w:val="FirstParagraph"/>
      </w:pPr>
      <w:r>
        <w:t xml:space="preserve">Il est important de souligner que je n’essais pas d’être exhaustif. Pour plus de</w:t>
      </w:r>
      <w:r>
        <w:t xml:space="preserve"> </w:t>
      </w:r>
      <w:r>
        <w:t xml:space="preserve">précisions, il y a le</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le</w:t>
      </w:r>
      <w:r>
        <w:t xml:space="preserve"> </w:t>
      </w:r>
      <w:hyperlink r:id="rId142">
        <w:r>
          <w:rPr>
            <w:rStyle w:val="Hyperlink"/>
          </w:rPr>
          <w:t xml:space="preserve">site de knitr</w:t>
        </w:r>
      </w:hyperlink>
      <w:r>
        <w:t xml:space="preserve">. Vous y apprendrez,</w:t>
      </w:r>
      <w:r>
        <w:t xml:space="preserve"> </w:t>
      </w:r>
      <w:r>
        <w:t xml:space="preserve">entre autres, qu’il est possible de créer des dépendances entre morceaux de</w:t>
      </w:r>
      <w:r>
        <w:t xml:space="preserve"> </w:t>
      </w:r>
      <w:r>
        <w:t xml:space="preserve">code, ce que je n’aborde pas dans le document.</w:t>
      </w:r>
    </w:p>
    <w:p>
      <w:pPr>
        <w:pStyle w:val="Heading3"/>
      </w:pPr>
      <w:bookmarkStart w:id="148" w:name="modifier-le-mode-dexécution-du-code"/>
      <w:r>
        <w:t xml:space="preserve">Modifier le mode d’exécution du code</w:t>
      </w:r>
      <w:bookmarkEnd w:id="148"/>
    </w:p>
    <w:p>
      <w:pPr>
        <w:pStyle w:val="FirstParagraph"/>
      </w:pPr>
      <w:r>
        <w:t xml:space="preserve">Par défaut code et sorties. On</w:t>
      </w:r>
    </w:p>
    <w:p>
      <w:pPr>
        <w:pStyle w:val="Heading4"/>
      </w:pPr>
      <w:bookmarkStart w:id="149" w:name="enlever-toute-sorties"/>
      <w:r>
        <w:t xml:space="preserve">Enlever toute sorties</w:t>
      </w:r>
      <w:bookmarkEnd w:id="149"/>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Heading3"/>
      </w:pPr>
      <w:bookmarkStart w:id="150" w:name="exécuter-le-code-silencieusement"/>
      <w:r>
        <w:t xml:space="preserve">Exécuter le code silencieusement</w:t>
      </w:r>
      <w:bookmarkEnd w:id="150"/>
    </w:p>
    <w:p>
      <w:pPr>
        <w:pStyle w:val="FirstParagraph"/>
      </w:pPr>
    </w:p>
    <w:p>
      <w:pPr>
        <w:pStyle w:val="Heading2"/>
      </w:pPr>
      <w:bookmarkStart w:id="151" w:name="tables-figures-et-widget"/>
      <w:r>
        <w:t xml:space="preserve">Tables, figures et widget</w:t>
      </w:r>
      <w:bookmarkEnd w:id="151"/>
    </w:p>
    <w:p>
      <w:pPr>
        <w:pStyle w:val="FirstParagraph"/>
      </w:pPr>
      <w:r>
        <w:t xml:space="preserve">Les remarques précédentes sont valides pour tous type de code mais souvent on est intéressé par tables et figures.</w:t>
      </w:r>
    </w:p>
    <w:p>
      <w:pPr>
        <w:pStyle w:val="Heading2"/>
      </w:pPr>
      <w:bookmarkStart w:id="152" w:name="les-tableaux-depuis-r"/>
      <w:r>
        <w:t xml:space="preserve">Les tableaux depuis R</w:t>
      </w:r>
      <w:bookmarkEnd w:id="152"/>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9.828446</w:t>
            </w:r>
          </w:p>
        </w:tc>
        <w:tc>
          <w:p>
            <w:pPr>
              <w:pStyle w:val="Compact"/>
              <w:jc w:val="right"/>
            </w:pPr>
            <w:r>
              <w:t xml:space="preserve">10.4376895</w:t>
            </w:r>
          </w:p>
        </w:tc>
      </w:tr>
      <w:tr>
        <w:tc>
          <w:p>
            <w:pPr>
              <w:pStyle w:val="Compact"/>
              <w:jc w:val="left"/>
            </w:pPr>
            <w:r>
              <w:t xml:space="preserve">exp1</w:t>
            </w:r>
          </w:p>
        </w:tc>
        <w:tc>
          <w:p>
            <w:pPr>
              <w:pStyle w:val="Compact"/>
              <w:jc w:val="left"/>
            </w:pPr>
            <w:r>
              <w:t xml:space="preserve">b</w:t>
            </w:r>
          </w:p>
        </w:tc>
        <w:tc>
          <w:p>
            <w:pPr>
              <w:pStyle w:val="Compact"/>
              <w:jc w:val="right"/>
            </w:pPr>
            <w:r>
              <w:t xml:space="preserve">5.199807</w:t>
            </w:r>
          </w:p>
        </w:tc>
        <w:tc>
          <w:p>
            <w:pPr>
              <w:pStyle w:val="Compact"/>
              <w:jc w:val="right"/>
            </w:pPr>
            <w:r>
              <w:t xml:space="preserve">6.9068890</w:t>
            </w:r>
          </w:p>
        </w:tc>
      </w:tr>
      <w:tr>
        <w:tc>
          <w:p>
            <w:pPr>
              <w:pStyle w:val="Compact"/>
              <w:jc w:val="left"/>
            </w:pPr>
            <w:r>
              <w:t xml:space="preserve">exp1</w:t>
            </w:r>
          </w:p>
        </w:tc>
        <w:tc>
          <w:p>
            <w:pPr>
              <w:pStyle w:val="Compact"/>
              <w:jc w:val="left"/>
            </w:pPr>
            <w:r>
              <w:t xml:space="preserve">c</w:t>
            </w:r>
          </w:p>
        </w:tc>
        <w:tc>
          <w:p>
            <w:pPr>
              <w:pStyle w:val="Compact"/>
              <w:jc w:val="right"/>
            </w:pPr>
            <w:r>
              <w:t xml:space="preserve">2.866762</w:t>
            </w:r>
          </w:p>
        </w:tc>
        <w:tc>
          <w:p>
            <w:pPr>
              <w:pStyle w:val="Compact"/>
              <w:jc w:val="right"/>
            </w:pPr>
            <w:r>
              <w:t xml:space="preserve">2.2693748</w:t>
            </w:r>
          </w:p>
        </w:tc>
      </w:tr>
      <w:tr>
        <w:tc>
          <w:p>
            <w:pPr>
              <w:pStyle w:val="Compact"/>
              <w:jc w:val="left"/>
            </w:pPr>
            <w:r>
              <w:t xml:space="preserve">exp1</w:t>
            </w:r>
          </w:p>
        </w:tc>
        <w:tc>
          <w:p>
            <w:pPr>
              <w:pStyle w:val="Compact"/>
              <w:jc w:val="left"/>
            </w:pPr>
            <w:r>
              <w:t xml:space="preserve">d</w:t>
            </w:r>
          </w:p>
        </w:tc>
        <w:tc>
          <w:p>
            <w:pPr>
              <w:pStyle w:val="Compact"/>
              <w:jc w:val="right"/>
            </w:pPr>
            <w:r>
              <w:t xml:space="preserve">11.209997</w:t>
            </w:r>
          </w:p>
        </w:tc>
        <w:tc>
          <w:p>
            <w:pPr>
              <w:pStyle w:val="Compact"/>
              <w:jc w:val="right"/>
            </w:pPr>
            <w:r>
              <w:t xml:space="preserve">12.0085577</w:t>
            </w:r>
          </w:p>
        </w:tc>
      </w:tr>
      <w:tr>
        <w:tc>
          <w:p>
            <w:pPr>
              <w:pStyle w:val="Compact"/>
              <w:jc w:val="left"/>
            </w:pPr>
            <w:r>
              <w:t xml:space="preserve">exp1</w:t>
            </w:r>
          </w:p>
        </w:tc>
        <w:tc>
          <w:p>
            <w:pPr>
              <w:pStyle w:val="Compact"/>
              <w:jc w:val="left"/>
            </w:pPr>
            <w:r>
              <w:t xml:space="preserve">e</w:t>
            </w:r>
          </w:p>
        </w:tc>
        <w:tc>
          <w:p>
            <w:pPr>
              <w:pStyle w:val="Compact"/>
              <w:jc w:val="right"/>
            </w:pPr>
            <w:r>
              <w:t xml:space="preserve">18.265179</w:t>
            </w:r>
          </w:p>
        </w:tc>
        <w:tc>
          <w:p>
            <w:pPr>
              <w:pStyle w:val="Compact"/>
              <w:jc w:val="right"/>
            </w:pPr>
            <w:r>
              <w:t xml:space="preserve">19.2199880</w:t>
            </w:r>
          </w:p>
        </w:tc>
      </w:tr>
      <w:tr>
        <w:tc>
          <w:p>
            <w:pPr>
              <w:pStyle w:val="Compact"/>
              <w:jc w:val="left"/>
            </w:pPr>
            <w:r>
              <w:t xml:space="preserve">exp2</w:t>
            </w:r>
          </w:p>
        </w:tc>
        <w:tc>
          <w:p>
            <w:pPr>
              <w:pStyle w:val="Compact"/>
              <w:jc w:val="left"/>
            </w:pPr>
            <w:r>
              <w:t xml:space="preserve">a</w:t>
            </w:r>
          </w:p>
        </w:tc>
        <w:tc>
          <w:p>
            <w:pPr>
              <w:pStyle w:val="Compact"/>
              <w:jc w:val="right"/>
            </w:pPr>
            <w:r>
              <w:t xml:space="preserve">15.236714</w:t>
            </w:r>
          </w:p>
        </w:tc>
        <w:tc>
          <w:p>
            <w:pPr>
              <w:pStyle w:val="Compact"/>
              <w:jc w:val="right"/>
            </w:pPr>
            <w:r>
              <w:t xml:space="preserve">15.0617289</w:t>
            </w:r>
          </w:p>
        </w:tc>
      </w:tr>
      <w:tr>
        <w:tc>
          <w:p>
            <w:pPr>
              <w:pStyle w:val="Compact"/>
              <w:jc w:val="left"/>
            </w:pPr>
            <w:r>
              <w:t xml:space="preserve">exp2</w:t>
            </w:r>
          </w:p>
        </w:tc>
        <w:tc>
          <w:p>
            <w:pPr>
              <w:pStyle w:val="Compact"/>
              <w:jc w:val="left"/>
            </w:pPr>
            <w:r>
              <w:t xml:space="preserve">b</w:t>
            </w:r>
          </w:p>
        </w:tc>
        <w:tc>
          <w:p>
            <w:pPr>
              <w:pStyle w:val="Compact"/>
              <w:jc w:val="right"/>
            </w:pPr>
            <w:r>
              <w:t xml:space="preserve">7.697674</w:t>
            </w:r>
          </w:p>
        </w:tc>
        <w:tc>
          <w:p>
            <w:pPr>
              <w:pStyle w:val="Compact"/>
              <w:jc w:val="right"/>
            </w:pPr>
            <w:r>
              <w:t xml:space="preserve">6.9974395</w:t>
            </w:r>
          </w:p>
        </w:tc>
      </w:tr>
      <w:tr>
        <w:tc>
          <w:p>
            <w:pPr>
              <w:pStyle w:val="Compact"/>
              <w:jc w:val="left"/>
            </w:pPr>
            <w:r>
              <w:t xml:space="preserve">exp2</w:t>
            </w:r>
          </w:p>
        </w:tc>
        <w:tc>
          <w:p>
            <w:pPr>
              <w:pStyle w:val="Compact"/>
              <w:jc w:val="left"/>
            </w:pPr>
            <w:r>
              <w:t xml:space="preserve">c</w:t>
            </w:r>
          </w:p>
        </w:tc>
        <w:tc>
          <w:p>
            <w:pPr>
              <w:pStyle w:val="Compact"/>
              <w:jc w:val="right"/>
            </w:pPr>
            <w:r>
              <w:t xml:space="preserve">16.898659</w:t>
            </w:r>
          </w:p>
        </w:tc>
        <w:tc>
          <w:p>
            <w:pPr>
              <w:pStyle w:val="Compact"/>
              <w:jc w:val="right"/>
            </w:pPr>
            <w:r>
              <w:t xml:space="preserve">15.0700870</w:t>
            </w:r>
          </w:p>
        </w:tc>
      </w:tr>
      <w:tr>
        <w:tc>
          <w:p>
            <w:pPr>
              <w:pStyle w:val="Compact"/>
              <w:jc w:val="left"/>
            </w:pPr>
            <w:r>
              <w:t xml:space="preserve">exp2</w:t>
            </w:r>
          </w:p>
        </w:tc>
        <w:tc>
          <w:p>
            <w:pPr>
              <w:pStyle w:val="Compact"/>
              <w:jc w:val="left"/>
            </w:pPr>
            <w:r>
              <w:t xml:space="preserve">d</w:t>
            </w:r>
          </w:p>
        </w:tc>
        <w:tc>
          <w:p>
            <w:pPr>
              <w:pStyle w:val="Compact"/>
              <w:jc w:val="right"/>
            </w:pPr>
            <w:r>
              <w:t xml:space="preserve">13.995719</w:t>
            </w:r>
          </w:p>
        </w:tc>
        <w:tc>
          <w:p>
            <w:pPr>
              <w:pStyle w:val="Compact"/>
              <w:jc w:val="right"/>
            </w:pPr>
            <w:r>
              <w:t xml:space="preserve">13.2887551</w:t>
            </w:r>
          </w:p>
        </w:tc>
      </w:tr>
      <w:tr>
        <w:tc>
          <w:p>
            <w:pPr>
              <w:pStyle w:val="Compact"/>
              <w:jc w:val="left"/>
            </w:pPr>
            <w:r>
              <w:t xml:space="preserve">exp2</w:t>
            </w:r>
          </w:p>
        </w:tc>
        <w:tc>
          <w:p>
            <w:pPr>
              <w:pStyle w:val="Compact"/>
              <w:jc w:val="left"/>
            </w:pPr>
            <w:r>
              <w:t xml:space="preserve">e</w:t>
            </w:r>
          </w:p>
        </w:tc>
        <w:tc>
          <w:p>
            <w:pPr>
              <w:pStyle w:val="Compact"/>
              <w:jc w:val="right"/>
            </w:pPr>
            <w:r>
              <w:t xml:space="preserve">4.593540</w:t>
            </w:r>
          </w:p>
        </w:tc>
        <w:tc>
          <w:p>
            <w:pPr>
              <w:pStyle w:val="Compact"/>
              <w:jc w:val="right"/>
            </w:pPr>
            <w:r>
              <w:t xml:space="preserve">5.9403329</w:t>
            </w:r>
          </w:p>
        </w:tc>
      </w:tr>
      <w:tr>
        <w:tc>
          <w:p>
            <w:pPr>
              <w:pStyle w:val="Compact"/>
              <w:jc w:val="left"/>
            </w:pPr>
            <w:r>
              <w:t xml:space="preserve">exp3</w:t>
            </w:r>
          </w:p>
        </w:tc>
        <w:tc>
          <w:p>
            <w:pPr>
              <w:pStyle w:val="Compact"/>
              <w:jc w:val="left"/>
            </w:pPr>
            <w:r>
              <w:t xml:space="preserve">a</w:t>
            </w:r>
          </w:p>
        </w:tc>
        <w:tc>
          <w:p>
            <w:pPr>
              <w:pStyle w:val="Compact"/>
              <w:jc w:val="right"/>
            </w:pPr>
            <w:r>
              <w:t xml:space="preserve">1.414454</w:t>
            </w:r>
          </w:p>
        </w:tc>
        <w:tc>
          <w:p>
            <w:pPr>
              <w:pStyle w:val="Compact"/>
              <w:jc w:val="right"/>
            </w:pPr>
            <w:r>
              <w:t xml:space="preserve">1.7025478</w:t>
            </w:r>
          </w:p>
        </w:tc>
      </w:tr>
      <w:tr>
        <w:tc>
          <w:p>
            <w:pPr>
              <w:pStyle w:val="Compact"/>
              <w:jc w:val="left"/>
            </w:pPr>
            <w:r>
              <w:t xml:space="preserve">exp3</w:t>
            </w:r>
          </w:p>
        </w:tc>
        <w:tc>
          <w:p>
            <w:pPr>
              <w:pStyle w:val="Compact"/>
              <w:jc w:val="left"/>
            </w:pPr>
            <w:r>
              <w:t xml:space="preserve">b</w:t>
            </w:r>
          </w:p>
        </w:tc>
        <w:tc>
          <w:p>
            <w:pPr>
              <w:pStyle w:val="Compact"/>
              <w:jc w:val="right"/>
            </w:pPr>
            <w:r>
              <w:t xml:space="preserve">12.799045</w:t>
            </w:r>
          </w:p>
        </w:tc>
        <w:tc>
          <w:p>
            <w:pPr>
              <w:pStyle w:val="Compact"/>
              <w:jc w:val="right"/>
            </w:pPr>
            <w:r>
              <w:t xml:space="preserve">12.6858654</w:t>
            </w:r>
          </w:p>
        </w:tc>
      </w:tr>
      <w:tr>
        <w:tc>
          <w:p>
            <w:pPr>
              <w:pStyle w:val="Compact"/>
              <w:jc w:val="left"/>
            </w:pPr>
            <w:r>
              <w:t xml:space="preserve">exp3</w:t>
            </w:r>
          </w:p>
        </w:tc>
        <w:tc>
          <w:p>
            <w:pPr>
              <w:pStyle w:val="Compact"/>
              <w:jc w:val="left"/>
            </w:pPr>
            <w:r>
              <w:t xml:space="preserve">c</w:t>
            </w:r>
          </w:p>
        </w:tc>
        <w:tc>
          <w:p>
            <w:pPr>
              <w:pStyle w:val="Compact"/>
              <w:jc w:val="right"/>
            </w:pPr>
            <w:r>
              <w:t xml:space="preserve">7.226707</w:t>
            </w:r>
          </w:p>
        </w:tc>
        <w:tc>
          <w:p>
            <w:pPr>
              <w:pStyle w:val="Compact"/>
              <w:jc w:val="right"/>
            </w:pPr>
            <w:r>
              <w:t xml:space="preserve">9.0383966</w:t>
            </w:r>
          </w:p>
        </w:tc>
      </w:tr>
      <w:tr>
        <w:tc>
          <w:p>
            <w:pPr>
              <w:pStyle w:val="Compact"/>
              <w:jc w:val="left"/>
            </w:pPr>
            <w:r>
              <w:t xml:space="preserve">exp3</w:t>
            </w:r>
          </w:p>
        </w:tc>
        <w:tc>
          <w:p>
            <w:pPr>
              <w:pStyle w:val="Compact"/>
              <w:jc w:val="left"/>
            </w:pPr>
            <w:r>
              <w:t xml:space="preserve">d</w:t>
            </w:r>
          </w:p>
        </w:tc>
        <w:tc>
          <w:p>
            <w:pPr>
              <w:pStyle w:val="Compact"/>
              <w:jc w:val="right"/>
            </w:pPr>
            <w:r>
              <w:t xml:space="preserve">1.345330</w:t>
            </w:r>
          </w:p>
        </w:tc>
        <w:tc>
          <w:p>
            <w:pPr>
              <w:pStyle w:val="Compact"/>
              <w:jc w:val="right"/>
            </w:pPr>
            <w:r>
              <w:t xml:space="preserve">0.6707573</w:t>
            </w:r>
          </w:p>
        </w:tc>
      </w:tr>
      <w:tr>
        <w:tc>
          <w:p>
            <w:pPr>
              <w:pStyle w:val="Compact"/>
              <w:jc w:val="left"/>
            </w:pPr>
            <w:r>
              <w:t xml:space="preserve">exp3</w:t>
            </w:r>
          </w:p>
        </w:tc>
        <w:tc>
          <w:p>
            <w:pPr>
              <w:pStyle w:val="Compact"/>
              <w:jc w:val="left"/>
            </w:pPr>
            <w:r>
              <w:t xml:space="preserve">e</w:t>
            </w:r>
          </w:p>
        </w:tc>
        <w:tc>
          <w:p>
            <w:pPr>
              <w:pStyle w:val="Compact"/>
              <w:jc w:val="right"/>
            </w:pPr>
            <w:r>
              <w:t xml:space="preserve">14.834721</w:t>
            </w:r>
          </w:p>
        </w:tc>
        <w:tc>
          <w:p>
            <w:pPr>
              <w:pStyle w:val="Compact"/>
              <w:jc w:val="right"/>
            </w:pPr>
            <w:r>
              <w:t xml:space="preserve">12.5317119</w:t>
            </w:r>
          </w:p>
        </w:tc>
      </w:tr>
    </w:tbl>
    <w:p>
      <w:pPr>
        <w:pStyle w:val="BodyText"/>
      </w:pPr>
      <w:r>
        <w:t xml:space="preserve">Pour en savoir plus, reportez-vous à la documentation de cette fonction. Le package</w:t>
      </w:r>
      <w:r>
        <w:t xml:space="preserve"> </w:t>
      </w:r>
      <w:hyperlink r:id="rId153">
        <w:r>
          <w:rPr>
            <w:rStyle w:val="VerbatimChar"/>
            <w:rStyle w:val="Hyperlink"/>
          </w:rPr>
          <w:t xml:space="preserve">kableExtra</w:t>
        </w:r>
      </w:hyperlink>
      <w:r>
        <w:t xml:space="preserve"> </w:t>
      </w:r>
      <w:r>
        <w:t xml:space="preserve">vaut aussi le coupe d’oeil!</w:t>
      </w:r>
    </w:p>
    <w:p>
      <w:pPr>
        <w:pStyle w:val="Heading2"/>
      </w:pPr>
      <w:bookmarkStart w:id="154" w:name="les-figures-produites-avec-r"/>
      <w:r>
        <w:t xml:space="preserve">Les figures produites avec R</w:t>
      </w:r>
      <w:bookmarkEnd w:id="154"/>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5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5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58">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60" w:name="Xf16f293b2756298b60b498961f72361984c2520"/>
      <w:r>
        <w:t xml:space="preserve">Une application, modèle linéaire dynamique</w:t>
      </w:r>
      <w:bookmarkEnd w:id="160"/>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(var2 </w:t>
      </w:r>
      <w:r>
        <w:rPr>
          <w:rStyle w:val="OperatorTok"/>
        </w:rPr>
        <w:t xml:space="preserve">~</w:t>
      </w:r>
      <w:r>
        <w:rPr>
          <w:rStyle w:val="StringTok"/>
        </w:rPr>
        <w:t xml:space="preserve"> </w:t>
      </w:r>
      <w:r>
        <w:rPr>
          <w:rStyle w:val="NormalTok"/>
        </w:rPr>
        <w:t xml:space="preserve">var1, </w:t>
      </w:r>
      <w:r>
        <w:rPr>
          <w:rStyle w:val="DataTypeTok"/>
        </w:rPr>
        <w:t xml:space="preserve">data =</w:t>
      </w:r>
      <w:r>
        <w:rPr>
          <w:rStyle w:val="NormalTok"/>
        </w:rPr>
        <w:t xml:space="preserve"> 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-1.98070 -0.96069  0.07398  0.93471  1.62890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0.66257    0.61755   1.073    0.303    </w:t>
      </w:r>
      <w:r>
        <w:br/>
      </w:r>
      <w:r>
        <w:rPr>
          <w:rStyle w:val="VerbatimChar"/>
        </w:rPr>
        <w:t xml:space="preserve">## var1         0.93361    0.05599  16.675 3.71e-10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1.193 on 13 degrees of freedom</w:t>
      </w:r>
      <w:r>
        <w:br/>
      </w:r>
      <w:r>
        <w:rPr>
          <w:rStyle w:val="VerbatimChar"/>
        </w:rPr>
        <w:t xml:space="preserve">## Multiple R-squared:  0.9553, Adjusted R-squared:  0.9519 </w:t>
      </w:r>
      <w:r>
        <w:br/>
      </w:r>
      <w:r>
        <w:rPr>
          <w:rStyle w:val="VerbatimChar"/>
        </w:rPr>
        <w:t xml:space="preserve">## F-statistic: 278.1 on 1 and 13 DF,  p-value: 3.714e-10</w:t>
      </w:r>
    </w:p>
    <w:p>
      <w:pPr>
        <w:pStyle w:val="SourceCode"/>
      </w:pP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6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2"/>
      </w:pPr>
      <w:bookmarkStart w:id="162" w:name="changer-les-réglages-par-défaut"/>
      <w:r>
        <w:t xml:space="preserve">Changer les réglages par défaut</w:t>
      </w:r>
      <w:bookmarkEnd w:id="162"/>
    </w:p>
    <w:p>
      <w:pPr>
        <w:pStyle w:val="Heading1"/>
      </w:pPr>
      <w:bookmarkStart w:id="163" w:name="références-1"/>
      <w:r>
        <w:t xml:space="preserve">Références</w:t>
      </w:r>
      <w:bookmarkEnd w:id="163"/>
    </w:p>
    <w:bookmarkStart w:id="168" w:name="refs"/>
    <w:bookmarkStart w:id="164" w:name="ref-Knauff2014"/>
    <w:p>
      <w:pPr>
        <w:pStyle w:val="Bibliography"/>
      </w:pPr>
      <w:r>
        <w:t xml:space="preserve">Knauff, M., Nejasmic, J., 2014. An Efficiency Comparison of Document Preparation Systems Used in Academic Research and Development. PLoS One 9, e115069.</w:t>
      </w:r>
    </w:p>
    <w:bookmarkEnd w:id="164"/>
    <w:bookmarkStart w:id="165" w:name="ref-Lande1979"/>
    <w:p>
      <w:pPr>
        <w:pStyle w:val="Bibliography"/>
      </w:pPr>
      <w:r>
        <w:t xml:space="preserve">Lande, R., 1979. Quantitative Genetic Analysis of Multivariate Evolution , Applied to Brain : Body Size Allometry Russell Lande. Evolution (N. Y). 33, 402–416.</w:t>
      </w:r>
    </w:p>
    <w:bookmarkEnd w:id="165"/>
    <w:bookmarkStart w:id="166" w:name="ref-Oreskes1994"/>
    <w:p>
      <w:pPr>
        <w:pStyle w:val="Bibliography"/>
      </w:pPr>
      <w:r>
        <w:t xml:space="preserve">Oreskes, N., Shrader-Frechette, K., Belitz, K., 1994. Verification, validation, and confirmation of numerical models in the earth sciences. Science (80-. ). 263, 641–646.</w:t>
      </w:r>
    </w:p>
    <w:bookmarkEnd w:id="166"/>
    <w:bookmarkStart w:id="167" w:name="ref-xie_dynamic_2017"/>
    <w:p>
      <w:pPr>
        <w:pStyle w:val="Bibliography"/>
      </w:pPr>
      <w:r>
        <w:t xml:space="preserve">Xie, Y., 2017. Dynamic documents with R and knitr. CRC Press, Boca Raton, Florida.</w:t>
      </w:r>
    </w:p>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58"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3"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1" Target="https://yihui.org/knitr/hook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58"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3"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1" Target="https://yihui.org/knitr/h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2020-08-29T21:03:08Z</dcterms:created>
  <dcterms:modified xsi:type="dcterms:W3CDTF">2020-08-29T21:03:08Z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29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