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7.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18</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"18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5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52">
        <w:r>
          <w:rPr>
            <w:rStyle w:val="Hyperlink"/>
          </w:rPr>
          <w:t xml:space="preserve">site de knitr</w:t>
        </w:r>
      </w:hyperlink>
      <w:r>
        <w:t xml:space="preserve">.</w:t>
      </w:r>
    </w:p>
    <w:p>
      <w:pPr>
        <w:pStyle w:val="Heading2"/>
      </w:pPr>
      <w:bookmarkStart w:id="153" w:name="X1a360d9be2d41d14f19da06e701c6c05e7541a4"/>
      <w:r>
        <w:t xml:space="preserve">Modifier l’affichage du code source et des sorties associées</w:t>
      </w:r>
      <w:bookmarkEnd w:id="15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5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5" w:name="X21e0296aa15067dbd604642410e06bad0c71838"/>
      <w:r>
        <w:t xml:space="preserve">Modifier l’affichage du code source avec le paramètre</w:t>
      </w:r>
      <w:r>
        <w:t xml:space="preserve"> </w:t>
      </w:r>
      <w:r>
        <w:rPr>
          <w:rStyle w:val="VerbatimChar"/>
        </w:rPr>
        <w:t xml:space="preserve">echo</w:t>
      </w:r>
      <w:bookmarkEnd w:id="15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6" w:name="modifier-laffichage-des-sorties"/>
      <w:r>
        <w:t xml:space="preserve">Modifier l’affichage des sorties</w:t>
      </w:r>
      <w:bookmarkEnd w:id="156"/>
    </w:p>
    <w:p>
      <w:pPr>
        <w:pStyle w:val="Heading4"/>
      </w:pPr>
      <w:bookmarkStart w:id="157" w:name="le-paramètre-comment"/>
      <w:r>
        <w:t xml:space="preserve">Le paramètre</w:t>
      </w:r>
      <w:r>
        <w:t xml:space="preserve"> </w:t>
      </w:r>
      <w:r>
        <w:rPr>
          <w:rStyle w:val="VerbatimChar"/>
        </w:rPr>
        <w:t xml:space="preserve">comment</w:t>
      </w:r>
      <w:bookmarkEnd w:id="15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8" w:name="le-paramètre-results"/>
      <w:r>
        <w:t xml:space="preserve">Le paramètre</w:t>
      </w:r>
      <w:r>
        <w:t xml:space="preserve"> </w:t>
      </w:r>
      <w:r>
        <w:rPr>
          <w:rStyle w:val="VerbatimChar"/>
        </w:rPr>
        <w:t xml:space="preserve">results</w:t>
      </w:r>
      <w:bookmarkEnd w:id="15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9" w:name="choisir-les-messages-retournés"/>
      <w:r>
        <w:t xml:space="preserve">Choisir les messages retournés</w:t>
      </w:r>
      <w:bookmarkEnd w:id="15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60" w:name="modifier-le-mode-devaluation-du-code"/>
      <w:r>
        <w:t xml:space="preserve">Modifier le mode d’evaluation du code</w:t>
      </w:r>
      <w:bookmarkEnd w:id="16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1" w:name="enlever-toutes-sorties"/>
      <w:r>
        <w:t xml:space="preserve">Enlever toutes sorties</w:t>
      </w:r>
      <w:bookmarkEnd w:id="161"/>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62" w:name="exécuter-le-code-silencieusement"/>
      <w:r>
        <w:t xml:space="preserve">Exécuter le code silencieusement</w:t>
      </w:r>
      <w:bookmarkEnd w:id="162"/>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3" w:name="tables-et-figures"/>
      <w:r>
        <w:t xml:space="preserve">Tables et figures</w:t>
      </w:r>
      <w:bookmarkEnd w:id="163"/>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64" w:name="tables"/>
      <w:r>
        <w:t xml:space="preserve">Tables</w:t>
      </w:r>
      <w:bookmarkEnd w:id="164"/>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6.911689</w:t>
            </w:r>
          </w:p>
        </w:tc>
        <w:tc>
          <w:p>
            <w:pPr>
              <w:pStyle w:val="Compact"/>
              <w:jc w:val="right"/>
            </w:pPr>
            <w:r>
              <w:t xml:space="preserve">8.713165</w:t>
            </w:r>
          </w:p>
        </w:tc>
      </w:tr>
      <w:tr>
        <w:tc>
          <w:p>
            <w:pPr>
              <w:pStyle w:val="Compact"/>
              <w:jc w:val="left"/>
            </w:pPr>
            <w:r>
              <w:t xml:space="preserve">traitement_1</w:t>
            </w:r>
          </w:p>
        </w:tc>
        <w:tc>
          <w:p>
            <w:pPr>
              <w:pStyle w:val="Compact"/>
              <w:jc w:val="left"/>
            </w:pPr>
            <w:r>
              <w:t xml:space="preserve">b</w:t>
            </w:r>
          </w:p>
        </w:tc>
        <w:tc>
          <w:p>
            <w:pPr>
              <w:pStyle w:val="Compact"/>
              <w:jc w:val="right"/>
            </w:pPr>
            <w:r>
              <w:t xml:space="preserve">13.377635</w:t>
            </w:r>
          </w:p>
        </w:tc>
        <w:tc>
          <w:p>
            <w:pPr>
              <w:pStyle w:val="Compact"/>
              <w:jc w:val="right"/>
            </w:pPr>
            <w:r>
              <w:t xml:space="preserve">13.403041</w:t>
            </w:r>
          </w:p>
        </w:tc>
      </w:tr>
      <w:tr>
        <w:tc>
          <w:p>
            <w:pPr>
              <w:pStyle w:val="Compact"/>
              <w:jc w:val="left"/>
            </w:pPr>
            <w:r>
              <w:t xml:space="preserve">traitement_1</w:t>
            </w:r>
          </w:p>
        </w:tc>
        <w:tc>
          <w:p>
            <w:pPr>
              <w:pStyle w:val="Compact"/>
              <w:jc w:val="left"/>
            </w:pPr>
            <w:r>
              <w:t xml:space="preserve">c</w:t>
            </w:r>
          </w:p>
        </w:tc>
        <w:tc>
          <w:p>
            <w:pPr>
              <w:pStyle w:val="Compact"/>
              <w:jc w:val="right"/>
            </w:pPr>
            <w:r>
              <w:t xml:space="preserve">2.975185</w:t>
            </w:r>
          </w:p>
        </w:tc>
        <w:tc>
          <w:p>
            <w:pPr>
              <w:pStyle w:val="Compact"/>
              <w:jc w:val="right"/>
            </w:pPr>
            <w:r>
              <w:t xml:space="preserve">2.696548</w:t>
            </w:r>
          </w:p>
        </w:tc>
      </w:tr>
      <w:tr>
        <w:tc>
          <w:p>
            <w:pPr>
              <w:pStyle w:val="Compact"/>
              <w:jc w:val="left"/>
            </w:pPr>
            <w:r>
              <w:t xml:space="preserve">traitement_1</w:t>
            </w:r>
          </w:p>
        </w:tc>
        <w:tc>
          <w:p>
            <w:pPr>
              <w:pStyle w:val="Compact"/>
              <w:jc w:val="left"/>
            </w:pPr>
            <w:r>
              <w:t xml:space="preserve">d</w:t>
            </w:r>
          </w:p>
        </w:tc>
        <w:tc>
          <w:p>
            <w:pPr>
              <w:pStyle w:val="Compact"/>
              <w:jc w:val="right"/>
            </w:pPr>
            <w:r>
              <w:t xml:space="preserve">17.664134</w:t>
            </w:r>
          </w:p>
        </w:tc>
        <w:tc>
          <w:p>
            <w:pPr>
              <w:pStyle w:val="Compact"/>
              <w:jc w:val="right"/>
            </w:pPr>
            <w:r>
              <w:t xml:space="preserve">17.954534</w:t>
            </w:r>
          </w:p>
        </w:tc>
      </w:tr>
      <w:tr>
        <w:tc>
          <w:p>
            <w:pPr>
              <w:pStyle w:val="Compact"/>
              <w:jc w:val="left"/>
            </w:pPr>
            <w:r>
              <w:t xml:space="preserve">traitement_2</w:t>
            </w:r>
          </w:p>
        </w:tc>
        <w:tc>
          <w:p>
            <w:pPr>
              <w:pStyle w:val="Compact"/>
              <w:jc w:val="left"/>
            </w:pPr>
            <w:r>
              <w:t xml:space="preserve">a</w:t>
            </w:r>
          </w:p>
        </w:tc>
        <w:tc>
          <w:p>
            <w:pPr>
              <w:pStyle w:val="Compact"/>
              <w:jc w:val="right"/>
            </w:pPr>
            <w:r>
              <w:t xml:space="preserve">15.611553</w:t>
            </w:r>
          </w:p>
        </w:tc>
        <w:tc>
          <w:p>
            <w:pPr>
              <w:pStyle w:val="Compact"/>
              <w:jc w:val="right"/>
            </w:pPr>
            <w:r>
              <w:t xml:space="preserve">15.811808</w:t>
            </w:r>
          </w:p>
        </w:tc>
      </w:tr>
      <w:tr>
        <w:tc>
          <w:p>
            <w:pPr>
              <w:pStyle w:val="Compact"/>
              <w:jc w:val="left"/>
            </w:pPr>
            <w:r>
              <w:t xml:space="preserve">traitement_2</w:t>
            </w:r>
          </w:p>
        </w:tc>
        <w:tc>
          <w:p>
            <w:pPr>
              <w:pStyle w:val="Compact"/>
              <w:jc w:val="left"/>
            </w:pPr>
            <w:r>
              <w:t xml:space="preserve">b</w:t>
            </w:r>
          </w:p>
        </w:tc>
        <w:tc>
          <w:p>
            <w:pPr>
              <w:pStyle w:val="Compact"/>
              <w:jc w:val="right"/>
            </w:pPr>
            <w:r>
              <w:t xml:space="preserve">3.344247</w:t>
            </w:r>
          </w:p>
        </w:tc>
        <w:tc>
          <w:p>
            <w:pPr>
              <w:pStyle w:val="Compact"/>
              <w:jc w:val="right"/>
            </w:pPr>
            <w:r>
              <w:t xml:space="preserve">2.582053</w:t>
            </w:r>
          </w:p>
        </w:tc>
      </w:tr>
      <w:tr>
        <w:tc>
          <w:p>
            <w:pPr>
              <w:pStyle w:val="Compact"/>
              <w:jc w:val="left"/>
            </w:pPr>
            <w:r>
              <w:t xml:space="preserve">traitement_2</w:t>
            </w:r>
          </w:p>
        </w:tc>
        <w:tc>
          <w:p>
            <w:pPr>
              <w:pStyle w:val="Compact"/>
              <w:jc w:val="left"/>
            </w:pPr>
            <w:r>
              <w:t xml:space="preserve">c</w:t>
            </w:r>
          </w:p>
        </w:tc>
        <w:tc>
          <w:p>
            <w:pPr>
              <w:pStyle w:val="Compact"/>
              <w:jc w:val="right"/>
            </w:pPr>
            <w:r>
              <w:t xml:space="preserve">19.818204</w:t>
            </w:r>
          </w:p>
        </w:tc>
        <w:tc>
          <w:p>
            <w:pPr>
              <w:pStyle w:val="Compact"/>
              <w:jc w:val="right"/>
            </w:pPr>
            <w:r>
              <w:t xml:space="preserve">17.944194</w:t>
            </w:r>
          </w:p>
        </w:tc>
      </w:tr>
      <w:tr>
        <w:tc>
          <w:p>
            <w:pPr>
              <w:pStyle w:val="Compact"/>
              <w:jc w:val="left"/>
            </w:pPr>
            <w:r>
              <w:t xml:space="preserve">traitement_2</w:t>
            </w:r>
          </w:p>
        </w:tc>
        <w:tc>
          <w:p>
            <w:pPr>
              <w:pStyle w:val="Compact"/>
              <w:jc w:val="left"/>
            </w:pPr>
            <w:r>
              <w:t xml:space="preserve">d</w:t>
            </w:r>
          </w:p>
        </w:tc>
        <w:tc>
          <w:p>
            <w:pPr>
              <w:pStyle w:val="Compact"/>
              <w:jc w:val="right"/>
            </w:pPr>
            <w:r>
              <w:t xml:space="preserve">15.630140</w:t>
            </w:r>
          </w:p>
        </w:tc>
        <w:tc>
          <w:p>
            <w:pPr>
              <w:pStyle w:val="Compact"/>
              <w:jc w:val="right"/>
            </w:pPr>
            <w:r>
              <w:t xml:space="preserve">15.369269</w:t>
            </w:r>
          </w:p>
        </w:tc>
      </w:tr>
      <w:tr>
        <w:tc>
          <w:p>
            <w:pPr>
              <w:pStyle w:val="Compact"/>
              <w:jc w:val="left"/>
            </w:pPr>
            <w:r>
              <w:t xml:space="preserve">traitement_3</w:t>
            </w:r>
          </w:p>
        </w:tc>
        <w:tc>
          <w:p>
            <w:pPr>
              <w:pStyle w:val="Compact"/>
              <w:jc w:val="left"/>
            </w:pPr>
            <w:r>
              <w:t xml:space="preserve">a</w:t>
            </w:r>
          </w:p>
        </w:tc>
        <w:tc>
          <w:p>
            <w:pPr>
              <w:pStyle w:val="Compact"/>
              <w:jc w:val="right"/>
            </w:pPr>
            <w:r>
              <w:t xml:space="preserve">16.322118</w:t>
            </w:r>
          </w:p>
        </w:tc>
        <w:tc>
          <w:p>
            <w:pPr>
              <w:pStyle w:val="Compact"/>
              <w:jc w:val="right"/>
            </w:pPr>
            <w:r>
              <w:t xml:space="preserve">16.371608</w:t>
            </w:r>
          </w:p>
        </w:tc>
      </w:tr>
      <w:tr>
        <w:tc>
          <w:p>
            <w:pPr>
              <w:pStyle w:val="Compact"/>
              <w:jc w:val="left"/>
            </w:pPr>
            <w:r>
              <w:t xml:space="preserve">traitement_3</w:t>
            </w:r>
          </w:p>
        </w:tc>
        <w:tc>
          <w:p>
            <w:pPr>
              <w:pStyle w:val="Compact"/>
              <w:jc w:val="left"/>
            </w:pPr>
            <w:r>
              <w:t xml:space="preserve">b</w:t>
            </w:r>
          </w:p>
        </w:tc>
        <w:tc>
          <w:p>
            <w:pPr>
              <w:pStyle w:val="Compact"/>
              <w:jc w:val="right"/>
            </w:pPr>
            <w:r>
              <w:t xml:space="preserve">19.659717</w:t>
            </w:r>
          </w:p>
        </w:tc>
        <w:tc>
          <w:p>
            <w:pPr>
              <w:pStyle w:val="Compact"/>
              <w:jc w:val="right"/>
            </w:pPr>
            <w:r>
              <w:t xml:space="preserve">18.497685</w:t>
            </w:r>
          </w:p>
        </w:tc>
      </w:tr>
      <w:tr>
        <w:tc>
          <w:p>
            <w:pPr>
              <w:pStyle w:val="Compact"/>
              <w:jc w:val="left"/>
            </w:pPr>
            <w:r>
              <w:t xml:space="preserve">traitement_3</w:t>
            </w:r>
          </w:p>
        </w:tc>
        <w:tc>
          <w:p>
            <w:pPr>
              <w:pStyle w:val="Compact"/>
              <w:jc w:val="left"/>
            </w:pPr>
            <w:r>
              <w:t xml:space="preserve">c</w:t>
            </w:r>
          </w:p>
        </w:tc>
        <w:tc>
          <w:p>
            <w:pPr>
              <w:pStyle w:val="Compact"/>
              <w:jc w:val="right"/>
            </w:pPr>
            <w:r>
              <w:t xml:space="preserve">15.610039</w:t>
            </w:r>
          </w:p>
        </w:tc>
        <w:tc>
          <w:p>
            <w:pPr>
              <w:pStyle w:val="Compact"/>
              <w:jc w:val="right"/>
            </w:pPr>
            <w:r>
              <w:t xml:space="preserve">15.948767</w:t>
            </w:r>
          </w:p>
        </w:tc>
      </w:tr>
      <w:tr>
        <w:tc>
          <w:p>
            <w:pPr>
              <w:pStyle w:val="Compact"/>
              <w:jc w:val="left"/>
            </w:pPr>
            <w:r>
              <w:t xml:space="preserve">traitement_3</w:t>
            </w:r>
          </w:p>
        </w:tc>
        <w:tc>
          <w:p>
            <w:pPr>
              <w:pStyle w:val="Compact"/>
              <w:jc w:val="left"/>
            </w:pPr>
            <w:r>
              <w:t xml:space="preserve">d</w:t>
            </w:r>
          </w:p>
        </w:tc>
        <w:tc>
          <w:p>
            <w:pPr>
              <w:pStyle w:val="Compact"/>
              <w:jc w:val="right"/>
            </w:pPr>
            <w:r>
              <w:t xml:space="preserve">19.659692</w:t>
            </w:r>
          </w:p>
        </w:tc>
        <w:tc>
          <w:p>
            <w:pPr>
              <w:pStyle w:val="Compact"/>
              <w:jc w:val="right"/>
            </w:pPr>
            <w:r>
              <w:t xml:space="preserve">20.031566</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6.912</w:t>
            </w:r>
          </w:p>
        </w:tc>
        <w:tc>
          <w:p>
            <w:pPr>
              <w:pStyle w:val="Compact"/>
              <w:jc w:val="right"/>
            </w:pPr>
            <w:r>
              <w:t xml:space="preserve">8.713</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13.378</w:t>
            </w:r>
          </w:p>
        </w:tc>
        <w:tc>
          <w:p>
            <w:pPr>
              <w:pStyle w:val="Compact"/>
              <w:jc w:val="right"/>
            </w:pPr>
            <w:r>
              <w:t xml:space="preserve">13.403</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2.975</w:t>
            </w:r>
          </w:p>
        </w:tc>
        <w:tc>
          <w:p>
            <w:pPr>
              <w:pStyle w:val="Compact"/>
              <w:jc w:val="right"/>
            </w:pPr>
            <w:r>
              <w:t xml:space="preserve">2.697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17.664</w:t>
            </w:r>
          </w:p>
        </w:tc>
        <w:tc>
          <w:p>
            <w:pPr>
              <w:pStyle w:val="Compact"/>
              <w:jc w:val="right"/>
            </w:pPr>
            <w:r>
              <w:t xml:space="preserve">17.955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15.612</w:t>
            </w:r>
          </w:p>
        </w:tc>
        <w:tc>
          <w:p>
            <w:pPr>
              <w:pStyle w:val="Compact"/>
              <w:jc w:val="right"/>
            </w:pPr>
            <w:r>
              <w:t xml:space="preserve">15.812</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3.344</w:t>
            </w:r>
          </w:p>
        </w:tc>
        <w:tc>
          <w:p>
            <w:pPr>
              <w:pStyle w:val="Compact"/>
              <w:jc w:val="right"/>
            </w:pPr>
            <w:r>
              <w:t xml:space="preserve">2.582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19.818</w:t>
            </w:r>
          </w:p>
        </w:tc>
        <w:tc>
          <w:p>
            <w:pPr>
              <w:pStyle w:val="Compact"/>
              <w:jc w:val="right"/>
            </w:pPr>
            <w:r>
              <w:t xml:space="preserve">17.944</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15.630</w:t>
            </w:r>
          </w:p>
        </w:tc>
        <w:tc>
          <w:p>
            <w:pPr>
              <w:pStyle w:val="Compact"/>
              <w:jc w:val="right"/>
            </w:pPr>
            <w:r>
              <w:t xml:space="preserve">15.369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16.322</w:t>
            </w:r>
          </w:p>
        </w:tc>
        <w:tc>
          <w:p>
            <w:pPr>
              <w:pStyle w:val="Compact"/>
              <w:jc w:val="right"/>
            </w:pPr>
            <w:r>
              <w:t xml:space="preserve">16.372</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19.660</w:t>
            </w:r>
          </w:p>
        </w:tc>
        <w:tc>
          <w:p>
            <w:pPr>
              <w:pStyle w:val="Compact"/>
              <w:jc w:val="right"/>
            </w:pPr>
            <w:r>
              <w:t xml:space="preserve">18.498</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15.610</w:t>
            </w:r>
          </w:p>
        </w:tc>
        <w:tc>
          <w:p>
            <w:pPr>
              <w:pStyle w:val="Compact"/>
              <w:jc w:val="right"/>
            </w:pPr>
            <w:r>
              <w:t xml:space="preserve">15.949</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19.660</w:t>
            </w:r>
          </w:p>
        </w:tc>
        <w:tc>
          <w:p>
            <w:pPr>
              <w:pStyle w:val="Compact"/>
              <w:jc w:val="right"/>
            </w:pPr>
            <w:r>
              <w:t xml:space="preserve">20.032</w:t>
            </w:r>
          </w:p>
        </w:tc>
      </w:tr>
    </w:tbl>
    <w:p>
      <w:pPr>
        <w:pStyle w:val="BodyText"/>
      </w:pPr>
      <w:r>
        <w:t xml:space="preserve">Pour en apprendre davantage, reportez-vous à la documentation de cette fonction.</w:t>
      </w:r>
      <w:r>
        <w:t xml:space="preserve"> </w:t>
      </w:r>
      <w:r>
        <w:t xml:space="preserve">Le package</w:t>
      </w:r>
      <w:r>
        <w:t xml:space="preserve"> </w:t>
      </w:r>
      <w:hyperlink r:id="rId165">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66" w:name="figures"/>
      <w:r>
        <w:t xml:space="preserve">Figures</w:t>
      </w:r>
      <w:bookmarkEnd w:id="16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et changer le rapport de forme,</w:t>
      </w:r>
      <w:r>
        <w:t xml:space="preserve"> </w:t>
      </w:r>
      <w:r>
        <w:rPr>
          <w:rStyle w:val="VerbatimChar"/>
        </w:rPr>
        <w:t xml:space="preserve">fig.aspect</w:t>
      </w:r>
      <w:r>
        <w:t xml:space="preserve">. 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0.4194157</w:t>
            </w:r>
          </w:p>
        </w:tc>
        <w:tc>
          <w:p>
            <w:pPr>
              <w:pStyle w:val="Compact"/>
              <w:jc w:val="right"/>
            </w:pPr>
            <w:r>
              <w:t xml:space="preserve">0.6856103</w:t>
            </w:r>
          </w:p>
        </w:tc>
        <w:tc>
          <w:p>
            <w:pPr>
              <w:pStyle w:val="Compact"/>
              <w:jc w:val="right"/>
            </w:pPr>
            <w:r>
              <w:t xml:space="preserve">0.6117407</w:t>
            </w:r>
          </w:p>
        </w:tc>
        <w:tc>
          <w:p>
            <w:pPr>
              <w:pStyle w:val="Compact"/>
              <w:jc w:val="right"/>
            </w:pPr>
            <w:r>
              <w:t xml:space="preserve">0.5543617</w:t>
            </w:r>
          </w:p>
        </w:tc>
      </w:tr>
      <w:tr>
        <w:tc>
          <w:p>
            <w:pPr>
              <w:pStyle w:val="Compact"/>
              <w:jc w:val="left"/>
            </w:pPr>
            <w:r>
              <w:t xml:space="preserve">var1</w:t>
            </w:r>
          </w:p>
        </w:tc>
        <w:tc>
          <w:p>
            <w:pPr>
              <w:pStyle w:val="Compact"/>
              <w:jc w:val="right"/>
            </w:pPr>
            <w:r>
              <w:t xml:space="preserve">0.9622227</w:t>
            </w:r>
          </w:p>
        </w:tc>
        <w:tc>
          <w:p>
            <w:pPr>
              <w:pStyle w:val="Compact"/>
              <w:jc w:val="right"/>
            </w:pPr>
            <w:r>
              <w:t xml:space="preserve">0.0455167</w:t>
            </w:r>
          </w:p>
        </w:tc>
        <w:tc>
          <w:p>
            <w:pPr>
              <w:pStyle w:val="Compact"/>
              <w:jc w:val="right"/>
            </w:pPr>
            <w:r>
              <w:t xml:space="preserve">21.1399932</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0.962</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commentaires</w:t>
      </w:r>
      <w:r>
        <w:t xml:space="preserve"> </w:t>
      </w:r>
      <w:r>
        <w:t xml:space="preserve">seront changées de manière adéquate,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Heading1"/>
      </w:pPr>
      <w:bookmarkStart w:id="182" w:name="références-1"/>
      <w:r>
        <w:t xml:space="preserve">Références</w:t>
      </w:r>
      <w:bookmarkEnd w:id="182"/>
    </w:p>
    <w:bookmarkStart w:id="189" w:name="refs"/>
    <w:bookmarkStart w:id="183" w:name="ref-Knauff2014"/>
    <w:p>
      <w:pPr>
        <w:pStyle w:val="Bibliography"/>
      </w:pPr>
      <w:r>
        <w:t xml:space="preserve">Knauff, M., Nejasmic, J., 2014. An Efficiency Comparison of Document Preparation Systems Used in Academic Research and Development. PLoS One 9, e115069.</w:t>
      </w:r>
    </w:p>
    <w:bookmarkEnd w:id="183"/>
    <w:bookmarkStart w:id="184" w:name="ref-Lande1979"/>
    <w:p>
      <w:pPr>
        <w:pStyle w:val="Bibliography"/>
      </w:pPr>
      <w:r>
        <w:t xml:space="preserve">Lande, R., 1979. Quantitative Genetic Analysis of Multivariate Evolution , Applied to Brain : Body Size Allometry Russell Lande. Evolution (N. Y). 33, 402–416.</w:t>
      </w:r>
    </w:p>
    <w:bookmarkEnd w:id="184"/>
    <w:bookmarkStart w:id="185" w:name="ref-Oreskes1994"/>
    <w:p>
      <w:pPr>
        <w:pStyle w:val="Bibliography"/>
      </w:pPr>
      <w:r>
        <w:t xml:space="preserve">Oreskes, N., Shrader-Frechette, K., Belitz, K., 1994. Verification, validation, and confirmation of numerical models in the earth sciences. Science (80-. ). 263, 641–646.</w:t>
      </w:r>
    </w:p>
    <w:bookmarkEnd w:id="185"/>
    <w:bookmarkStart w:id="187" w:name="ref-simpkin_debuter_2020"/>
    <w:p>
      <w:pPr>
        <w:pStyle w:val="Bibliography"/>
      </w:pPr>
      <w:r>
        <w:t xml:space="preserve">Simpkin, S., 2020. Débuter avec Markdown. Programming Historian en français.</w:t>
      </w:r>
      <w:r>
        <w:t xml:space="preserve"> </w:t>
      </w:r>
      <w:hyperlink r:id="rId186">
        <w:r>
          <w:rPr>
            <w:rStyle w:val="Hyperlink"/>
          </w:rPr>
          <w:t xml:space="preserve">https://doi.org/10.46430/phfr0007</w:t>
        </w:r>
      </w:hyperlink>
    </w:p>
    <w:bookmarkEnd w:id="187"/>
    <w:bookmarkStart w:id="188" w:name="ref-xie_dynamic_2017"/>
    <w:p>
      <w:pPr>
        <w:pStyle w:val="Bibliography"/>
      </w:pPr>
      <w:r>
        <w:t xml:space="preserve">Xie, Y., 2017. Dynamic documents with R and knitr. CRC Press, Boca Raton, Florida.</w:t>
      </w:r>
    </w:p>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7" Target="media/rId167.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5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65" Target="https://cran.r-project.org/web/packages/kableExtra/vignettes/awesome_table_in_html.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86"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4"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5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65" Target="https://cran.r-project.org/web/packages/kableExtra/vignettes/awesome_table_in_html.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86"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4"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2021-11-18T15:26:13Z</dcterms:created>
  <dcterms:modified xsi:type="dcterms:W3CDTF">2021-11-18T15:26:13Z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18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