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15:50:28.</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14.8113958</w:t>
            </w:r>
          </w:p>
        </w:tc>
        <w:tc>
          <w:p>
            <w:pPr>
              <w:pStyle w:val="Compact"/>
              <w:jc w:val="right"/>
            </w:pPr>
            <w:r>
              <w:t xml:space="preserve">14.8768726</w:t>
            </w:r>
          </w:p>
        </w:tc>
      </w:tr>
      <w:tr>
        <w:tc>
          <w:p>
            <w:pPr>
              <w:pStyle w:val="Compact"/>
              <w:jc w:val="left"/>
            </w:pPr>
            <w:r>
              <w:t xml:space="preserve">traitement_1</w:t>
            </w:r>
          </w:p>
        </w:tc>
        <w:tc>
          <w:p>
            <w:pPr>
              <w:pStyle w:val="Compact"/>
              <w:jc w:val="left"/>
            </w:pPr>
            <w:r>
              <w:t xml:space="preserve">b</w:t>
            </w:r>
          </w:p>
        </w:tc>
        <w:tc>
          <w:p>
            <w:pPr>
              <w:pStyle w:val="Compact"/>
              <w:jc w:val="right"/>
            </w:pPr>
            <w:r>
              <w:t xml:space="preserve">6.5407021</w:t>
            </w:r>
          </w:p>
        </w:tc>
        <w:tc>
          <w:p>
            <w:pPr>
              <w:pStyle w:val="Compact"/>
              <w:jc w:val="right"/>
            </w:pPr>
            <w:r>
              <w:t xml:space="preserve">6.2903696</w:t>
            </w:r>
          </w:p>
        </w:tc>
      </w:tr>
      <w:tr>
        <w:tc>
          <w:p>
            <w:pPr>
              <w:pStyle w:val="Compact"/>
              <w:jc w:val="left"/>
            </w:pPr>
            <w:r>
              <w:t xml:space="preserve">traitement_1</w:t>
            </w:r>
          </w:p>
        </w:tc>
        <w:tc>
          <w:p>
            <w:pPr>
              <w:pStyle w:val="Compact"/>
              <w:jc w:val="left"/>
            </w:pPr>
            <w:r>
              <w:t xml:space="preserve">c</w:t>
            </w:r>
          </w:p>
        </w:tc>
        <w:tc>
          <w:p>
            <w:pPr>
              <w:pStyle w:val="Compact"/>
              <w:jc w:val="right"/>
            </w:pPr>
            <w:r>
              <w:t xml:space="preserve">16.5934988</w:t>
            </w:r>
          </w:p>
        </w:tc>
        <w:tc>
          <w:p>
            <w:pPr>
              <w:pStyle w:val="Compact"/>
              <w:jc w:val="right"/>
            </w:pPr>
            <w:r>
              <w:t xml:space="preserve">15.5793230</w:t>
            </w:r>
          </w:p>
        </w:tc>
      </w:tr>
      <w:tr>
        <w:tc>
          <w:p>
            <w:pPr>
              <w:pStyle w:val="Compact"/>
              <w:jc w:val="left"/>
            </w:pPr>
            <w:r>
              <w:t xml:space="preserve">traitement_1</w:t>
            </w:r>
          </w:p>
        </w:tc>
        <w:tc>
          <w:p>
            <w:pPr>
              <w:pStyle w:val="Compact"/>
              <w:jc w:val="left"/>
            </w:pPr>
            <w:r>
              <w:t xml:space="preserve">d</w:t>
            </w:r>
          </w:p>
        </w:tc>
        <w:tc>
          <w:p>
            <w:pPr>
              <w:pStyle w:val="Compact"/>
              <w:jc w:val="right"/>
            </w:pPr>
            <w:r>
              <w:t xml:space="preserve">13.6594521</w:t>
            </w:r>
          </w:p>
        </w:tc>
        <w:tc>
          <w:p>
            <w:pPr>
              <w:pStyle w:val="Compact"/>
              <w:jc w:val="right"/>
            </w:pPr>
            <w:r>
              <w:t xml:space="preserve">11.2151218</w:t>
            </w:r>
          </w:p>
        </w:tc>
      </w:tr>
      <w:tr>
        <w:tc>
          <w:p>
            <w:pPr>
              <w:pStyle w:val="Compact"/>
              <w:jc w:val="left"/>
            </w:pPr>
            <w:r>
              <w:t xml:space="preserve">traitement_2</w:t>
            </w:r>
          </w:p>
        </w:tc>
        <w:tc>
          <w:p>
            <w:pPr>
              <w:pStyle w:val="Compact"/>
              <w:jc w:val="left"/>
            </w:pPr>
            <w:r>
              <w:t xml:space="preserve">a</w:t>
            </w:r>
          </w:p>
        </w:tc>
        <w:tc>
          <w:p>
            <w:pPr>
              <w:pStyle w:val="Compact"/>
              <w:jc w:val="right"/>
            </w:pPr>
            <w:r>
              <w:t xml:space="preserve">1.6315292</w:t>
            </w:r>
          </w:p>
        </w:tc>
        <w:tc>
          <w:p>
            <w:pPr>
              <w:pStyle w:val="Compact"/>
              <w:jc w:val="right"/>
            </w:pPr>
            <w:r>
              <w:t xml:space="preserve">1.2425178</w:t>
            </w:r>
          </w:p>
        </w:tc>
      </w:tr>
      <w:tr>
        <w:tc>
          <w:p>
            <w:pPr>
              <w:pStyle w:val="Compact"/>
              <w:jc w:val="left"/>
            </w:pPr>
            <w:r>
              <w:t xml:space="preserve">traitement_2</w:t>
            </w:r>
          </w:p>
        </w:tc>
        <w:tc>
          <w:p>
            <w:pPr>
              <w:pStyle w:val="Compact"/>
              <w:jc w:val="left"/>
            </w:pPr>
            <w:r>
              <w:t xml:space="preserve">b</w:t>
            </w:r>
          </w:p>
        </w:tc>
        <w:tc>
          <w:p>
            <w:pPr>
              <w:pStyle w:val="Compact"/>
              <w:jc w:val="right"/>
            </w:pPr>
            <w:r>
              <w:t xml:space="preserve">5.9242518</w:t>
            </w:r>
          </w:p>
        </w:tc>
        <w:tc>
          <w:p>
            <w:pPr>
              <w:pStyle w:val="Compact"/>
              <w:jc w:val="right"/>
            </w:pPr>
            <w:r>
              <w:t xml:space="preserve">6.9409939</w:t>
            </w:r>
          </w:p>
        </w:tc>
      </w:tr>
      <w:tr>
        <w:tc>
          <w:p>
            <w:pPr>
              <w:pStyle w:val="Compact"/>
              <w:jc w:val="left"/>
            </w:pPr>
            <w:r>
              <w:t xml:space="preserve">traitement_2</w:t>
            </w:r>
          </w:p>
        </w:tc>
        <w:tc>
          <w:p>
            <w:pPr>
              <w:pStyle w:val="Compact"/>
              <w:jc w:val="left"/>
            </w:pPr>
            <w:r>
              <w:t xml:space="preserve">c</w:t>
            </w:r>
          </w:p>
        </w:tc>
        <w:tc>
          <w:p>
            <w:pPr>
              <w:pStyle w:val="Compact"/>
              <w:jc w:val="right"/>
            </w:pPr>
            <w:r>
              <w:t xml:space="preserve">0.2849452</w:t>
            </w:r>
          </w:p>
        </w:tc>
        <w:tc>
          <w:p>
            <w:pPr>
              <w:pStyle w:val="Compact"/>
              <w:jc w:val="right"/>
            </w:pPr>
            <w:r>
              <w:t xml:space="preserve">0.2449840</w:t>
            </w:r>
          </w:p>
        </w:tc>
      </w:tr>
      <w:tr>
        <w:tc>
          <w:p>
            <w:pPr>
              <w:pStyle w:val="Compact"/>
              <w:jc w:val="left"/>
            </w:pPr>
            <w:r>
              <w:t xml:space="preserve">traitement_2</w:t>
            </w:r>
          </w:p>
        </w:tc>
        <w:tc>
          <w:p>
            <w:pPr>
              <w:pStyle w:val="Compact"/>
              <w:jc w:val="left"/>
            </w:pPr>
            <w:r>
              <w:t xml:space="preserve">d</w:t>
            </w:r>
          </w:p>
        </w:tc>
        <w:tc>
          <w:p>
            <w:pPr>
              <w:pStyle w:val="Compact"/>
              <w:jc w:val="right"/>
            </w:pPr>
            <w:r>
              <w:t xml:space="preserve">0.4724285</w:t>
            </w:r>
          </w:p>
        </w:tc>
        <w:tc>
          <w:p>
            <w:pPr>
              <w:pStyle w:val="Compact"/>
              <w:jc w:val="right"/>
            </w:pPr>
            <w:r>
              <w:t xml:space="preserve">-0.4478891</w:t>
            </w:r>
          </w:p>
        </w:tc>
      </w:tr>
      <w:tr>
        <w:tc>
          <w:p>
            <w:pPr>
              <w:pStyle w:val="Compact"/>
              <w:jc w:val="left"/>
            </w:pPr>
            <w:r>
              <w:t xml:space="preserve">traitement_3</w:t>
            </w:r>
          </w:p>
        </w:tc>
        <w:tc>
          <w:p>
            <w:pPr>
              <w:pStyle w:val="Compact"/>
              <w:jc w:val="left"/>
            </w:pPr>
            <w:r>
              <w:t xml:space="preserve">a</w:t>
            </w:r>
          </w:p>
        </w:tc>
        <w:tc>
          <w:p>
            <w:pPr>
              <w:pStyle w:val="Compact"/>
              <w:jc w:val="right"/>
            </w:pPr>
            <w:r>
              <w:t xml:space="preserve">1.0811428</w:t>
            </w:r>
          </w:p>
        </w:tc>
        <w:tc>
          <w:p>
            <w:pPr>
              <w:pStyle w:val="Compact"/>
              <w:jc w:val="right"/>
            </w:pPr>
            <w:r>
              <w:t xml:space="preserve">2.6456939</w:t>
            </w:r>
          </w:p>
        </w:tc>
      </w:tr>
      <w:tr>
        <w:tc>
          <w:p>
            <w:pPr>
              <w:pStyle w:val="Compact"/>
              <w:jc w:val="left"/>
            </w:pPr>
            <w:r>
              <w:t xml:space="preserve">traitement_3</w:t>
            </w:r>
          </w:p>
        </w:tc>
        <w:tc>
          <w:p>
            <w:pPr>
              <w:pStyle w:val="Compact"/>
              <w:jc w:val="left"/>
            </w:pPr>
            <w:r>
              <w:t xml:space="preserve">b</w:t>
            </w:r>
          </w:p>
        </w:tc>
        <w:tc>
          <w:p>
            <w:pPr>
              <w:pStyle w:val="Compact"/>
              <w:jc w:val="right"/>
            </w:pPr>
            <w:r>
              <w:t xml:space="preserve">1.6912836</w:t>
            </w:r>
          </w:p>
        </w:tc>
        <w:tc>
          <w:p>
            <w:pPr>
              <w:pStyle w:val="Compact"/>
              <w:jc w:val="right"/>
            </w:pPr>
            <w:r>
              <w:t xml:space="preserve">2.4307006</w:t>
            </w:r>
          </w:p>
        </w:tc>
      </w:tr>
      <w:tr>
        <w:tc>
          <w:p>
            <w:pPr>
              <w:pStyle w:val="Compact"/>
              <w:jc w:val="left"/>
            </w:pPr>
            <w:r>
              <w:t xml:space="preserve">traitement_3</w:t>
            </w:r>
          </w:p>
        </w:tc>
        <w:tc>
          <w:p>
            <w:pPr>
              <w:pStyle w:val="Compact"/>
              <w:jc w:val="left"/>
            </w:pPr>
            <w:r>
              <w:t xml:space="preserve">c</w:t>
            </w:r>
          </w:p>
        </w:tc>
        <w:tc>
          <w:p>
            <w:pPr>
              <w:pStyle w:val="Compact"/>
              <w:jc w:val="right"/>
            </w:pPr>
            <w:r>
              <w:t xml:space="preserve">19.0464176</w:t>
            </w:r>
          </w:p>
        </w:tc>
        <w:tc>
          <w:p>
            <w:pPr>
              <w:pStyle w:val="Compact"/>
              <w:jc w:val="right"/>
            </w:pPr>
            <w:r>
              <w:t xml:space="preserve">18.6982806</w:t>
            </w:r>
          </w:p>
        </w:tc>
      </w:tr>
      <w:tr>
        <w:tc>
          <w:p>
            <w:pPr>
              <w:pStyle w:val="Compact"/>
              <w:jc w:val="left"/>
            </w:pPr>
            <w:r>
              <w:t xml:space="preserve">traitement_3</w:t>
            </w:r>
          </w:p>
        </w:tc>
        <w:tc>
          <w:p>
            <w:pPr>
              <w:pStyle w:val="Compact"/>
              <w:jc w:val="left"/>
            </w:pPr>
            <w:r>
              <w:t xml:space="preserve">d</w:t>
            </w:r>
          </w:p>
        </w:tc>
        <w:tc>
          <w:p>
            <w:pPr>
              <w:pStyle w:val="Compact"/>
              <w:jc w:val="right"/>
            </w:pPr>
            <w:r>
              <w:t xml:space="preserve">18.1500111</w:t>
            </w:r>
          </w:p>
        </w:tc>
        <w:tc>
          <w:p>
            <w:pPr>
              <w:pStyle w:val="Compact"/>
              <w:jc w:val="right"/>
            </w:pPr>
            <w:r>
              <w:t xml:space="preserve">20.0748409</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14.811</w:t>
            </w:r>
          </w:p>
        </w:tc>
        <w:tc>
          <w:p>
            <w:pPr>
              <w:pStyle w:val="Compact"/>
              <w:jc w:val="right"/>
            </w:pPr>
            <w:r>
              <w:t xml:space="preserve">14.877</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6.541</w:t>
            </w:r>
          </w:p>
        </w:tc>
        <w:tc>
          <w:p>
            <w:pPr>
              <w:pStyle w:val="Compact"/>
              <w:jc w:val="right"/>
            </w:pPr>
            <w:r>
              <w:t xml:space="preserve">6.290</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16.593</w:t>
            </w:r>
          </w:p>
        </w:tc>
        <w:tc>
          <w:p>
            <w:pPr>
              <w:pStyle w:val="Compact"/>
              <w:jc w:val="right"/>
            </w:pPr>
            <w:r>
              <w:t xml:space="preserve">15.579</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13.659</w:t>
            </w:r>
          </w:p>
        </w:tc>
        <w:tc>
          <w:p>
            <w:pPr>
              <w:pStyle w:val="Compact"/>
              <w:jc w:val="right"/>
            </w:pPr>
            <w:r>
              <w:t xml:space="preserve">11.215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1.632</w:t>
            </w:r>
          </w:p>
        </w:tc>
        <w:tc>
          <w:p>
            <w:pPr>
              <w:pStyle w:val="Compact"/>
              <w:jc w:val="right"/>
            </w:pPr>
            <w:r>
              <w:t xml:space="preserve">1.243</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5.924</w:t>
            </w:r>
          </w:p>
        </w:tc>
        <w:tc>
          <w:p>
            <w:pPr>
              <w:pStyle w:val="Compact"/>
              <w:jc w:val="right"/>
            </w:pPr>
            <w:r>
              <w:t xml:space="preserve">6.941</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0.285</w:t>
            </w:r>
          </w:p>
        </w:tc>
        <w:tc>
          <w:p>
            <w:pPr>
              <w:pStyle w:val="Compact"/>
              <w:jc w:val="right"/>
            </w:pPr>
            <w:r>
              <w:t xml:space="preserve">0.245</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0.472</w:t>
            </w:r>
          </w:p>
        </w:tc>
        <w:tc>
          <w:p>
            <w:pPr>
              <w:pStyle w:val="Compact"/>
              <w:jc w:val="right"/>
            </w:pPr>
            <w:r>
              <w:t xml:space="preserve">-0.448</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1.081</w:t>
            </w:r>
          </w:p>
        </w:tc>
        <w:tc>
          <w:p>
            <w:pPr>
              <w:pStyle w:val="Compact"/>
              <w:jc w:val="right"/>
            </w:pPr>
            <w:r>
              <w:t xml:space="preserve">2.646</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1.691</w:t>
            </w:r>
          </w:p>
        </w:tc>
        <w:tc>
          <w:p>
            <w:pPr>
              <w:pStyle w:val="Compact"/>
              <w:jc w:val="right"/>
            </w:pPr>
            <w:r>
              <w:t xml:space="preserve">2.431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19.046</w:t>
            </w:r>
          </w:p>
        </w:tc>
        <w:tc>
          <w:p>
            <w:pPr>
              <w:pStyle w:val="Compact"/>
              <w:jc w:val="right"/>
            </w:pPr>
            <w:r>
              <w:t xml:space="preserve">18.698</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18.150</w:t>
            </w:r>
          </w:p>
        </w:tc>
        <w:tc>
          <w:p>
            <w:pPr>
              <w:pStyle w:val="Compact"/>
              <w:jc w:val="right"/>
            </w:pPr>
            <w:r>
              <w:t xml:space="preserve">20.075</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0.1766494</w:t>
            </w:r>
          </w:p>
        </w:tc>
        <w:tc>
          <w:p>
            <w:pPr>
              <w:pStyle w:val="Compact"/>
              <w:jc w:val="right"/>
            </w:pPr>
            <w:r>
              <w:t xml:space="preserve">0.5501975</w:t>
            </w:r>
          </w:p>
        </w:tc>
        <w:tc>
          <w:p>
            <w:pPr>
              <w:pStyle w:val="Compact"/>
              <w:jc w:val="right"/>
            </w:pPr>
            <w:r>
              <w:t xml:space="preserve">0.3210655</w:t>
            </w:r>
          </w:p>
        </w:tc>
        <w:tc>
          <w:p>
            <w:pPr>
              <w:pStyle w:val="Compact"/>
              <w:jc w:val="right"/>
            </w:pPr>
            <w:r>
              <w:t xml:space="preserve">0.7547702</w:t>
            </w:r>
          </w:p>
        </w:tc>
      </w:tr>
      <w:tr>
        <w:tc>
          <w:p>
            <w:pPr>
              <w:pStyle w:val="Compact"/>
              <w:jc w:val="left"/>
            </w:pPr>
            <w:r>
              <w:t xml:space="preserve">var1</w:t>
            </w:r>
          </w:p>
        </w:tc>
        <w:tc>
          <w:p>
            <w:pPr>
              <w:pStyle w:val="Compact"/>
              <w:jc w:val="right"/>
            </w:pPr>
            <w:r>
              <w:t xml:space="preserve">0.9778245</w:t>
            </w:r>
          </w:p>
        </w:tc>
        <w:tc>
          <w:p>
            <w:pPr>
              <w:pStyle w:val="Compact"/>
              <w:jc w:val="right"/>
            </w:pPr>
            <w:r>
              <w:t xml:space="preserve">0.0499087</w:t>
            </w:r>
          </w:p>
        </w:tc>
        <w:tc>
          <w:p>
            <w:pPr>
              <w:pStyle w:val="Compact"/>
              <w:jc w:val="right"/>
            </w:pPr>
            <w:r>
              <w:t xml:space="preserve">19.5922689</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0.978</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2021-12-08T15:50:31Z</dcterms:created>
  <dcterms:modified xsi:type="dcterms:W3CDTF">2021-12-08T15:50:31Z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