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(Poisot et al. 2016c; Delmas et al. 2018)</w:t>
      </w:r>
      <w:r>
        <w:t xml:space="preserve">, and recently there has</w:t>
      </w:r>
      <w:r>
        <w:t xml:space="preserve"> </w:t>
      </w:r>
      <w:r>
        <w:t xml:space="preserve">been an explosion of interest in their dynamics across large temporal scales</w:t>
      </w:r>
      <w:r>
        <w:t xml:space="preserve"> </w:t>
      </w:r>
      <w:r>
        <w:t xml:space="preserve">(Tylianakis &amp; Morris 2017; Baiser et al. 2019)</w:t>
      </w:r>
      <w:r>
        <w:t xml:space="preserve">, especially alongside environmental gradients</w:t>
      </w:r>
      <w:r>
        <w:t xml:space="preserve"> </w:t>
      </w:r>
      <w:r>
        <w:t xml:space="preserve">(Trøjelsgaard &amp; Olesen 2016; Pellissier et al. 2017)</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(Strong &amp; Leroux 2014; Magrach et al. 2017)</w:t>
      </w:r>
      <w:r>
        <w:t xml:space="preserve">, or</w:t>
      </w:r>
      <w:r>
        <w:t xml:space="preserve"> </w:t>
      </w:r>
      <w:r>
        <w:t xml:space="preserve">adopt entirely novel configurations</w:t>
      </w:r>
      <w:r>
        <w:t xml:space="preserve"> </w:t>
      </w:r>
      <w:r>
        <w:t xml:space="preserve">(Guiden et al. 2019; Hui &amp; Richardson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&amp;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et al. (2016b)</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et al. (2016a)</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biomes</w:t>
      </w:r>
    </w:p>
    <w:bookmarkEnd w:id="0"/>
    <w:p>
      <w:pPr>
        <w:pStyle w:val="Heading2"/>
      </w:pPr>
      <w:bookmarkStart w:id="30" w:name="X426dc6cd24051e86a006c4eeabf7bfe3ca52f50"/>
      <w:r>
        <w:t xml:space="preserve">Some locations on Earth have no climate analogue</w:t>
      </w:r>
      <w:bookmarkEnd w:id="30"/>
    </w:p>
    <w:p>
      <w:pPr>
        <w:pStyle w:val="FirstParagraph"/>
      </w:pPr>
      <w:r>
        <w:t xml:space="preserve">Climate analogue</w:t>
      </w:r>
    </w:p>
    <w:bookmarkStart w:id="0" w:name="fig:analog"/>
    <w:p>
      <w:pPr>
        <w:pStyle w:val="CaptionedFigure"/>
      </w:pPr>
      <w:bookmarkStart w:id="32"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tk</w:t>
      </w:r>
    </w:p>
    <w:bookmarkEnd w:id="0"/>
    <w:p>
      <w:pPr>
        <w:pStyle w:val="Heading2"/>
      </w:pPr>
      <w:bookmarkStart w:id="33" w:name="X1fc600bfc69b05c755ee73f2d8c46d23425d14b"/>
      <w:r>
        <w:t xml:space="preserve">Mutualistic networks are biased towards more unique environments</w:t>
      </w:r>
      <w:bookmarkEnd w:id="33"/>
    </w:p>
    <w:bookmarkStart w:id="0" w:name="fig:ecc"/>
    <w:p>
      <w:pPr>
        <w:pStyle w:val="CaptionedFigure"/>
      </w:pPr>
      <w:bookmarkStart w:id="35"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1"/>
      </w:pPr>
      <w:bookmarkStart w:id="36" w:name="conclusions"/>
      <w:r>
        <w:t xml:space="preserve">Conclusions</w:t>
      </w:r>
      <w:bookmarkEnd w:id="36"/>
    </w:p>
    <w:p>
      <w:pPr>
        <w:pStyle w:val="FirstParagraph"/>
      </w:pPr>
      <w:r>
        <w:t xml:space="preserve">This means that we have surprisingly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 climate change.</w:t>
      </w:r>
    </w:p>
    <w:p>
      <w:pPr>
        <w:pStyle w:val="Heading2"/>
      </w:pPr>
      <w:bookmarkStart w:id="37" w:name="reducing-uncertainty-through-analogues"/>
      <w:r>
        <w:t xml:space="preserve">reducing uncertainty through</w:t>
      </w:r>
      <w:r>
        <w:t xml:space="preserve"> </w:t>
      </w:r>
      <w:r>
        <w:t xml:space="preserve">‘</w:t>
      </w:r>
      <w:r>
        <w:t xml:space="preserve">analogues</w:t>
      </w:r>
      <w:r>
        <w:t xml:space="preserve">’</w:t>
      </w:r>
      <w:bookmarkEnd w:id="37"/>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38" w:name="future-of-network-ecology"/>
      <w:r>
        <w:t xml:space="preserve">Future of network ecology</w:t>
      </w:r>
      <w:bookmarkEnd w:id="38"/>
    </w:p>
    <w:p>
      <w:pPr>
        <w:pStyle w:val="FirstParagraph"/>
      </w:pPr>
      <w:r>
        <w:t xml:space="preserve">Use this spatial gaps for sampling recommendations</w:t>
      </w:r>
    </w:p>
    <w:p>
      <w:pPr>
        <w:pStyle w:val="Heading2"/>
      </w:pPr>
      <w:bookmarkStart w:id="39" w:name="more-complete-analyses"/>
      <w:r>
        <w:t xml:space="preserve">more complete analyses</w:t>
      </w:r>
      <w:bookmarkEnd w:id="39"/>
    </w:p>
    <w:p>
      <w:pPr>
        <w:pStyle w:val="FirstParagraph"/>
      </w:pPr>
      <w:r>
        <w:t xml:space="preserve">We have only shown some high-level summaries of the data here; many possibilities remain.</w:t>
      </w:r>
    </w:p>
    <w:p>
      <w:pPr>
        <w:pStyle w:val="Heading2"/>
      </w:pPr>
      <w:bookmarkStart w:id="40" w:name="more-data-collection"/>
      <w:r>
        <w:t xml:space="preserve">more data collection</w:t>
      </w:r>
      <w:bookmarkEnd w:id="40"/>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1" w:name="active-development-and-data-contribution"/>
      <w:r>
        <w:t xml:space="preserve">Active development and data contribution</w:t>
      </w:r>
      <w:bookmarkEnd w:id="41"/>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2" w:name="X13b7d43b9824789cdf20ab575c4c90562dda3e9"/>
      <w:r>
        <w:t xml:space="preserve">Data quality: sampling effort and taxonomy</w:t>
      </w:r>
      <w:bookmarkEnd w:id="42"/>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3" w:name="references"/>
      <w:r>
        <w:t xml:space="preserve">References</w:t>
      </w:r>
      <w:bookmarkEnd w:id="43"/>
    </w:p>
    <w:bookmarkStart w:id="86" w:name="refs"/>
    <w:bookmarkStart w:id="44"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4"/>
    <w:bookmarkStart w:id="45"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5"/>
    <w:bookmarkStart w:id="46"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6"/>
    <w:bookmarkStart w:id="47"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7"/>
    <w:bookmarkStart w:id="48"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8"/>
    <w:bookmarkStart w:id="49"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9"/>
    <w:bookmarkStart w:id="50"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50"/>
    <w:bookmarkStart w:id="51"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1"/>
    <w:bookmarkStart w:id="52"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2"/>
    <w:bookmarkStart w:id="53"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3"/>
    <w:bookmarkStart w:id="54"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4"/>
    <w:bookmarkStart w:id="55"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5"/>
    <w:bookmarkStart w:id="56"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6"/>
    <w:bookmarkStart w:id="57"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7"/>
    <w:bookmarkStart w:id="58"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8"/>
    <w:bookmarkStart w:id="59"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59"/>
    <w:bookmarkStart w:id="60"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0"/>
    <w:bookmarkStart w:id="61"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1"/>
    <w:bookmarkStart w:id="62"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2"/>
    <w:bookmarkStart w:id="63"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3"/>
    <w:bookmarkStart w:id="64"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4"/>
    <w:bookmarkStart w:id="65"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5"/>
    <w:bookmarkStart w:id="66"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66"/>
    <w:bookmarkStart w:id="67"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67"/>
    <w:bookmarkStart w:id="68"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68"/>
    <w:bookmarkStart w:id="69"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69"/>
    <w:bookmarkStart w:id="70"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0"/>
    <w:bookmarkStart w:id="71"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1"/>
    <w:bookmarkStart w:id="72"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2"/>
    <w:bookmarkStart w:id="73"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3"/>
    <w:bookmarkStart w:id="74"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4"/>
    <w:bookmarkStart w:id="75"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75"/>
    <w:bookmarkStart w:id="76"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76"/>
    <w:bookmarkStart w:id="77"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77"/>
    <w:bookmarkStart w:id="78"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78"/>
    <w:bookmarkStart w:id="79"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79"/>
    <w:bookmarkStart w:id="80"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0"/>
    <w:bookmarkStart w:id="81"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1"/>
    <w:bookmarkStart w:id="82"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2"/>
    <w:bookmarkStart w:id="83"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3"/>
    <w:bookmarkStart w:id="84"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4"/>
    <w:bookmarkStart w:id="85"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2019-07-19T15:44:45Z</dcterms:created>
  <dcterms:modified xsi:type="dcterms:W3CDTF">2019-07-19T15:44:45Z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