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(Hui and Richardson 2019; Guiden et al. 2019)</w:t>
      </w:r>
    </w:p>
    <w:p>
      <w:pPr>
        <w:pStyle w:val="BodyText"/>
      </w:pPr>
      <w:r>
        <w:t xml:space="preserve">This renewed interest in ecological network has prompted several</w:t>
      </w:r>
      <w:r>
        <w:t xml:space="preserve"> </w:t>
      </w:r>
      <w:r>
        <w:t xml:space="preserve">efforts. First, an expansion of the analytical tools to study ecological</w:t>
      </w:r>
      <w:r>
        <w:t xml:space="preserve"> </w:t>
      </w:r>
      <w:r>
        <w:t xml:space="preserve">networks and their variation in space (</w:t>
      </w:r>
      <w:r>
        <w:rPr>
          <w:b/>
        </w:rPr>
        <w:t xml:space="preserve">REFS</w:t>
      </w:r>
      <w:r>
        <w:t xml:space="preserve">). Second, improvements in</w:t>
      </w:r>
      <w:r>
        <w:t xml:space="preserve"> </w:t>
      </w:r>
      <w:r>
        <w:t xml:space="preserve">large-scale data-collection, through increased adoption of molecular biology</w:t>
      </w:r>
      <w:r>
        <w:t xml:space="preserve"> </w:t>
      </w:r>
      <w:r>
        <w:t xml:space="preserve">tools (</w:t>
      </w:r>
      <w:r>
        <w:rPr>
          <w:b/>
        </w:rPr>
        <w:t xml:space="preserve">REFS</w:t>
      </w:r>
      <w:r>
        <w:t xml:space="preserve">) and crowd-sourcing of data collection (</w:t>
      </w:r>
      <w:r>
        <w:rPr>
          <w:b/>
        </w:rPr>
        <w:t xml:space="preserve">REFS</w:t>
      </w:r>
      <w:r>
        <w:t xml:space="preserve">). Finally,</w:t>
      </w:r>
      <w:r>
        <w:t xml:space="preserve"> </w:t>
      </w:r>
      <w:r>
        <w:t xml:space="preserve">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 on existing species</w:t>
      </w:r>
      <w:r>
        <w:t xml:space="preserve"> </w:t>
      </w:r>
      <w:r>
        <w:t xml:space="preserve">interactions, species traits, network properties, and environmental conditions</w:t>
      </w:r>
      <w:r>
        <w:t xml:space="preserve"> </w:t>
      </w:r>
      <w:r>
        <w:t xml:space="preserve">(</w:t>
      </w:r>
      <w:r>
        <w:rPr>
          <w:b/>
        </w:rPr>
        <w:t xml:space="preserve">REFS</w:t>
      </w:r>
      <w:r>
        <w:t xml:space="preserve"> </w:t>
      </w:r>
      <w:r>
        <w:t xml:space="preserve">Stock, Desjardins-Proulx, Bartomeus, Pomeranz, Gravel allometric,</w:t>
      </w:r>
      <w:r>
        <w:t xml:space="preserve"> </w:t>
      </w:r>
      <w:r>
        <w:t xml:space="preserve">Gravel salix).</w:t>
      </w:r>
    </w:p>
    <w:p>
      <w:pPr>
        <w:pStyle w:val="BodyText"/>
      </w:pPr>
      <w:r>
        <w:t xml:space="preserve">All of these developments share a nexus on data management: novel quantitative</w:t>
      </w:r>
      <w:r>
        <w:t xml:space="preserve"> </w:t>
      </w:r>
      <w:r>
        <w:t xml:space="preserve">tools demand a higher volume of network data; novel collection techniques</w:t>
      </w:r>
      <w:r>
        <w:t xml:space="preserve"> </w:t>
      </w:r>
      <w:r>
        <w:t xml:space="preserve">demand powerful data repositories; novel inference tools demand easier</w:t>
      </w:r>
      <w:r>
        <w:t xml:space="preserve"> </w:t>
      </w:r>
      <w:r>
        <w:t xml:space="preserve">integration between different types of data, including but not limited to</w:t>
      </w:r>
      <w:r>
        <w:t xml:space="preserve"> </w:t>
      </w:r>
      <w:r>
        <w:t xml:space="preserve">interactions, species traits, taxonomy, occurrences, and local bioclimatic</w:t>
      </w:r>
      <w:r>
        <w:t xml:space="preserve"> </w:t>
      </w:r>
      <w:r>
        <w:t xml:space="preserve">conditions.</w:t>
      </w:r>
    </w:p>
    <w:p>
      <w:pPr>
        <w:pStyle w:val="Heading2"/>
      </w:pPr>
      <w:bookmarkStart w:id="21" w:name="X2e91a7fe948949be934c5cf86dad5a5b7fc9f7a"/>
      <w:r>
        <w:t xml:space="preserve">The need for an integrated networks database</w:t>
      </w:r>
      <w:bookmarkEnd w:id="21"/>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1"/>
          <w:ilvl w:val="0"/>
        </w:numPr>
      </w:pPr>
      <w:r>
        <w:t xml:space="preserve">An earlier manuscript (Poisot et al 2015 [tk]) described Mangal as an online platform allowing ecologists to share data about ecological networks</w:t>
      </w:r>
    </w:p>
    <w:p>
      <w:pPr>
        <w:pStyle w:val="Compact"/>
        <w:numPr>
          <w:numId w:val="1001"/>
          <w:ilvl w:val="0"/>
        </w:numPr>
      </w:pPr>
      <w:r>
        <w:t xml:space="preserve">New technical improvements include: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numPr>
          <w:numId w:val="1002"/>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2"/>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2"/>
      </w:pPr>
      <w:bookmarkStart w:id="22" w:name="X1e29c02d14fda164b31a3724d3feee87a2a4454"/>
      <w:r>
        <w:t xml:space="preserve">Synthesis on ecological networks is rising</w:t>
      </w:r>
      <w:bookmarkEnd w:id="22"/>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6"/>
          <w:ilvl w:val="0"/>
        </w:numPr>
      </w:pPr>
      <w:r>
        <w:t xml:space="preserve">Communities may be similar in at least two ways – close in space, or close in climate</w:t>
      </w:r>
    </w:p>
    <w:p>
      <w:pPr>
        <w:pStyle w:val="Compact"/>
        <w:numPr>
          <w:numId w:val="1006"/>
          <w:ilvl w:val="0"/>
        </w:numPr>
      </w:pPr>
      <w:r>
        <w:t xml:space="preserve">similarity may result in some (?) similarity in network structure, even if species different.</w:t>
      </w:r>
    </w:p>
    <w:p>
      <w:pPr>
        <w:pStyle w:val="Compact"/>
        <w:numPr>
          <w:numId w:val="1006"/>
          <w:ilvl w:val="0"/>
        </w:numPr>
      </w:pPr>
      <w:r>
        <w:t xml:space="preserve">Always some uncertainty in such comparisons</w:t>
      </w:r>
    </w:p>
    <w:p>
      <w:pPr>
        <w:pStyle w:val="Compact"/>
        <w:numPr>
          <w:numId w:val="1006"/>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76"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55">
        <w:r>
          <w:rPr>
            <w:rStyle w:val="Hyperlink"/>
          </w:rPr>
          <w:t xml:space="preserve">https://doi.org/10.1111/brv.12433</w:t>
        </w:r>
      </w:hyperlink>
      <w:r>
        <w:t xml:space="preserve">.</w:t>
      </w:r>
    </w:p>
    <w:bookmarkEnd w:id="56"/>
    <w:bookmarkStart w:id="58"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57">
        <w:r>
          <w:rPr>
            <w:rStyle w:val="Hyperlink"/>
          </w:rPr>
          <w:t xml:space="preserve">https://doi.org/10.1016/j.tree.2019.02.017</w:t>
        </w:r>
      </w:hyperlink>
      <w:r>
        <w:t xml:space="preserve">.</w:t>
      </w:r>
    </w:p>
    <w:bookmarkEnd w:id="58"/>
    <w:bookmarkStart w:id="60"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59">
        <w:r>
          <w:rPr>
            <w:rStyle w:val="Hyperlink"/>
          </w:rPr>
          <w:t xml:space="preserve">https://doi.org/10.1016/j.tree.2018.11.003</w:t>
        </w:r>
      </w:hyperlink>
      <w:r>
        <w:t xml:space="preserve">.</w:t>
      </w:r>
    </w:p>
    <w:bookmarkEnd w:id="60"/>
    <w:bookmarkStart w:id="61"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61"/>
    <w:bookmarkStart w:id="63"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62">
        <w:r>
          <w:rPr>
            <w:rStyle w:val="Hyperlink"/>
          </w:rPr>
          <w:t xml:space="preserve">https://doi.org/10.1111/brv.12366</w:t>
        </w:r>
      </w:hyperlink>
      <w:r>
        <w:t xml:space="preserve">.</w:t>
      </w:r>
    </w:p>
    <w:bookmarkEnd w:id="63"/>
    <w:bookmarkStart w:id="65"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64">
        <w:r>
          <w:rPr>
            <w:rStyle w:val="Hyperlink"/>
          </w:rPr>
          <w:t xml:space="preserve">https://doi.org/10.1111/ecog.00976</w:t>
        </w:r>
      </w:hyperlink>
      <w:r>
        <w:t xml:space="preserve">.</w:t>
      </w:r>
    </w:p>
    <w:bookmarkEnd w:id="65"/>
    <w:bookmarkStart w:id="67"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66">
        <w:r>
          <w:rPr>
            <w:rStyle w:val="Hyperlink"/>
          </w:rPr>
          <w:t xml:space="preserve">https://doi.org/10.1111/1365-2435.12799</w:t>
        </w:r>
      </w:hyperlink>
      <w:r>
        <w:t xml:space="preserve">.</w:t>
      </w:r>
    </w:p>
    <w:bookmarkEnd w:id="67"/>
    <w:bookmarkStart w:id="69"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8">
        <w:r>
          <w:rPr>
            <w:rStyle w:val="Hyperlink"/>
          </w:rPr>
          <w:t xml:space="preserve">https://doi.org/10.1038/s41559-017-0162</w:t>
        </w:r>
      </w:hyperlink>
      <w:r>
        <w:t xml:space="preserve">.</w:t>
      </w:r>
    </w:p>
    <w:bookmarkEnd w:id="69"/>
    <w:bookmarkStart w:id="71"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70">
        <w:r>
          <w:rPr>
            <w:rStyle w:val="Hyperlink"/>
          </w:rPr>
          <w:t xml:space="preserve">https://doi.org/10.1111/1365-2435.12710</w:t>
        </w:r>
      </w:hyperlink>
      <w:r>
        <w:t xml:space="preserve">.</w:t>
      </w:r>
    </w:p>
    <w:bookmarkEnd w:id="71"/>
    <w:bookmarkStart w:id="73"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72">
        <w:r>
          <w:rPr>
            <w:rStyle w:val="Hyperlink"/>
          </w:rPr>
          <w:t xml:space="preserve">https://doi.org/10.1146/annurev-ecolsys-110316-022821</w:t>
        </w:r>
      </w:hyperlink>
      <w:r>
        <w:t xml:space="preserve">.</w:t>
      </w:r>
    </w:p>
    <w:bookmarkEnd w:id="73"/>
    <w:bookmarkStart w:id="75"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74">
        <w:r>
          <w:rPr>
            <w:rStyle w:val="Hyperlink"/>
          </w:rPr>
          <w:t xml:space="preserve">https://www.jstor.org/stable/4353649</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2019-07-17T12:49:16Z</dcterms:created>
  <dcterms:modified xsi:type="dcterms:W3CDTF">2019-07-17T12:49:16Z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