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Mora et al. (2018)</w:t>
      </w:r>
    </w:p>
    <w:p>
      <w:pPr>
        <w:pStyle w:val="BodyText"/>
      </w:pPr>
      <w:r>
        <w:t xml:space="preserve">Dalla Riva &amp; Stouffer (2015)</w:t>
      </w:r>
    </w:p>
    <w:p>
      <w:pPr>
        <w:pStyle w:val="BodyText"/>
      </w:pPr>
      <w:r>
        <w:t xml:space="preserve">Dallas &amp; Poisot (2017)</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2019-10-07T13:09:11Z</dcterms:created>
  <dcterms:modified xsi:type="dcterms:W3CDTF">2019-10-07T13:09:11Z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