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and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99" w:name="refs"/>
    <w:bookmarkStart w:id="46"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5">
        <w:r>
          <w:rPr>
            <w:rStyle w:val="Hyperlink"/>
          </w:rPr>
          <w:t xml:space="preserve">https://doi.org/10.1111/gcb.12467</w:t>
        </w:r>
      </w:hyperlink>
      <w:r>
        <w:t xml:space="preserve">.</w:t>
      </w:r>
    </w:p>
    <w:bookmarkEnd w:id="46"/>
    <w:bookmarkStart w:id="48"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7">
        <w:r>
          <w:rPr>
            <w:rStyle w:val="Hyperlink"/>
          </w:rPr>
          <w:t xml:space="preserve">https://doi.org/10.1111/geb.12925</w:t>
        </w:r>
      </w:hyperlink>
      <w:r>
        <w:t xml:space="preserve">.</w:t>
      </w:r>
    </w:p>
    <w:bookmarkEnd w:id="48"/>
    <w:bookmarkStart w:id="50"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49">
        <w:r>
          <w:rPr>
            <w:rStyle w:val="Hyperlink"/>
          </w:rPr>
          <w:t xml:space="preserve">https://doi.org/10.1111/1365-2435.12666</w:t>
        </w:r>
      </w:hyperlink>
      <w:r>
        <w:t xml:space="preserve">.</w:t>
      </w:r>
    </w:p>
    <w:bookmarkEnd w:id="50"/>
    <w:bookmarkStart w:id="51"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1"/>
    <w:bookmarkStart w:id="53"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2">
        <w:r>
          <w:rPr>
            <w:rStyle w:val="Hyperlink"/>
          </w:rPr>
          <w:t xml:space="preserve">https://doi.org/10.1016/j.ecolmodel.2014.02.019</w:t>
        </w:r>
      </w:hyperlink>
      <w:r>
        <w:t xml:space="preserve">.</w:t>
      </w:r>
    </w:p>
    <w:bookmarkEnd w:id="53"/>
    <w:bookmarkStart w:id="55"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4">
        <w:r>
          <w:rPr>
            <w:rStyle w:val="Hyperlink"/>
          </w:rPr>
          <w:t xml:space="preserve">https://doi.org/10.1111/1365-2435.12943</w:t>
        </w:r>
      </w:hyperlink>
      <w:r>
        <w:t xml:space="preserve">.</w:t>
      </w:r>
    </w:p>
    <w:bookmarkEnd w:id="55"/>
    <w:bookmarkStart w:id="57" w:name="ref-Brun10"/>
    <w:p>
      <w:pPr>
        <w:pStyle w:val="Bibliography"/>
      </w:pPr>
      <w:r>
        <w:t xml:space="preserve">Bruna, Emilio M. 2010. “Scientific Journals Can Advance Tropical Biology and Conservation by Requiring Data Archiving.”</w:t>
      </w:r>
      <w:r>
        <w:t xml:space="preserve"> </w:t>
      </w:r>
      <w:r>
        <w:rPr>
          <w:i/>
        </w:rPr>
        <w:t xml:space="preserve">Biotropica</w:t>
      </w:r>
      <w:r>
        <w:t xml:space="preserve"> </w:t>
      </w:r>
      <w:r>
        <w:t xml:space="preserve">42 (4): 399–401.</w:t>
      </w:r>
      <w:r>
        <w:t xml:space="preserve"> </w:t>
      </w:r>
      <w:hyperlink r:id="rId56">
        <w:r>
          <w:rPr>
            <w:rStyle w:val="Hyperlink"/>
          </w:rPr>
          <w:t xml:space="preserve">https://doi.org/10.1111/j.1744-7429.2010.00652.x</w:t>
        </w:r>
      </w:hyperlink>
      <w:r>
        <w:t xml:space="preserve">.</w:t>
      </w:r>
    </w:p>
    <w:bookmarkEnd w:id="57"/>
    <w:bookmarkStart w:id="59" w:name="ref-CollRam08"/>
    <w:p>
      <w:pPr>
        <w:pStyle w:val="Bibliography"/>
      </w:pPr>
      <w:r>
        <w:t xml:space="preserve">Collen, Ben, Mala Ram, Tara Zamin, and Louise McRae. 2008. “The Tropical Biodiversity Data Gap: Addressing Disparity in Global Monitoring.”</w:t>
      </w:r>
      <w:r>
        <w:t xml:space="preserve"> </w:t>
      </w:r>
      <w:r>
        <w:rPr>
          <w:i/>
        </w:rPr>
        <w:t xml:space="preserve">Tropical Conservation Science</w:t>
      </w:r>
      <w:r>
        <w:t xml:space="preserve"> </w:t>
      </w:r>
      <w:r>
        <w:t xml:space="preserve">1 (2): 75–88.</w:t>
      </w:r>
      <w:r>
        <w:t xml:space="preserve"> </w:t>
      </w:r>
      <w:hyperlink r:id="rId58">
        <w:r>
          <w:rPr>
            <w:rStyle w:val="Hyperlink"/>
          </w:rPr>
          <w:t xml:space="preserve">https://doi.org/10.1177/194008290800100202</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5" w:name="ref-MautParr13"/>
    <w:p>
      <w:pPr>
        <w:pStyle w:val="Bibliography"/>
      </w:pPr>
      <w:r>
        <w:t xml:space="preserve">Mauthner, Natasha Susan, and Odette Parry. 2013. “Open Access Digital Data Sharing: Principles, Policies and Practices.”</w:t>
      </w:r>
      <w:r>
        <w:t xml:space="preserve"> </w:t>
      </w:r>
      <w:r>
        <w:rPr>
          <w:i/>
        </w:rPr>
        <w:t xml:space="preserve">Social Epistemology</w:t>
      </w:r>
      <w:r>
        <w:t xml:space="preserve"> </w:t>
      </w:r>
      <w:r>
        <w:t xml:space="preserve">27 (1): 47–67.</w:t>
      </w:r>
      <w:r>
        <w:t xml:space="preserve"> </w:t>
      </w:r>
      <w:hyperlink r:id="rId74">
        <w:r>
          <w:rPr>
            <w:rStyle w:val="Hyperlink"/>
          </w:rPr>
          <w:t xml:space="preserve">https://doi.org/10.1080/02691728.2012.760663</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2019-07-18T19:53:41Z</dcterms:created>
  <dcterms:modified xsi:type="dcterms:W3CDTF">2019-07-18T19:53:41Z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