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spacing w:before="0" w:after="80"/>
        <w:jc w:val="left"/>
        <w:rPr/>
      </w:pPr>
    </w:p>
    <w:p>
      <w:pPr>
        <w:spacing w:before="0" w:after="80"/>
        <w:jc w:val="left"/>
        <w:rPr/>
      </w:pPr>
    </w:p>
    <w:p>
      <w:pPr>
        <w:spacing w:before="0" w:after="80"/>
        <w:jc w:val="left"/>
        <w:rPr/>
      </w:pPr>
    </w:p>
    <w:p>
      <w:pPr>
        <w:spacing w:before="0" w:after="80"/>
        <w:jc w:val="left"/>
        <w:rPr/>
      </w:pPr>
    </w:p>
    <w:p>
      <w:pPr>
        <w:spacing w:before="0" w:after="160"/>
        <w:jc w:val="center"/>
        <w:rPr/>
      </w:pPr>
      <w:r>
        <w:rPr>
          <w:rFonts w:ascii="微软雅黑" w:hAnsi="微软雅黑" w:eastAsia="微软雅黑"/>
          <w:b/>
          <w:i w:val="false"/>
          <w:color w:val="1F497D"/>
          <w:sz w:val="56"/>
        </w:rPr>
        <w:t>跨境月度经营分析报告</w:t>
      </w:r>
    </w:p>
    <w:p>
      <w:pPr>
        <w:spacing w:before="0" w:after="120"/>
        <w:jc w:val="center"/>
        <w:rPr/>
      </w:pPr>
      <w:r>
        <w:rPr>
          <w:rFonts w:ascii="微软雅黑" w:hAnsi="微软雅黑" w:eastAsia="微软雅黑"/>
          <w:b w:val="false"/>
          <w:i w:val="false"/>
          <w:color w:val="2E74B5"/>
          <w:sz w:val="28"/>
        </w:rPr>
        <w:t>[</w:t>
      </w:r>
      <w:r>
        <w:rPr>
          <w:rFonts w:hint="eastAsia" w:ascii="微软雅黑" w:hAnsi="微软雅黑" w:eastAsia="微软雅黑"/>
          <w:b w:val="false"/>
          <w:i w:val="false"/>
          <w:color w:val="2E74B5"/>
          <w:sz w:val="28"/>
        </w:rPr>
        <w:t>2</w:t>
      </w:r>
      <w:r>
        <w:rPr>
          <w:rFonts w:hint="eastAsia" w:ascii="微软雅黑" w:hAnsi="微软雅黑" w:eastAsia="微软雅黑"/>
          <w:b w:val="false"/>
          <w:i w:val="false"/>
          <w:color w:val="2E74B5"/>
          <w:sz w:val="28"/>
        </w:rPr>
        <w:t>0</w:t>
      </w:r>
      <w:r>
        <w:rPr>
          <w:rFonts w:hint="eastAsia" w:ascii="微软雅黑" w:hAnsi="微软雅黑" w:eastAsia="微软雅黑"/>
          <w:b w:val="false"/>
          <w:i w:val="false"/>
          <w:color w:val="2E74B5"/>
          <w:sz w:val="28"/>
        </w:rPr>
        <w:t>2</w:t>
      </w:r>
      <w:r>
        <w:rPr>
          <w:rFonts w:hint="eastAsia" w:ascii="微软雅黑" w:hAnsi="微软雅黑" w:eastAsia="微软雅黑"/>
          <w:b w:val="false"/>
          <w:i w:val="false"/>
          <w:color w:val="2E74B5"/>
          <w:sz w:val="28"/>
        </w:rPr>
        <w:t>6</w:t>
      </w:r>
      <w:r>
        <w:rPr>
          <w:rFonts w:hint="eastAsia" w:ascii="微软雅黑" w:hAnsi="微软雅黑" w:eastAsia="微软雅黑"/>
          <w:b w:val="false"/>
          <w:i w:val="false"/>
          <w:color w:val="2E74B5"/>
          <w:sz w:val="28"/>
        </w:rPr>
        <w:t xml:space="preserve"> 年</w:t>
      </w:r>
      <w:r>
        <w:rPr>
          <w:rFonts w:hint="eastAsia" w:ascii="微软雅黑" w:hAnsi="微软雅黑" w:eastAsia="微软雅黑"/>
          <w:b w:val="false"/>
          <w:i w:val="false"/>
          <w:color w:val="2E74B5"/>
          <w:sz w:val="28"/>
        </w:rPr>
        <w:t xml:space="preserve"> 3</w:t>
      </w:r>
      <w:r>
        <w:rPr>
          <w:rFonts w:hint="eastAsia" w:ascii="微软雅黑" w:hAnsi="微软雅黑" w:eastAsia="微软雅黑"/>
          <w:b w:val="false"/>
          <w:i w:val="false"/>
          <w:color w:val="2E74B5"/>
          <w:sz w:val="28"/>
        </w:rPr>
        <w:t xml:space="preserve"> 月</w:t>
      </w:r>
      <w:r>
        <w:rPr>
          <w:rFonts w:ascii="微软雅黑" w:hAnsi="微软雅黑" w:eastAsia="微软雅黑"/>
          <w:b w:val="false"/>
          <w:i w:val="false"/>
          <w:color w:val="2E74B5"/>
          <w:sz w:val="28"/>
        </w:rPr>
        <w:t>]  |  集团汇报</w:t>
      </w:r>
    </w:p>
    <w:p>
      <w:pPr>
        <w:pBdr>
          <w:bottom w:val="single" w:color="2E74B5" w:sz="6" w:space="1"/>
        </w:pBdr>
        <w:spacing w:before="120" w:after="120"/>
        <w:jc w:val="center"/>
        <w:rPr/>
      </w:pPr>
    </w:p>
    <w:p>
      <w:pPr>
        <w:spacing w:before="120" w:after="80"/>
        <w:jc w:val="center"/>
        <w:rPr/>
      </w:pPr>
      <w:r>
        <w:rPr>
          <w:rFonts w:ascii="微软雅黑" w:hAnsi="微软雅黑" w:eastAsia="微软雅黑"/>
          <w:b w:val="false"/>
          <w:i w:val="false"/>
          <w:color w:val="808080"/>
          <w:sz w:val="22"/>
        </w:rPr>
        <w:t>中企跨境  ·  [</w:t>
      </w:r>
      <w:r>
        <w:rPr>
          <w:rFonts w:hint="eastAsia" w:ascii="微软雅黑" w:hAnsi="微软雅黑" w:eastAsia="微软雅黑"/>
          <w:b w:val="false"/>
          <w:i w:val="false"/>
          <w:color w:val="808080"/>
          <w:sz w:val="22"/>
        </w:rPr>
        <w:t>2</w:t>
      </w:r>
      <w:r>
        <w:rPr>
          <w:rFonts w:hint="eastAsia" w:ascii="微软雅黑" w:hAnsi="微软雅黑" w:eastAsia="微软雅黑"/>
          <w:b w:val="false"/>
          <w:i w:val="false"/>
          <w:color w:val="808080"/>
          <w:sz w:val="22"/>
        </w:rPr>
        <w:t>0</w:t>
      </w:r>
      <w:r>
        <w:rPr>
          <w:rFonts w:hint="eastAsia" w:ascii="微软雅黑" w:hAnsi="微软雅黑" w:eastAsia="微软雅黑"/>
          <w:b w:val="false"/>
          <w:i w:val="false"/>
          <w:color w:val="808080"/>
          <w:sz w:val="22"/>
        </w:rPr>
        <w:t>2</w:t>
      </w:r>
      <w:r>
        <w:rPr>
          <w:rFonts w:hint="eastAsia" w:ascii="微软雅黑" w:hAnsi="微软雅黑" w:eastAsia="微软雅黑"/>
          <w:b w:val="false"/>
          <w:i w:val="false"/>
          <w:color w:val="808080"/>
          <w:sz w:val="22"/>
        </w:rPr>
        <w:t>6</w:t>
      </w:r>
      <w:r>
        <w:rPr>
          <w:rFonts w:ascii="微软雅黑" w:hAnsi="微软雅黑" w:eastAsia="微软雅黑"/>
          <w:b w:val="false"/>
          <w:i w:val="false"/>
          <w:color w:val="808080"/>
          <w:sz w:val="22"/>
        </w:rPr>
        <w:t>]年[</w:t>
      </w:r>
      <w:r>
        <w:rPr>
          <w:rFonts w:hint="eastAsia" w:ascii="微软雅黑" w:hAnsi="微软雅黑" w:eastAsia="微软雅黑"/>
          <w:b w:val="false"/>
          <w:i w:val="false"/>
          <w:color w:val="808080"/>
          <w:sz w:val="22"/>
        </w:rPr>
        <w:t>0</w:t>
      </w:r>
      <w:r>
        <w:rPr>
          <w:rFonts w:hint="eastAsia" w:ascii="微软雅黑" w:hAnsi="微软雅黑" w:eastAsia="微软雅黑"/>
          <w:b w:val="false"/>
          <w:i w:val="false"/>
          <w:color w:val="808080"/>
          <w:sz w:val="22"/>
        </w:rPr>
        <w:t>3</w:t>
      </w:r>
      <w:r>
        <w:rPr>
          <w:rFonts w:ascii="微软雅黑" w:hAnsi="微软雅黑" w:eastAsia="微软雅黑"/>
          <w:b w:val="false"/>
          <w:i w:val="false"/>
          <w:color w:val="808080"/>
          <w:sz w:val="22"/>
        </w:rPr>
        <w:t>]月</w:t>
      </w:r>
    </w:p>
    <w:p>
      <w:pPr>
        <w:rPr/>
      </w:pPr>
      <w:r>
        <w:rPr/>
        <w:br w:type="page"/>
      </w:r>
    </w:p>
    <w:p>
      <w:pPr>
        <w:spacing w:before="80" w:after="240"/>
        <w:jc w:val="center"/>
        <w:rPr/>
      </w:pPr>
      <w:r>
        <w:rPr>
          <w:rFonts w:ascii="微软雅黑" w:hAnsi="微软雅黑" w:eastAsia="微软雅黑"/>
          <w:b/>
          <w:i w:val="false"/>
          <w:color w:val="1F497D"/>
          <w:sz w:val="36"/>
        </w:rPr>
        <w:t>目  录</w:t>
      </w:r>
    </w:p>
    <w:p>
      <w:pPr>
        <w:spacing w:before="120" w:after="40"/>
        <w:ind w:left="170"/>
        <w:rPr/>
      </w:pPr>
      <w:r>
        <w:rPr>
          <w:rFonts w:ascii="微软雅黑" w:hAnsi="微软雅黑" w:eastAsia="微软雅黑"/>
          <w:b/>
          <w:i w:val="false"/>
          <w:color w:val="2E74B5"/>
          <w:sz w:val="24"/>
        </w:rPr>
        <w:t>一、</w:t>
      </w:r>
      <w:r>
        <w:rPr>
          <w:rFonts w:ascii="微软雅黑" w:hAnsi="微软雅黑" w:eastAsia="微软雅黑"/>
          <w:b/>
          <w:i w:val="false"/>
          <w:color w:val="1F497D"/>
          <w:sz w:val="24"/>
        </w:rPr>
        <w:t>整体经营结果分析</w:t>
      </w:r>
    </w:p>
    <w:p>
      <w:pPr>
        <w:spacing w:before="20" w:after="20"/>
        <w:ind w:left="680"/>
        <w:rPr/>
      </w:pPr>
      <w:r>
        <w:rPr>
          <w:rFonts w:ascii="微软雅黑" w:hAnsi="微软雅黑" w:eastAsia="微软雅黑"/>
          <w:b w:val="false"/>
          <w:i w:val="false"/>
          <w:color w:val="404040"/>
          <w:sz w:val="21"/>
        </w:rPr>
        <w:t>1.  公司一级指标完成情况</w:t>
      </w:r>
    </w:p>
    <w:p>
      <w:pPr>
        <w:spacing w:before="20" w:after="20"/>
        <w:ind w:left="680"/>
        <w:rPr/>
      </w:pPr>
      <w:r>
        <w:rPr>
          <w:rFonts w:ascii="微软雅黑" w:hAnsi="微软雅黑" w:eastAsia="微软雅黑"/>
          <w:b w:val="false"/>
          <w:i w:val="false"/>
          <w:color w:val="404040"/>
          <w:sz w:val="21"/>
        </w:rPr>
        <w:t>2.  一级指标拆解（按产品线）</w:t>
      </w:r>
    </w:p>
    <w:p>
      <w:pPr>
        <w:spacing w:before="20" w:after="20"/>
        <w:ind w:left="680"/>
        <w:rPr/>
      </w:pPr>
      <w:r>
        <w:rPr>
          <w:rFonts w:ascii="微软雅黑" w:hAnsi="微软雅黑" w:eastAsia="微软雅黑"/>
          <w:b w:val="false"/>
          <w:i w:val="false"/>
          <w:color w:val="404040"/>
          <w:sz w:val="21"/>
        </w:rPr>
        <w:t>3.  公司级关键问题与解决方案</w:t>
      </w:r>
    </w:p>
    <w:p>
      <w:pPr>
        <w:spacing w:before="120" w:after="40"/>
        <w:ind w:left="170"/>
        <w:rPr/>
      </w:pPr>
      <w:r>
        <w:rPr>
          <w:rFonts w:ascii="微软雅黑" w:hAnsi="微软雅黑" w:eastAsia="微软雅黑"/>
          <w:b/>
          <w:i w:val="false"/>
          <w:color w:val="2E74B5"/>
          <w:sz w:val="24"/>
        </w:rPr>
        <w:t>二、</w:t>
      </w:r>
      <w:r>
        <w:rPr>
          <w:rFonts w:ascii="微软雅黑" w:hAnsi="微软雅黑" w:eastAsia="微软雅黑"/>
          <w:b/>
          <w:i w:val="false"/>
          <w:color w:val="1F497D"/>
          <w:sz w:val="24"/>
        </w:rPr>
        <w:t>产品（中心）经营分析</w:t>
      </w:r>
    </w:p>
    <w:p>
      <w:pPr>
        <w:spacing w:before="20" w:after="20"/>
        <w:ind w:left="680"/>
        <w:rPr/>
      </w:pPr>
      <w:r>
        <w:rPr>
          <w:rFonts w:ascii="微软雅黑" w:hAnsi="微软雅黑" w:eastAsia="微软雅黑"/>
          <w:b w:val="false"/>
          <w:i w:val="false"/>
          <w:color w:val="404040"/>
          <w:sz w:val="21"/>
        </w:rPr>
        <w:t>1.  主产品线及生态产品经营结构分析</w:t>
      </w:r>
    </w:p>
    <w:p>
      <w:pPr>
        <w:spacing w:before="20" w:after="20"/>
        <w:ind w:left="680"/>
        <w:rPr/>
      </w:pPr>
      <w:r>
        <w:rPr>
          <w:rFonts w:ascii="微软雅黑" w:hAnsi="微软雅黑" w:eastAsia="微软雅黑"/>
          <w:b w:val="false"/>
          <w:i w:val="false"/>
          <w:color w:val="404040"/>
          <w:sz w:val="21"/>
        </w:rPr>
        <w:t>2.  各产品线的经营结果分析</w:t>
      </w:r>
    </w:p>
    <w:p>
      <w:pPr>
        <w:spacing w:before="20" w:after="20"/>
        <w:ind w:left="680"/>
        <w:rPr/>
      </w:pPr>
      <w:r>
        <w:rPr>
          <w:rFonts w:ascii="微软雅黑" w:hAnsi="微软雅黑" w:eastAsia="微软雅黑"/>
          <w:b w:val="false"/>
          <w:i w:val="false"/>
          <w:color w:val="404040"/>
          <w:sz w:val="21"/>
        </w:rPr>
        <w:t>3.  产品重点 Roadmap 汇报</w:t>
      </w:r>
    </w:p>
    <w:p>
      <w:pPr>
        <w:spacing w:before="20" w:after="20"/>
        <w:ind w:left="680"/>
        <w:rPr/>
      </w:pPr>
      <w:r>
        <w:rPr>
          <w:rFonts w:ascii="微软雅黑" w:hAnsi="微软雅黑" w:eastAsia="微软雅黑"/>
          <w:b w:val="false"/>
          <w:i w:val="false"/>
          <w:color w:val="404040"/>
          <w:sz w:val="21"/>
        </w:rPr>
        <w:t>4.  产品体系关键问题与解决方案</w:t>
      </w:r>
    </w:p>
    <w:p>
      <w:pPr>
        <w:spacing w:before="120" w:after="40"/>
        <w:ind w:left="170"/>
        <w:rPr/>
      </w:pPr>
      <w:r>
        <w:rPr>
          <w:rFonts w:ascii="微软雅黑" w:hAnsi="微软雅黑" w:eastAsia="微软雅黑"/>
          <w:b/>
          <w:i w:val="false"/>
          <w:color w:val="2E74B5"/>
          <w:sz w:val="24"/>
        </w:rPr>
        <w:t>三、</w:t>
      </w:r>
      <w:r>
        <w:rPr>
          <w:rFonts w:ascii="微软雅黑" w:hAnsi="微软雅黑" w:eastAsia="微软雅黑"/>
          <w:b/>
          <w:i w:val="false"/>
          <w:color w:val="1F497D"/>
          <w:sz w:val="24"/>
        </w:rPr>
        <w:t>跨境前场营销获客分析</w:t>
      </w:r>
    </w:p>
    <w:p>
      <w:pPr>
        <w:spacing w:before="20" w:after="20"/>
        <w:ind w:left="680"/>
        <w:rPr/>
      </w:pPr>
      <w:r>
        <w:rPr>
          <w:rFonts w:ascii="微软雅黑" w:hAnsi="微软雅黑" w:eastAsia="微软雅黑"/>
          <w:b w:val="false"/>
          <w:i w:val="false"/>
          <w:color w:val="404040"/>
          <w:sz w:val="21"/>
        </w:rPr>
        <w:t>1.  整体获客渠道与转化漏斗</w:t>
      </w:r>
    </w:p>
    <w:p>
      <w:pPr>
        <w:spacing w:before="20" w:after="20"/>
        <w:ind w:left="680"/>
        <w:rPr/>
      </w:pPr>
      <w:r>
        <w:rPr>
          <w:rFonts w:ascii="微软雅黑" w:hAnsi="微软雅黑" w:eastAsia="微软雅黑"/>
          <w:b w:val="false"/>
          <w:i w:val="false"/>
          <w:color w:val="404040"/>
          <w:sz w:val="21"/>
        </w:rPr>
        <w:t>2.  产品及产品交叉（组合）营销效率分析</w:t>
      </w:r>
    </w:p>
    <w:p>
      <w:pPr>
        <w:spacing w:before="20" w:after="20"/>
        <w:ind w:left="680"/>
        <w:rPr/>
      </w:pPr>
      <w:r>
        <w:rPr>
          <w:rFonts w:ascii="微软雅黑" w:hAnsi="微软雅黑" w:eastAsia="微软雅黑"/>
          <w:b w:val="false"/>
          <w:i w:val="false"/>
          <w:color w:val="404040"/>
          <w:sz w:val="21"/>
        </w:rPr>
        <w:t>3.  跨境直销体系经营情况分析</w:t>
      </w:r>
    </w:p>
    <w:p>
      <w:pPr>
        <w:spacing w:before="20" w:after="20"/>
        <w:ind w:left="680"/>
        <w:rPr/>
      </w:pPr>
      <w:r>
        <w:rPr>
          <w:rFonts w:ascii="微软雅黑" w:hAnsi="微软雅黑" w:eastAsia="微软雅黑"/>
          <w:b w:val="false"/>
          <w:i w:val="false"/>
          <w:color w:val="404040"/>
          <w:sz w:val="21"/>
        </w:rPr>
        <w:t>4.  营销端关键问题与解决方案</w:t>
      </w:r>
    </w:p>
    <w:p>
      <w:pPr>
        <w:spacing w:before="120" w:after="40"/>
        <w:ind w:left="170"/>
        <w:rPr/>
      </w:pPr>
      <w:r>
        <w:rPr>
          <w:rFonts w:ascii="微软雅黑" w:hAnsi="微软雅黑" w:eastAsia="微软雅黑"/>
          <w:b/>
          <w:i w:val="false"/>
          <w:color w:val="2E74B5"/>
          <w:sz w:val="24"/>
        </w:rPr>
        <w:t>四、</w:t>
      </w:r>
      <w:r>
        <w:rPr>
          <w:rFonts w:ascii="微软雅黑" w:hAnsi="微软雅黑" w:eastAsia="微软雅黑"/>
          <w:b/>
          <w:i w:val="false"/>
          <w:color w:val="1F497D"/>
          <w:sz w:val="24"/>
        </w:rPr>
        <w:t>跨境后场客户成功体系分析</w:t>
      </w:r>
    </w:p>
    <w:p>
      <w:pPr>
        <w:spacing w:before="20" w:after="20"/>
        <w:ind w:left="680"/>
        <w:rPr/>
      </w:pPr>
      <w:r>
        <w:rPr>
          <w:rFonts w:ascii="微软雅黑" w:hAnsi="微软雅黑" w:eastAsia="微软雅黑"/>
          <w:b w:val="false"/>
          <w:i w:val="false"/>
          <w:color w:val="404040"/>
          <w:sz w:val="21"/>
        </w:rPr>
        <w:t>1.  跨境整体客户健康度分析</w:t>
      </w:r>
    </w:p>
    <w:p>
      <w:pPr>
        <w:spacing w:before="20" w:after="20"/>
        <w:ind w:left="680"/>
        <w:rPr/>
      </w:pPr>
      <w:r>
        <w:rPr>
          <w:rFonts w:ascii="微软雅黑" w:hAnsi="微软雅黑" w:eastAsia="微软雅黑"/>
          <w:b w:val="false"/>
          <w:i w:val="false"/>
          <w:color w:val="404040"/>
          <w:sz w:val="21"/>
        </w:rPr>
        <w:t>2.  多产品客户（成功）价值分析</w:t>
      </w:r>
    </w:p>
    <w:p>
      <w:pPr>
        <w:spacing w:before="20" w:after="20"/>
        <w:ind w:left="680"/>
        <w:rPr/>
      </w:pPr>
      <w:r>
        <w:rPr>
          <w:rFonts w:ascii="微软雅黑" w:hAnsi="微软雅黑" w:eastAsia="微软雅黑"/>
          <w:b w:val="false"/>
          <w:i w:val="false"/>
          <w:color w:val="404040"/>
          <w:sz w:val="21"/>
        </w:rPr>
        <w:t>3.  各产品线客户（成功）价值分析</w:t>
      </w:r>
    </w:p>
    <w:p>
      <w:pPr>
        <w:spacing w:before="20" w:after="20"/>
        <w:ind w:left="680"/>
        <w:rPr/>
      </w:pPr>
      <w:r>
        <w:rPr>
          <w:rFonts w:ascii="微软雅黑" w:hAnsi="微软雅黑" w:eastAsia="微软雅黑"/>
          <w:b w:val="false"/>
          <w:i w:val="false"/>
          <w:color w:val="404040"/>
          <w:sz w:val="21"/>
        </w:rPr>
        <w:t>4.  客户续费、增购、流失分析</w:t>
      </w:r>
    </w:p>
    <w:p>
      <w:pPr>
        <w:spacing w:before="20" w:after="20"/>
        <w:ind w:left="680"/>
        <w:rPr/>
      </w:pPr>
      <w:r>
        <w:rPr>
          <w:rFonts w:ascii="微软雅黑" w:hAnsi="微软雅黑" w:eastAsia="微软雅黑"/>
          <w:b w:val="false"/>
          <w:i w:val="false"/>
          <w:color w:val="404040"/>
          <w:sz w:val="21"/>
        </w:rPr>
        <w:t>5.  客户成功团队效能分析</w:t>
      </w:r>
    </w:p>
    <w:p>
      <w:pPr>
        <w:spacing w:before="20" w:after="20"/>
        <w:ind w:left="680"/>
        <w:rPr/>
      </w:pPr>
      <w:r>
        <w:rPr>
          <w:rFonts w:ascii="微软雅黑" w:hAnsi="微软雅黑" w:eastAsia="微软雅黑"/>
          <w:b w:val="false"/>
          <w:i w:val="false"/>
          <w:color w:val="404040"/>
          <w:sz w:val="21"/>
        </w:rPr>
        <w:t>6.  客户成功关键问题和解决方案</w:t>
      </w:r>
    </w:p>
    <w:p>
      <w:pPr>
        <w:spacing w:before="120" w:after="40"/>
        <w:ind w:left="170"/>
        <w:rPr/>
      </w:pPr>
      <w:r>
        <w:rPr>
          <w:rFonts w:ascii="微软雅黑" w:hAnsi="微软雅黑" w:eastAsia="微软雅黑"/>
          <w:b/>
          <w:i w:val="false"/>
          <w:color w:val="2E74B5"/>
          <w:sz w:val="24"/>
        </w:rPr>
        <w:t>五、</w:t>
      </w:r>
      <w:r>
        <w:rPr>
          <w:rFonts w:ascii="微软雅黑" w:hAnsi="微软雅黑" w:eastAsia="微软雅黑"/>
          <w:b/>
          <w:i w:val="false"/>
          <w:color w:val="1F497D"/>
          <w:sz w:val="24"/>
        </w:rPr>
        <w:t>其他小业务分析</w:t>
      </w:r>
    </w:p>
    <w:p>
      <w:pPr>
        <w:spacing w:before="20" w:after="20"/>
        <w:ind w:left="680"/>
        <w:rPr/>
      </w:pPr>
      <w:r>
        <w:rPr>
          <w:rFonts w:ascii="微软雅黑" w:hAnsi="微软雅黑" w:eastAsia="微软雅黑"/>
          <w:b w:val="false"/>
          <w:i w:val="false"/>
          <w:color w:val="404040"/>
          <w:sz w:val="21"/>
        </w:rPr>
        <w:t>1.  广告渠道业务分析</w:t>
      </w:r>
    </w:p>
    <w:p>
      <w:pPr>
        <w:spacing w:before="20" w:after="20"/>
        <w:ind w:left="680"/>
        <w:rPr/>
      </w:pPr>
      <w:r>
        <w:rPr>
          <w:rFonts w:ascii="微软雅黑" w:hAnsi="微软雅黑" w:eastAsia="微软雅黑"/>
          <w:b w:val="false"/>
          <w:i w:val="false"/>
          <w:color w:val="404040"/>
          <w:sz w:val="21"/>
        </w:rPr>
        <w:t>2.  DTC 业务分析</w:t>
      </w:r>
    </w:p>
    <w:p>
      <w:pPr>
        <w:rPr/>
      </w:pPr>
      <w:r>
        <w:rPr/>
        <w:br w:type="page"/>
      </w:r>
    </w:p>
    <w:p>
      <w:pPr>
        <w:pBdr>
          <w:left w:val="single" w:color="1F497D" w:sz="24" w:space="4"/>
        </w:pBdr>
        <w:spacing w:before="280" w:after="80"/>
        <w:rPr/>
      </w:pPr>
      <w:r>
        <w:rPr>
          <w:rFonts w:ascii="微软雅黑" w:hAnsi="微软雅黑" w:eastAsia="微软雅黑"/>
          <w:b/>
          <w:i w:val="false"/>
          <w:color w:val="1F497D"/>
          <w:sz w:val="30"/>
        </w:rPr>
        <w:t>一、 整体经营结果分析</w:t>
      </w:r>
    </w:p>
    <w:p>
      <w:pPr>
        <w:shd w:val="clear" w:color="auto" w:fill="F2F2F2"/>
        <w:spacing w:before="40" w:after="120"/>
        <w:rPr/>
      </w:pPr>
      <w:r>
        <w:rPr>
          <w:rFonts w:ascii="微软雅黑" w:hAnsi="微软雅黑" w:eastAsia="微软雅黑"/>
          <w:b w:val="false"/>
          <w:i/>
          <w:color w:val="808080"/>
          <w:sz w:val="19"/>
        </w:rPr>
        <w:t>📋 撰写说明：由财务部或战略经营部负责。采用总分逻辑，先总结整体经营目标达成情况，再按产品线拆解，最后提出关键问题及解决方案。</w:t>
      </w:r>
    </w:p>
    <w:p>
      <w:pPr>
        <w:spacing w:before="200" w:after="60"/>
        <w:rPr/>
      </w:pPr>
      <w:r>
        <w:rPr>
          <w:rFonts w:ascii="微软雅黑" w:hAnsi="微软雅黑" w:eastAsia="微软雅黑"/>
          <w:b/>
          <w:i w:val="false"/>
          <w:color w:val="2E74B5"/>
          <w:sz w:val="24"/>
        </w:rPr>
        <w:t>1.  公司一级指标完成情况</w:t>
      </w:r>
    </w:p>
    <w:p>
      <w:pPr>
        <w:spacing w:before="40" w:after="120"/>
        <w:rPr/>
      </w:pPr>
      <w:r>
        <w:rPr>
          <w:rFonts w:ascii="微软雅黑" w:hAnsi="微软雅黑" w:eastAsia="微软雅黑"/>
          <w:b w:val="false"/>
          <w:i w:val="false"/>
          <w:color w:val="404040"/>
          <w:sz w:val="21"/>
        </w:rPr>
        <w:t>请简述本月公司整体业绩、付费客户规模、现金利润贡献等核心指标的达成情况，对比年度目标和预算目标进行说明。</w:t>
      </w:r>
    </w:p>
    <w:tbl>
      <w:tblPr>
        <w:tblStyle w:val="000049"/>
        <w:tblW w:w="0" w:type="auto"/>
        <w:jc w:val="center"/>
        <w:tblLayout w:type="fixed"/>
        <w:tblLook w:firstRow="true" w:lastRow="false" w:firstColumn="true" w:lastColumn="false" w:noHBand="false" w:noVBand="true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rPr/>
        <w:tc>
          <w:tcPr>
            <w:tcW w:w="1133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>
                <w:color w:val="FFFFFF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FFFF"/>
                <w:spacing w:val="0"/>
                <w:sz w:val="18"/>
                <w:u w:val="none"/>
              </w:rPr>
              <w:t>指标项</w:t>
            </w:r>
          </w:p>
        </w:tc>
        <w:tc>
          <w:tcPr>
            <w:tcW w:w="1133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>
                <w:color w:val="FFFFFF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FFFF"/>
                <w:spacing w:val="0"/>
                <w:sz w:val="18"/>
                <w:u w:val="none"/>
              </w:rPr>
              <w:t>指标定义</w:t>
            </w:r>
          </w:p>
        </w:tc>
        <w:tc>
          <w:tcPr>
            <w:tcW w:w="1133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>
                <w:color w:val="FFFFFF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FFFF"/>
                <w:spacing w:val="0"/>
                <w:sz w:val="18"/>
                <w:u w:val="none"/>
              </w:rPr>
              <w:t>26年目标</w:t>
            </w:r>
          </w:p>
        </w:tc>
        <w:tc>
          <w:tcPr>
            <w:tcW w:w="1133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>
                <w:color w:val="FFFFFF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FFFF"/>
                <w:spacing w:val="0"/>
                <w:sz w:val="18"/>
                <w:u w:val="none"/>
              </w:rPr>
              <w:t>26年3月</w:t>
            </w:r>
          </w:p>
        </w:tc>
        <w:tc>
          <w:tcPr>
            <w:tcW w:w="1133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>
                <w:color w:val="FFFFFF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FFFF"/>
                <w:spacing w:val="0"/>
                <w:sz w:val="18"/>
                <w:u w:val="none"/>
              </w:rPr>
              <w:t>预算目标</w:t>
            </w:r>
          </w:p>
        </w:tc>
        <w:tc>
          <w:tcPr>
            <w:tcW w:w="1133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>
                <w:color w:val="FFFFFF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FFFF"/>
                <w:spacing w:val="0"/>
                <w:sz w:val="18"/>
                <w:u w:val="none"/>
              </w:rPr>
              <w:t>预算目标完成率</w:t>
            </w:r>
          </w:p>
        </w:tc>
        <w:tc>
          <w:tcPr>
            <w:tcW w:w="1133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>
                <w:color w:val="FFFFFF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FFFF"/>
                <w:spacing w:val="0"/>
                <w:sz w:val="18"/>
                <w:u w:val="none"/>
              </w:rPr>
              <w:t>年度累计</w:t>
            </w:r>
          </w:p>
        </w:tc>
        <w:tc>
          <w:tcPr>
            <w:tcW w:w="1133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>
                <w:color w:val="FFFFFF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FFFF"/>
                <w:spacing w:val="0"/>
                <w:sz w:val="18"/>
                <w:u w:val="none"/>
              </w:rPr>
              <w:t>年度目标完成率</w:t>
            </w:r>
          </w:p>
        </w:tc>
      </w:tr>
      <w:tr>
        <w:trPr/>
        <w:tc>
          <w:tcPr>
            <w:tcW w:w="113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整体业绩</w:t>
            </w:r>
          </w:p>
        </w:tc>
        <w:tc>
          <w:tcPr>
            <w:tcW w:w="113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业绩去掉广告预存部分</w:t>
            </w:r>
          </w:p>
        </w:tc>
        <w:tc>
          <w:tcPr>
            <w:tcW w:w="113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1.6亿</w:t>
            </w:r>
          </w:p>
        </w:tc>
        <w:tc>
          <w:tcPr>
            <w:tcW w:w="113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1,291万</w:t>
            </w:r>
          </w:p>
        </w:tc>
        <w:tc>
          <w:tcPr>
            <w:tcW w:w="113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1,489万</w:t>
            </w:r>
          </w:p>
        </w:tc>
        <w:tc>
          <w:tcPr>
            <w:tcW w:w="113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87%</w:t>
            </w:r>
          </w:p>
        </w:tc>
        <w:tc>
          <w:tcPr>
            <w:tcW w:w="113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3,005万</w:t>
            </w:r>
          </w:p>
        </w:tc>
        <w:tc>
          <w:tcPr>
            <w:tcW w:w="113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19%</w:t>
            </w:r>
          </w:p>
        </w:tc>
      </w:tr>
      <w:tr>
        <w:trPr/>
        <w:tc>
          <w:tcPr>
            <w:tcW w:w="1133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现金贡献同比增加</w:t>
            </w:r>
          </w:p>
        </w:tc>
        <w:tc>
          <w:tcPr>
            <w:tcW w:w="1133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净现金贡献同比增加</w:t>
            </w:r>
          </w:p>
        </w:tc>
        <w:tc>
          <w:tcPr>
            <w:tcW w:w="1133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1,500万</w:t>
            </w:r>
          </w:p>
        </w:tc>
        <w:tc>
          <w:tcPr>
            <w:tcW w:w="1133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-35万</w:t>
            </w:r>
          </w:p>
        </w:tc>
        <w:tc>
          <w:tcPr>
            <w:tcW w:w="1133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-41万</w:t>
            </w:r>
          </w:p>
        </w:tc>
        <w:tc>
          <w:tcPr>
            <w:tcW w:w="1133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14%</w:t>
            </w:r>
          </w:p>
        </w:tc>
        <w:tc>
          <w:tcPr>
            <w:tcW w:w="1133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-221万</w:t>
            </w:r>
          </w:p>
        </w:tc>
        <w:tc>
          <w:tcPr>
            <w:tcW w:w="1133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-15%</w:t>
            </w:r>
          </w:p>
        </w:tc>
      </w:tr>
      <w:tr>
        <w:trPr/>
        <w:tc>
          <w:tcPr>
            <w:tcW w:w="113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付费客户数</w:t>
            </w:r>
          </w:p>
        </w:tc>
        <w:tc>
          <w:tcPr>
            <w:tcW w:w="113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独立站及社媒产品付费客户数</w:t>
            </w:r>
          </w:p>
        </w:tc>
        <w:tc>
          <w:tcPr>
            <w:tcW w:w="113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7,801个</w:t>
            </w:r>
          </w:p>
        </w:tc>
        <w:tc>
          <w:tcPr>
            <w:tcW w:w="113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593个</w:t>
            </w:r>
          </w:p>
        </w:tc>
        <w:tc>
          <w:tcPr>
            <w:tcW w:w="113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650个</w:t>
            </w:r>
          </w:p>
        </w:tc>
        <w:tc>
          <w:tcPr>
            <w:tcW w:w="113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91%</w:t>
            </w:r>
          </w:p>
        </w:tc>
        <w:tc>
          <w:tcPr>
            <w:tcW w:w="113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1,142个</w:t>
            </w:r>
          </w:p>
        </w:tc>
        <w:tc>
          <w:tcPr>
            <w:tcW w:w="113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15%</w:t>
            </w:r>
          </w:p>
        </w:tc>
      </w:tr>
    </w:tbl>
    <w:p>
      <w:pPr>
        <w:spacing w:after="80"/>
        <w:rPr/>
      </w:pPr>
    </w:p>
    <w:p>
      <w:pPr>
        <w:spacing w:before="200" w:after="60"/>
        <w:rPr/>
      </w:pPr>
      <w:r>
        <w:rPr>
          <w:rFonts w:ascii="微软雅黑" w:hAnsi="微软雅黑" w:eastAsia="微软雅黑"/>
          <w:b/>
          <w:i w:val="false"/>
          <w:color w:val="2E74B5"/>
          <w:sz w:val="24"/>
        </w:rPr>
        <w:t>2.  一级指标拆解（按产品线）</w:t>
      </w:r>
    </w:p>
    <w:p>
      <w:pPr>
        <w:spacing w:before="40" w:after="120"/>
        <w:rPr/>
      </w:pPr>
      <w:r>
        <w:rPr>
          <w:rFonts w:ascii="微软雅黑" w:hAnsi="微软雅黑" w:eastAsia="微软雅黑"/>
          <w:b w:val="false"/>
          <w:i w:val="false"/>
          <w:color w:val="404040"/>
          <w:sz w:val="21"/>
        </w:rPr>
        <w:t>将业绩、现金贡献、付费客户数等核心指标，按照产品线（AIMI、独立站、广告、其他）进行拆分分析。请重点说明各产品线的占比、同比变化及变动原因。</w:t>
      </w:r>
    </w:p>
    <w:tbl>
      <w:tblPr>
        <w:tblStyle w:val="000049"/>
        <w:tblW w:w="0" w:type="auto"/>
        <w:jc w:val="center"/>
        <w:tblInd w:w="-105" w:type="dxa"/>
        <w:tblLayout w:type="fixed"/>
        <w:tblLook w:firstRow="true" w:lastRow="false" w:firstColumn="true" w:lastColumn="false" w:noHBand="false" w:noVBand="true" w:val="04A0"/>
      </w:tblPr>
      <w:tblGrid>
        <w:gridCol w:w="1355"/>
        <w:gridCol w:w="1295"/>
        <w:gridCol w:w="1295"/>
        <w:gridCol w:w="1295"/>
        <w:gridCol w:w="1295"/>
        <w:gridCol w:w="1295"/>
        <w:gridCol w:w="1295"/>
        <w:gridCol w:w="1295"/>
        <w:gridCol w:w="1295"/>
      </w:tblGrid>
      <w:tr>
        <w:trPr/>
        <w:tc>
          <w:tcPr>
            <w:tcW w:w="1355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>
                <w:color w:val="FFFFFF"/>
              </w:rPr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产品线</w:t>
            </w:r>
          </w:p>
        </w:tc>
        <w:tc>
          <w:tcPr>
            <w:tcW w:w="1295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>
                <w:color w:val="FFFFFF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FFFF"/>
                <w:spacing w:val="0"/>
                <w:sz w:val="18"/>
                <w:u w:val="none"/>
              </w:rPr>
              <w:t>2026年3月</w:t>
            </w:r>
          </w:p>
        </w:tc>
        <w:tc>
          <w:tcPr>
            <w:tcW w:w="1295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>
                <w:color w:val="FFFFFF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FFFF"/>
                <w:spacing w:val="0"/>
                <w:sz w:val="18"/>
                <w:u w:val="none"/>
              </w:rPr>
              <w:t>占比</w:t>
            </w:r>
          </w:p>
        </w:tc>
        <w:tc>
          <w:tcPr>
            <w:tcW w:w="1295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>
                <w:color w:val="FFFFFF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FFFF"/>
                <w:spacing w:val="0"/>
                <w:sz w:val="18"/>
                <w:u w:val="none"/>
              </w:rPr>
              <w:t>预算目标</w:t>
            </w:r>
          </w:p>
        </w:tc>
        <w:tc>
          <w:tcPr>
            <w:tcW w:w="1295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>
                <w:color w:val="FFFFFF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18"/>
                <w:u w:val="none"/>
              </w:rPr>
              <w:t>占比</w:t>
            </w:r>
          </w:p>
        </w:tc>
        <w:tc>
          <w:tcPr>
            <w:tcW w:w="1295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>
                <w:color w:val="FFFFFF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FFFF"/>
                <w:spacing w:val="0"/>
                <w:sz w:val="18"/>
                <w:u w:val="none"/>
              </w:rPr>
              <w:t>预算达成</w:t>
            </w:r>
          </w:p>
        </w:tc>
        <w:tc>
          <w:tcPr>
            <w:tcW w:w="1295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>
                <w:color w:val="FFFFFF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FFFF"/>
                <w:spacing w:val="0"/>
                <w:sz w:val="18"/>
                <w:u w:val="none"/>
              </w:rPr>
              <w:t>2025年3月</w:t>
            </w:r>
          </w:p>
        </w:tc>
        <w:tc>
          <w:tcPr>
            <w:tcW w:w="1295" w:type="dxa"/>
            <w:shd w:val="clear" w:color="auto" w:fill="2E74B5"/>
            <w:vAlign w:val="center"/>
          </w:tcPr>
          <w:p>
            <w:pPr>
              <w:spacing w:before="60" w:after="60"/>
              <w:ind/>
              <w:jc w:val="center"/>
              <w:rPr>
                <w:color w:val="FFFFFF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FFFF"/>
                <w:spacing w:val="0"/>
                <w:sz w:val="18"/>
                <w:u w:val="none"/>
              </w:rPr>
              <w:t>占比</w:t>
            </w:r>
          </w:p>
        </w:tc>
        <w:tc>
          <w:tcPr>
            <w:tcW w:w="1295" w:type="dxa"/>
            <w:shd w:val="clear" w:color="auto" w:fill="2E74B5"/>
            <w:vAlign w:val="center"/>
          </w:tcPr>
          <w:p>
            <w:pPr>
              <w:spacing w:before="60" w:after="60"/>
              <w:ind/>
              <w:jc w:val="center"/>
              <w:rPr>
                <w:color w:val="FFFFFF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18"/>
                <w:u w:val="none"/>
              </w:rPr>
              <w:t>同比</w:t>
            </w:r>
          </w:p>
        </w:tc>
      </w:tr>
      <w:tr>
        <w:trPr/>
        <w:tc>
          <w:tcPr>
            <w:tcW w:w="1355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 w:val="false"/>
                <w:i w:val="false"/>
                <w:color w:val="404040"/>
                <w:sz w:val="21"/>
              </w:rPr>
              <w:t>AIMI（社媒）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386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12%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310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12%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124%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  <w:shd w:val="clear" w:color="auto" w:fill="auto"/>
              </w:rPr>
              <w:t>188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  <w:shd w:val="clear" w:color="auto" w:fill="auto"/>
              </w:rPr>
              <w:t>5%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  <w:shd w:val="clear" w:color="auto" w:fill="auto"/>
              </w:rPr>
              <w:t>105%</w:t>
            </w:r>
          </w:p>
        </w:tc>
      </w:tr>
      <w:tr>
        <w:trPr/>
        <w:tc>
          <w:tcPr>
            <w:tcW w:w="1355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 w:val="false"/>
                <w:i w:val="false"/>
                <w:color w:val="404040"/>
                <w:sz w:val="21"/>
              </w:rPr>
              <w:t>广告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2,086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66%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1,388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52%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150%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  <w:shd w:val="clear" w:color="auto" w:fill="auto"/>
              </w:rPr>
              <w:t>2,481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  <w:shd w:val="clear" w:color="auto" w:fill="auto"/>
              </w:rPr>
              <w:t>67%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  <w:shd w:val="clear" w:color="auto" w:fill="auto"/>
              </w:rPr>
              <w:t>-16%</w:t>
            </w:r>
          </w:p>
        </w:tc>
      </w:tr>
      <w:tr>
        <w:trPr/>
        <w:tc>
          <w:tcPr>
            <w:tcW w:w="1355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 w:val="false"/>
                <w:i w:val="false"/>
                <w:color w:val="404040"/>
                <w:sz w:val="21"/>
              </w:rPr>
              <w:t>独立站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560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18%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773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29%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72%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  <w:shd w:val="clear" w:color="auto" w:fill="auto"/>
              </w:rPr>
              <w:t>846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  <w:shd w:val="clear" w:color="auto" w:fill="auto"/>
              </w:rPr>
              <w:t>23%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  <w:shd w:val="clear" w:color="auto" w:fill="auto"/>
              </w:rPr>
              <w:t>-34%</w:t>
            </w:r>
          </w:p>
        </w:tc>
      </w:tr>
      <w:tr>
        <w:trPr/>
        <w:tc>
          <w:tcPr>
            <w:tcW w:w="1355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 w:val="false"/>
                <w:i w:val="false"/>
                <w:color w:val="404040"/>
                <w:sz w:val="21"/>
              </w:rPr>
              <w:t>生态及其他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141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4%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204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8%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69%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  <w:shd w:val="clear" w:color="auto" w:fill="auto"/>
              </w:rPr>
              <w:t>198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  <w:shd w:val="clear" w:color="auto" w:fill="auto"/>
              </w:rPr>
              <w:t>2%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  <w:shd w:val="clear" w:color="auto" w:fill="auto"/>
              </w:rPr>
              <w:t>-29%</w:t>
            </w:r>
          </w:p>
        </w:tc>
      </w:tr>
      <w:tr>
        <w:trPr/>
        <w:tc>
          <w:tcPr>
            <w:tcW w:w="1355" w:type="dxa"/>
            <w:shd w:val="clear" w:color="auto" w:fill="D6E4F0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404040"/>
                <w:sz w:val="21"/>
              </w:rPr>
              <w:t>合计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3,173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100%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2,675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100%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119%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  <w:shd w:val="clear" w:color="auto" w:fill="auto"/>
              </w:rPr>
              <w:t>3,713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  <w:shd w:val="clear" w:color="auto" w:fill="auto"/>
              </w:rPr>
              <w:t>100%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  <w:shd w:val="clear" w:color="auto" w:fill="auto"/>
              </w:rPr>
              <w:t>-15%</w:t>
            </w:r>
          </w:p>
        </w:tc>
      </w:tr>
    </w:tbl>
    <w:p>
      <w:pPr>
        <w:spacing w:after="80"/>
        <w:ind/>
        <w:rPr/>
      </w:pPr>
    </w:p>
    <w:tbl>
      <w:tblPr>
        <w:tblStyle w:val="0000f5"/>
        <w:tblW w:w="0" w:type="auto"/>
        <w:jc w:val="center"/>
        <w:tblLayout w:type="fixed"/>
        <w:tblLook w:firstRow="true" w:lastRow="false" w:firstColumn="true" w:lastColumn="false" w:noHBand="false" w:noVBand="true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  <w:gridCol w:w="1295"/>
        <w:gridCol w:w="1295"/>
      </w:tblGrid>
      <w:tr>
        <w:trPr>
          <w:wBefore/>
          <w:trHeight/>
        </w:trPr>
        <w:tc>
          <w:tcPr>
            <w:tcW w:w="1295" w:type="dxa"/>
            <w:shd w:val="clear" w:color="auto" w:fill="2E74B5"/>
            <w:vAlign w:val="center"/>
          </w:tcPr>
          <w:p>
            <w:pPr>
              <w:numPr/>
              <w:spacing w:before="60" w:after="60"/>
              <w:ind/>
              <w:jc w:val="center"/>
              <w:rPr>
                <w:color w:val="FFFFFF"/>
              </w:rPr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产品线</w:t>
            </w:r>
          </w:p>
        </w:tc>
        <w:tc>
          <w:tcPr>
            <w:tcW w:w="1295" w:type="dxa"/>
            <w:shd w:val="clear" w:color="auto" w:fill="2E74B5"/>
            <w:vAlign w:val="center"/>
          </w:tcPr>
          <w:p>
            <w:pPr>
              <w:numPr/>
              <w:spacing w:before="60" w:after="60"/>
              <w:ind/>
              <w:jc w:val="center"/>
              <w:rPr>
                <w:color w:val="FFFFFF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FFFF"/>
                <w:spacing w:val="0"/>
                <w:sz w:val="18"/>
                <w:u w:val="none"/>
              </w:rPr>
              <w:t>2026年累计</w:t>
            </w:r>
          </w:p>
        </w:tc>
        <w:tc>
          <w:tcPr>
            <w:tcW w:w="1295" w:type="dxa"/>
            <w:shd w:val="clear" w:color="auto" w:fill="2E74B5"/>
            <w:vAlign w:val="center"/>
          </w:tcPr>
          <w:p>
            <w:pPr>
              <w:numPr/>
              <w:spacing w:before="60" w:after="60"/>
              <w:ind/>
              <w:jc w:val="center"/>
              <w:rPr>
                <w:color w:val="FFFFFF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FFFF"/>
                <w:spacing w:val="0"/>
                <w:sz w:val="18"/>
                <w:u w:val="none"/>
              </w:rPr>
              <w:t>占比</w:t>
            </w:r>
          </w:p>
        </w:tc>
        <w:tc>
          <w:tcPr>
            <w:tcW w:w="1295" w:type="dxa"/>
            <w:shd w:val="clear" w:color="auto" w:fill="2E74B5"/>
            <w:vAlign w:val="center"/>
          </w:tcPr>
          <w:p>
            <w:pPr>
              <w:numPr/>
              <w:spacing w:before="60" w:after="60"/>
              <w:ind/>
              <w:jc w:val="center"/>
              <w:rPr>
                <w:color w:val="FFFFFF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FFFF"/>
                <w:spacing w:val="0"/>
                <w:sz w:val="18"/>
                <w:u w:val="none"/>
              </w:rPr>
              <w:t>累计预算目标</w:t>
            </w:r>
          </w:p>
        </w:tc>
        <w:tc>
          <w:tcPr>
            <w:tcW w:w="1295" w:type="dxa"/>
            <w:shd w:val="clear" w:color="auto" w:fill="2E74B5"/>
            <w:vAlign w:val="center"/>
          </w:tcPr>
          <w:p>
            <w:pPr>
              <w:numPr/>
              <w:spacing w:before="60" w:after="60"/>
              <w:ind/>
              <w:jc w:val="center"/>
              <w:rPr>
                <w:color w:val="FFFFFF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18"/>
                <w:u w:val="none"/>
              </w:rPr>
              <w:t>占比</w:t>
            </w:r>
          </w:p>
        </w:tc>
        <w:tc>
          <w:tcPr>
            <w:tcW w:w="1295" w:type="dxa"/>
            <w:shd w:val="clear" w:color="auto" w:fill="2E74B5"/>
            <w:vAlign w:val="center"/>
          </w:tcPr>
          <w:p>
            <w:pPr>
              <w:numPr/>
              <w:spacing w:before="60" w:after="60"/>
              <w:ind/>
              <w:jc w:val="center"/>
              <w:rPr>
                <w:color w:val="FFFFFF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FFFF"/>
                <w:spacing w:val="0"/>
                <w:sz w:val="18"/>
                <w:u w:val="none"/>
              </w:rPr>
              <w:t>累计预算达成</w:t>
            </w:r>
          </w:p>
        </w:tc>
        <w:tc>
          <w:tcPr>
            <w:tcW w:w="1295" w:type="dxa"/>
            <w:shd w:val="clear" w:color="auto" w:fill="2E74B5"/>
            <w:vAlign w:val="center"/>
          </w:tcPr>
          <w:p>
            <w:pPr>
              <w:numPr/>
              <w:spacing w:before="60" w:after="60"/>
              <w:ind/>
              <w:jc w:val="center"/>
              <w:rPr>
                <w:color w:val="FFFFFF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FFFF"/>
                <w:spacing w:val="0"/>
                <w:sz w:val="18"/>
                <w:u w:val="none"/>
              </w:rPr>
              <w:t>去年同期累计</w:t>
            </w:r>
          </w:p>
        </w:tc>
        <w:tc>
          <w:tcPr>
            <w:tcW w:w="1295" w:type="dxa"/>
            <w:shd w:val="clear" w:color="auto" w:fill="2E74B5"/>
            <w:vAlign w:val="center"/>
          </w:tcPr>
          <w:p>
            <w:pPr>
              <w:spacing w:before="60" w:after="60"/>
              <w:ind/>
              <w:jc w:val="center"/>
              <w:rPr>
                <w:color w:val="FFFFFF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FFFF"/>
                <w:spacing w:val="0"/>
                <w:sz w:val="18"/>
                <w:u w:val="none"/>
              </w:rPr>
              <w:t>占比</w:t>
            </w:r>
          </w:p>
        </w:tc>
        <w:tc>
          <w:tcPr>
            <w:tcW w:w="1295" w:type="dxa"/>
            <w:shd w:val="clear" w:color="auto" w:fill="2E74B5"/>
            <w:vAlign w:val="center"/>
          </w:tcPr>
          <w:p>
            <w:pPr>
              <w:spacing w:before="60" w:after="60"/>
              <w:ind/>
              <w:jc w:val="center"/>
              <w:rPr>
                <w:color w:val="FFFFFF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FFFF"/>
                <w:spacing w:val="0"/>
                <w:sz w:val="18"/>
                <w:u w:val="none"/>
              </w:rPr>
              <w:t>同比</w:t>
            </w:r>
          </w:p>
        </w:tc>
      </w:tr>
      <w:tr>
        <w:trPr>
          <w:wBefore/>
          <w:trHeight/>
        </w:trPr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/>
                <w:b w:val="false"/>
                <w:i w:val="false"/>
                <w:color w:val="404040"/>
                <w:sz w:val="21"/>
              </w:rPr>
              <w:t>AIMI（社媒）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646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9%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762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11%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85%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262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3%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147%</w:t>
            </w:r>
          </w:p>
        </w:tc>
      </w:tr>
      <w:tr>
        <w:trPr>
          <w:wBefore/>
          <w:trHeight/>
        </w:trPr>
        <w:tc>
          <w:tcPr>
            <w:tcW w:w="1295" w:type="dxa"/>
            <w:shd w:val="clear" w:color="auto" w:fill="FFFFFF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/>
                <w:b w:val="false"/>
                <w:i w:val="false"/>
                <w:color w:val="404040"/>
                <w:sz w:val="21"/>
              </w:rPr>
              <w:t>广告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4,530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65%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3,994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56%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113%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5,689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67%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-20%</w:t>
            </w:r>
          </w:p>
        </w:tc>
      </w:tr>
      <w:tr>
        <w:trPr>
          <w:wBefore/>
          <w:trHeight/>
        </w:trPr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/>
                <w:b w:val="false"/>
                <w:i w:val="false"/>
                <w:color w:val="404040"/>
                <w:sz w:val="21"/>
              </w:rPr>
              <w:t>独立站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1,415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20%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1,871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26%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76%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2,054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24%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-31%</w:t>
            </w:r>
          </w:p>
        </w:tc>
      </w:tr>
      <w:tr>
        <w:trPr>
          <w:wBefore/>
          <w:trHeight/>
        </w:trPr>
        <w:tc>
          <w:tcPr>
            <w:tcW w:w="1295" w:type="dxa"/>
            <w:shd w:val="clear" w:color="auto" w:fill="FFFFFF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/>
                <w:b w:val="false"/>
                <w:i w:val="false"/>
                <w:color w:val="404040"/>
                <w:sz w:val="21"/>
              </w:rPr>
              <w:t>生态及其他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403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6%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516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7%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78%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432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5%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-7%</w:t>
            </w:r>
          </w:p>
        </w:tc>
      </w:tr>
      <w:tr>
        <w:trPr>
          <w:wBefore/>
          <w:trHeight/>
        </w:trPr>
        <w:tc>
          <w:tcPr>
            <w:tcW w:w="1295" w:type="dxa"/>
            <w:shd w:val="clear" w:color="auto" w:fill="D6E4F0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404040"/>
                <w:sz w:val="21"/>
              </w:rPr>
              <w:t>合计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6,994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100%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7,143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100%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98%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8,436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100%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-17%</w:t>
            </w:r>
          </w:p>
        </w:tc>
      </w:tr>
    </w:tbl>
    <w:p>
      <w:pPr>
        <w:pBdr/>
        <w:spacing w:after="80"/>
        <w:ind/>
        <w:rPr/>
      </w:pPr>
    </w:p>
    <w:p>
      <w:pPr>
        <w:spacing w:after="80"/>
        <w:ind/>
        <w:rPr/>
      </w:pPr>
    </w:p>
    <w:tbl>
      <w:tblPr>
        <w:tblStyle w:val="0000f5"/>
        <w:tblW w:w="0" w:type="auto"/>
        <w:jc w:val="center"/>
        <w:tblLayout w:type="fixed"/>
        <w:tblLook w:firstRow="true" w:lastRow="false" w:firstColumn="true" w:lastColumn="false" w:noHBand="false" w:noVBand="true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  <w:gridCol w:w="1295"/>
        <w:gridCol w:w="1295"/>
      </w:tblGrid>
      <w:tr>
        <w:trPr>
          <w:wBefore/>
          <w:trHeight/>
        </w:trPr>
        <w:tc>
          <w:tcPr>
            <w:tcW w:w="1295" w:type="dxa"/>
            <w:shd w:val="clear" w:color="auto" w:fill="2E74B5"/>
            <w:vAlign w:val="center"/>
          </w:tcPr>
          <w:p>
            <w:pPr>
              <w:numPr/>
              <w:pBdr>
                <w:bottom/>
              </w:pBdr>
              <w:spacing w:before="60" w:after="60"/>
              <w:ind/>
              <w:jc w:val="both"/>
              <w:rPr>
                <w:rFonts w:hint="eastAsia"/>
                <w:color w:val="FFFFFF"/>
              </w:rPr>
            </w:pPr>
            <w:r>
              <w:rPr>
                <w:rFonts w:hint="eastAsia"/>
                <w:color w:val="FFFFFF"/>
              </w:rPr>
              <w:t>一级</w:t>
            </w:r>
            <w:r>
              <w:rPr>
                <w:rFonts w:hint="eastAsia"/>
                <w:color w:val="FFFFFF"/>
              </w:rPr>
              <w:t>指标</w:t>
            </w:r>
          </w:p>
        </w:tc>
        <w:tc>
          <w:tcPr>
            <w:tcW w:w="1295" w:type="dxa"/>
            <w:shd w:val="clear" w:color="auto" w:fill="2E74B5"/>
            <w:vAlign w:val="center"/>
          </w:tcPr>
          <w:p>
            <w:pPr>
              <w:numPr/>
              <w:spacing w:before="60" w:after="60"/>
              <w:ind/>
              <w:jc w:val="center"/>
              <w:rPr>
                <w:color w:val="FFFFFF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FFFF"/>
                <w:spacing w:val="0"/>
                <w:sz w:val="18"/>
                <w:u w:val="none"/>
              </w:rPr>
              <w:t>2026年3月</w:t>
            </w:r>
          </w:p>
        </w:tc>
        <w:tc>
          <w:tcPr>
            <w:tcW w:w="1295" w:type="dxa"/>
            <w:shd w:val="clear" w:color="auto" w:fill="2E74B5"/>
            <w:vAlign w:val="center"/>
          </w:tcPr>
          <w:p>
            <w:pPr>
              <w:numPr/>
              <w:spacing w:before="60" w:after="60"/>
              <w:ind/>
              <w:jc w:val="center"/>
              <w:rPr>
                <w:color w:val="FFFFFF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FFFF"/>
                <w:spacing w:val="0"/>
                <w:sz w:val="18"/>
                <w:u w:val="none"/>
              </w:rPr>
              <w:t>占比</w:t>
            </w:r>
          </w:p>
        </w:tc>
        <w:tc>
          <w:tcPr>
            <w:tcW w:w="1295" w:type="dxa"/>
            <w:shd w:val="clear" w:color="auto" w:fill="2E74B5"/>
            <w:vAlign w:val="center"/>
          </w:tcPr>
          <w:p>
            <w:pPr>
              <w:numPr/>
              <w:spacing w:before="60" w:after="60"/>
              <w:ind/>
              <w:jc w:val="center"/>
              <w:rPr>
                <w:color w:val="FFFFFF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FFFF"/>
                <w:spacing w:val="0"/>
                <w:sz w:val="18"/>
                <w:u w:val="none"/>
              </w:rPr>
              <w:t>预算目标</w:t>
            </w:r>
          </w:p>
        </w:tc>
        <w:tc>
          <w:tcPr>
            <w:tcW w:w="1295" w:type="dxa"/>
            <w:shd w:val="clear" w:color="auto" w:fill="2E74B5"/>
            <w:vAlign w:val="center"/>
          </w:tcPr>
          <w:p>
            <w:pPr>
              <w:numPr/>
              <w:spacing w:before="60" w:after="60"/>
              <w:ind/>
              <w:jc w:val="center"/>
              <w:rPr>
                <w:color w:val="FFFFFF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18"/>
                <w:u w:val="none"/>
              </w:rPr>
              <w:t>占比</w:t>
            </w:r>
          </w:p>
        </w:tc>
        <w:tc>
          <w:tcPr>
            <w:tcW w:w="1295" w:type="dxa"/>
            <w:shd w:val="clear" w:color="auto" w:fill="2E74B5"/>
            <w:vAlign w:val="center"/>
          </w:tcPr>
          <w:p>
            <w:pPr>
              <w:numPr/>
              <w:spacing w:before="60" w:after="60"/>
              <w:ind/>
              <w:jc w:val="center"/>
              <w:rPr>
                <w:color w:val="FFFFFF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FFFF"/>
                <w:spacing w:val="0"/>
                <w:sz w:val="18"/>
                <w:u w:val="none"/>
              </w:rPr>
              <w:t>预算达成</w:t>
            </w:r>
          </w:p>
        </w:tc>
        <w:tc>
          <w:tcPr>
            <w:tcW w:w="1295" w:type="dxa"/>
            <w:shd w:val="clear" w:color="auto" w:fill="2E74B5"/>
            <w:vAlign w:val="center"/>
          </w:tcPr>
          <w:p>
            <w:pPr>
              <w:numPr/>
              <w:spacing w:before="60" w:after="60"/>
              <w:ind/>
              <w:jc w:val="center"/>
              <w:rPr>
                <w:color w:val="FFFFFF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FFFF"/>
                <w:spacing w:val="0"/>
                <w:sz w:val="18"/>
                <w:u w:val="none"/>
              </w:rPr>
              <w:t>2025年3月</w:t>
            </w:r>
          </w:p>
        </w:tc>
        <w:tc>
          <w:tcPr>
            <w:tcW w:w="1295" w:type="dxa"/>
            <w:shd w:val="clear" w:color="auto" w:fill="2E74B5"/>
            <w:vAlign w:val="center"/>
          </w:tcPr>
          <w:p>
            <w:pPr>
              <w:numPr/>
              <w:spacing w:before="60" w:after="60"/>
              <w:ind/>
              <w:jc w:val="center"/>
              <w:rPr>
                <w:color w:val="FFFFFF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FFFFFF"/>
                <w:spacing w:val="0"/>
                <w:sz w:val="18"/>
                <w:u w:val="none"/>
              </w:rPr>
              <w:t>占比</w:t>
            </w:r>
          </w:p>
        </w:tc>
        <w:tc>
          <w:tcPr>
            <w:tcW w:w="1295" w:type="dxa"/>
            <w:shd w:val="clear" w:color="auto" w:fill="2E74B5"/>
            <w:vAlign w:val="center"/>
          </w:tcPr>
          <w:p>
            <w:pPr>
              <w:numPr/>
              <w:spacing w:before="60" w:after="60"/>
              <w:ind/>
              <w:jc w:val="center"/>
              <w:rPr>
                <w:color w:val="FFFFFF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18"/>
                <w:u w:val="none"/>
              </w:rPr>
              <w:t>同比</w:t>
            </w:r>
          </w:p>
        </w:tc>
      </w:tr>
      <w:tr>
        <w:trPr>
          <w:wBefore/>
          <w:trHeight/>
        </w:trPr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pBdr>
                <w:bottom/>
              </w:pBdr>
              <w:spacing w:before="60" w:after="60"/>
              <w:ind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业绩（不含广告预存）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社媒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12%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310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12%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124%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  <w:shd w:val="clear" w:color="auto" w:fill="auto"/>
              </w:rPr>
              <w:t>188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  <w:shd w:val="clear" w:color="auto" w:fill="auto"/>
              </w:rPr>
              <w:t>5%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  <w:shd w:val="clear" w:color="auto" w:fill="auto"/>
              </w:rPr>
              <w:t>105%</w:t>
            </w:r>
          </w:p>
        </w:tc>
      </w:tr>
      <w:tr>
        <w:trPr>
          <w:wBefore/>
          <w:trHeight/>
        </w:trPr>
        <w:tc>
          <w:tcPr>
            <w:tcW w:w="1295" w:type="dxa"/>
            <w:shd w:val="clear" w:color="auto" w:fill="EAF3FB"/>
            <w:vAlign w:val="center"/>
          </w:tcPr>
          <w:p>
            <w:pPr>
              <w:pBdr>
                <w:bottom/>
              </w:pBdr>
              <w:spacing w:before="60" w:after="60"/>
              <w:ind/>
              <w:jc w:val="center"/>
              <w:rPr>
                <w:rFonts w:hint="eastAsia"/>
              </w:rPr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广告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1295" w:type="dxa"/>
            <w:shd w:val="clear" w:color="auto" w:fill="EAF3FB"/>
            <w:vAlign w:val="center"/>
          </w:tcPr>
          <w:p>
            <w:pPr>
              <w:pBdr>
                <w:bottom/>
              </w:pBdr>
              <w:spacing w:before="60" w:after="60"/>
              <w:ind/>
              <w:jc w:val="center"/>
              <w:rPr>
                <w:rFonts w:hint="eastAsia"/>
              </w:rPr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独立站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1295" w:type="dxa"/>
            <w:shd w:val="clear" w:color="auto" w:fill="EAF3FB"/>
            <w:vAlign w:val="center"/>
          </w:tcPr>
          <w:p>
            <w:pPr>
              <w:pBdr>
                <w:bottom/>
              </w:pBdr>
              <w:spacing w:before="60" w:after="60"/>
              <w:ind/>
              <w:jc w:val="center"/>
              <w:rPr>
                <w:rFonts w:hint="eastAsia"/>
              </w:rPr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生态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1295" w:type="dxa"/>
            <w:shd w:val="clear" w:color="auto" w:fill="EAF3FB"/>
            <w:vAlign w:val="center"/>
          </w:tcPr>
          <w:p>
            <w:pPr>
              <w:pBdr>
                <w:bottom/>
              </w:pBdr>
              <w:spacing w:before="60" w:after="60"/>
              <w:ind/>
              <w:jc w:val="center"/>
              <w:rPr>
                <w:rFonts w:hint="eastAsia"/>
              </w:rPr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8"/>
                <w:u w:val="none"/>
              </w:rPr>
              <w:t>合计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1295" w:type="dxa"/>
            <w:shd w:val="clear" w:color="auto" w:fill="EAF3FB"/>
            <w:vAlign w:val="center"/>
          </w:tcPr>
          <w:p>
            <w:pPr>
              <w:pBdr>
                <w:bottom/>
              </w:pBdr>
              <w:spacing w:before="60" w:after="60"/>
              <w:ind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现金贡献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社媒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1295" w:type="dxa"/>
            <w:shd w:val="clear" w:color="auto" w:fill="EAF3FB"/>
            <w:vAlign w:val="center"/>
          </w:tcPr>
          <w:p>
            <w:pPr>
              <w:pBdr>
                <w:bottom/>
              </w:pBdr>
              <w:spacing w:before="60" w:after="60"/>
              <w:ind/>
              <w:jc w:val="center"/>
              <w:rPr>
                <w:rFonts w:hint="eastAsia"/>
              </w:rPr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广告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1295" w:type="dxa"/>
            <w:shd w:val="clear" w:color="auto" w:fill="EAF3FB"/>
            <w:vAlign w:val="center"/>
          </w:tcPr>
          <w:p>
            <w:pPr>
              <w:pBdr>
                <w:bottom/>
              </w:pBdr>
              <w:spacing w:before="60" w:after="60"/>
              <w:ind/>
              <w:jc w:val="center"/>
              <w:rPr>
                <w:rFonts w:hint="eastAsia"/>
              </w:rPr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独立站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1295" w:type="dxa"/>
            <w:shd w:val="clear" w:color="auto" w:fill="EAF3FB"/>
            <w:vAlign w:val="center"/>
          </w:tcPr>
          <w:p>
            <w:pPr>
              <w:pBdr>
                <w:bottom/>
              </w:pBdr>
              <w:spacing w:before="60" w:after="60"/>
              <w:ind/>
              <w:jc w:val="center"/>
              <w:rPr>
                <w:rFonts w:hint="eastAsia"/>
              </w:rPr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生态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1295" w:type="dxa"/>
            <w:shd w:val="clear" w:color="auto" w:fill="EAF3FB"/>
            <w:vAlign w:val="center"/>
          </w:tcPr>
          <w:p>
            <w:pPr>
              <w:pBdr>
                <w:bottom/>
              </w:pBdr>
              <w:spacing w:before="60" w:after="60"/>
              <w:ind/>
              <w:jc w:val="center"/>
              <w:rPr>
                <w:rFonts w:hint="eastAsia"/>
              </w:rPr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8"/>
                <w:u w:val="none"/>
              </w:rPr>
              <w:t>公共支出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1295" w:type="dxa"/>
            <w:shd w:val="clear" w:color="auto" w:fill="EAF3FB"/>
            <w:vAlign w:val="center"/>
          </w:tcPr>
          <w:p>
            <w:pPr>
              <w:pBdr>
                <w:bottom/>
              </w:pBdr>
              <w:spacing w:before="60" w:after="60"/>
              <w:ind/>
              <w:jc w:val="center"/>
              <w:rPr>
                <w:rFonts w:hint="eastAsia"/>
              </w:rPr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8"/>
                <w:u w:val="none"/>
              </w:rPr>
              <w:t>净现金贡献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1295" w:type="dxa"/>
            <w:shd w:val="clear" w:color="auto" w:fill="EAF3FB"/>
            <w:vAlign w:val="center"/>
          </w:tcPr>
          <w:p>
            <w:pPr>
              <w:pBdr>
                <w:bottom/>
              </w:pBdr>
              <w:spacing w:before="60" w:after="60"/>
              <w:ind/>
              <w:jc w:val="center"/>
              <w:rPr>
                <w:rFonts w:hint="eastAsia"/>
              </w:rPr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25同期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ind/>
              <w:jc w:val="center"/>
              <w:rPr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1295" w:type="dxa"/>
            <w:shd w:val="clear" w:color="auto" w:fill="FFFFFF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8"/>
                <w:u w:val="none"/>
              </w:rPr>
              <w:t>同比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66%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1,388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52%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150%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numPr/>
              <w:spacing w:before="60" w:after="60"/>
              <w:ind/>
              <w:jc w:val="center"/>
              <w:rPr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  <w:shd w:val="clear" w:color="auto" w:fill="auto"/>
              </w:rPr>
              <w:t>2,481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numPr/>
              <w:spacing w:before="60" w:after="60"/>
              <w:ind/>
              <w:jc w:val="center"/>
              <w:rPr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  <w:shd w:val="clear" w:color="auto" w:fill="auto"/>
              </w:rPr>
              <w:t>67%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numPr/>
              <w:spacing w:before="60" w:after="60"/>
              <w:ind/>
              <w:jc w:val="center"/>
              <w:rPr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  <w:shd w:val="clear" w:color="auto" w:fill="auto"/>
              </w:rPr>
              <w:t>-16%</w:t>
            </w:r>
          </w:p>
        </w:tc>
      </w:tr>
      <w:tr>
        <w:trPr>
          <w:wBefore/>
          <w:trHeight/>
        </w:trPr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付费客户数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社媒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18%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773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29%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72%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  <w:shd w:val="clear" w:color="auto" w:fill="auto"/>
              </w:rPr>
              <w:t>846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  <w:shd w:val="clear" w:color="auto" w:fill="auto"/>
              </w:rPr>
              <w:t>23%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  <w:shd w:val="clear" w:color="auto" w:fill="auto"/>
              </w:rPr>
              <w:t>-34%</w:t>
            </w:r>
          </w:p>
        </w:tc>
      </w:tr>
      <w:tr>
        <w:trPr>
          <w:wBefore/>
          <w:trHeight/>
        </w:trPr>
        <w:tc>
          <w:tcPr>
            <w:tcW w:w="1295" w:type="dxa"/>
            <w:shd w:val="clear" w:color="auto" w:fill="FFFFFF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独立站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4%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204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8%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69%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numPr/>
              <w:spacing w:before="60" w:after="60"/>
              <w:ind/>
              <w:jc w:val="center"/>
              <w:rPr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  <w:shd w:val="clear" w:color="auto" w:fill="auto"/>
              </w:rPr>
              <w:t>198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numPr/>
              <w:spacing w:before="60" w:after="60"/>
              <w:ind/>
              <w:jc w:val="center"/>
              <w:rPr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  <w:shd w:val="clear" w:color="auto" w:fill="auto"/>
              </w:rPr>
              <w:t>2%</w:t>
            </w: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numPr/>
              <w:spacing w:before="60" w:after="60"/>
              <w:ind/>
              <w:jc w:val="center"/>
              <w:rPr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  <w:shd w:val="clear" w:color="auto" w:fill="auto"/>
              </w:rPr>
              <w:t>-29%</w:t>
            </w:r>
          </w:p>
        </w:tc>
      </w:tr>
      <w:tr>
        <w:trPr>
          <w:wBefore/>
          <w:trHeight/>
        </w:trPr>
        <w:tc>
          <w:tcPr>
            <w:tcW w:w="1295" w:type="dxa"/>
            <w:shd w:val="clear" w:color="auto" w:fill="D6E4F0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合计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100%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2,675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100%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</w:rPr>
              <w:t>119%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  <w:shd w:val="clear" w:color="auto" w:fill="auto"/>
              </w:rPr>
              <w:t>3,713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  <w:shd w:val="clear" w:color="auto" w:fill="auto"/>
              </w:rPr>
              <w:t>100%</w:t>
            </w: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numPr/>
              <w:spacing w:before="60" w:after="60"/>
              <w:ind/>
              <w:jc w:val="center"/>
              <w:rPr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8"/>
                <w:u w:val="none"/>
                <w:shd w:val="clear" w:color="auto" w:fill="auto"/>
              </w:rPr>
              <w:t>-15%</w:t>
            </w:r>
          </w:p>
        </w:tc>
      </w:tr>
    </w:tbl>
    <w:p>
      <w:pPr>
        <w:spacing w:after="80"/>
        <w:rPr/>
      </w:pPr>
    </w:p>
    <w:p>
      <w:pPr>
        <w:spacing w:before="200" w:after="60"/>
        <w:rPr/>
      </w:pPr>
      <w:r>
        <w:rPr>
          <w:rFonts w:ascii="微软雅黑" w:hAnsi="微软雅黑" w:eastAsia="微软雅黑"/>
          <w:b/>
          <w:i w:val="false"/>
          <w:color w:val="2E74B5"/>
          <w:sz w:val="24"/>
        </w:rPr>
        <w:t>3.  公司级关键问题与解决方案</w:t>
      </w:r>
    </w:p>
    <w:p>
      <w:pPr>
        <w:spacing w:before="40" w:after="120"/>
        <w:rPr/>
      </w:pPr>
      <w:r>
        <w:rPr>
          <w:rFonts w:ascii="微软雅黑" w:hAnsi="微软雅黑" w:eastAsia="微软雅黑"/>
          <w:b w:val="false"/>
          <w:i w:val="false"/>
          <w:color w:val="404040"/>
          <w:sz w:val="21"/>
        </w:rPr>
        <w:t>请列出当前影响公司整体经营目标的 1-3 个核心问题，并给出明确的解决方案、责任人及完成时间。</w:t>
      </w:r>
    </w:p>
    <w:tbl>
      <w:tblPr>
        <w:tblStyle w:val="000049"/>
        <w:tblW w:w="0" w:type="auto"/>
        <w:jc w:val="center"/>
        <w:tblInd w:w="-390" w:type="dxa"/>
        <w:tblLayout w:type="fixed"/>
        <w:tblLook w:firstRow="true" w:lastRow="false" w:firstColumn="true" w:lastColumn="false" w:noHBand="false" w:noVBand="true" w:val="04A0"/>
      </w:tblPr>
      <w:tblGrid>
        <w:gridCol w:w="5248"/>
        <w:gridCol w:w="3463"/>
      </w:tblGrid>
      <w:tr>
        <w:trPr/>
        <w:tc>
          <w:tcPr>
            <w:tcW w:w="5248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关键问题描述</w:t>
            </w:r>
          </w:p>
        </w:tc>
        <w:tc>
          <w:tcPr>
            <w:tcW w:w="3463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hint="eastAsia" w:ascii="微软雅黑" w:hAnsi="微软雅黑" w:eastAsia="微软雅黑"/>
                <w:b/>
                <w:i w:val="false"/>
                <w:color w:val="FFFFFF"/>
                <w:sz w:val="20"/>
              </w:rPr>
              <w:t>需要</w:t>
            </w:r>
            <w:r>
              <w:rPr>
                <w:rFonts w:hint="eastAsia" w:ascii="微软雅黑" w:hAnsi="微软雅黑" w:eastAsia="微软雅黑"/>
                <w:b/>
                <w:i w:val="false"/>
                <w:color w:val="FFFFFF"/>
                <w:sz w:val="20"/>
              </w:rPr>
              <w:t>支持</w:t>
            </w:r>
            <w:r>
              <w:rPr>
                <w:rFonts w:hint="eastAsia" w:ascii="微软雅黑" w:hAnsi="微软雅黑" w:eastAsia="微软雅黑"/>
                <w:b/>
                <w:i w:val="false"/>
                <w:color w:val="FFFFFF"/>
                <w:sz w:val="20"/>
              </w:rPr>
              <w:t>的</w:t>
            </w: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完成时间</w:t>
            </w:r>
          </w:p>
        </w:tc>
      </w:tr>
      <w:tr>
        <w:trPr/>
        <w:tc>
          <w:tcPr>
            <w:tcW w:w="5248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产研</w:t>
            </w:r>
            <w:r>
              <w:rPr>
                <w:rFonts w:hint="eastAsia"/>
              </w:rPr>
              <w:t>人员</w:t>
            </w:r>
            <w:r>
              <w:rPr>
                <w:rFonts w:hint="eastAsia"/>
              </w:rPr>
              <w:t>严重</w:t>
            </w:r>
            <w:r>
              <w:rPr>
                <w:rFonts w:hint="eastAsia"/>
              </w:rPr>
              <w:t>缺失</w:t>
            </w:r>
          </w:p>
        </w:tc>
        <w:tc>
          <w:tcPr>
            <w:tcW w:w="346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 xml:space="preserve"> 月</w:t>
            </w:r>
            <w:r>
              <w:rPr>
                <w:rFonts w:hint="eastAsia"/>
              </w:rPr>
              <w:t>内</w:t>
            </w:r>
          </w:p>
        </w:tc>
      </w:tr>
    </w:tbl>
    <w:p>
      <w:pPr>
        <w:spacing w:after="80"/>
        <w:rPr/>
      </w:pPr>
    </w:p>
    <w:p>
      <w:pPr>
        <w:rPr/>
      </w:pPr>
      <w:r>
        <w:rPr/>
        <w:br w:type="page"/>
      </w:r>
    </w:p>
    <w:p>
      <w:pPr>
        <w:pBdr>
          <w:left w:val="single" w:color="1F497D" w:sz="24" w:space="4"/>
        </w:pBdr>
        <w:spacing w:before="280" w:after="80"/>
        <w:rPr/>
      </w:pPr>
      <w:r>
        <w:rPr>
          <w:rFonts w:ascii="微软雅黑" w:hAnsi="微软雅黑" w:eastAsia="微软雅黑"/>
          <w:b/>
          <w:i w:val="false"/>
          <w:color w:val="1F497D"/>
          <w:sz w:val="30"/>
        </w:rPr>
        <w:t>二、 产品（中心）经营分析</w:t>
      </w:r>
    </w:p>
    <w:p>
      <w:pPr>
        <w:shd w:val="clear" w:color="auto" w:fill="F2F2F2"/>
        <w:spacing w:before="40" w:after="120"/>
        <w:rPr/>
      </w:pPr>
      <w:r>
        <w:rPr>
          <w:rFonts w:ascii="微软雅黑" w:hAnsi="微软雅黑" w:eastAsia="微软雅黑"/>
          <w:b w:val="false"/>
          <w:i/>
          <w:color w:val="808080"/>
          <w:sz w:val="19"/>
        </w:rPr>
        <w:t>📋 撰写说明：由产品中心负责。重点分析产品线的经营结构、结果，以及未来的 Roadmap。</w:t>
      </w:r>
    </w:p>
    <w:p>
      <w:pPr>
        <w:spacing w:before="200" w:after="60"/>
        <w:rPr/>
      </w:pPr>
      <w:r>
        <w:rPr>
          <w:rFonts w:ascii="微软雅黑" w:hAnsi="微软雅黑" w:eastAsia="微软雅黑"/>
          <w:b/>
          <w:i w:val="false"/>
          <w:color w:val="2E74B5"/>
          <w:sz w:val="24"/>
        </w:rPr>
        <w:t>1.  主产品线及生态产品经营结构分析</w:t>
      </w:r>
    </w:p>
    <w:p>
      <w:pPr>
        <w:spacing w:before="40" w:after="120"/>
        <w:rPr/>
      </w:pPr>
      <w:r>
        <w:rPr>
          <w:rFonts w:ascii="微软雅黑" w:hAnsi="微软雅黑" w:eastAsia="微软雅黑"/>
          <w:b w:val="false"/>
          <w:i w:val="false"/>
          <w:color w:val="404040"/>
          <w:sz w:val="21"/>
        </w:rPr>
        <w:t>简述目前公司主产品线（如 AIMI、独立站、广告）与生态产品的结构占比情况，以及本月结构优化的进展。</w:t>
      </w:r>
    </w:p>
    <w:p>
      <w:pPr>
        <w:spacing w:before="200" w:after="60"/>
        <w:rPr/>
      </w:pPr>
      <w:r>
        <w:rPr>
          <w:rFonts w:ascii="微软雅黑" w:hAnsi="微软雅黑" w:eastAsia="微软雅黑"/>
          <w:b/>
          <w:i w:val="false"/>
          <w:color w:val="2E74B5"/>
          <w:sz w:val="24"/>
        </w:rPr>
        <w:t>2.  各产品线的经营结果分析</w:t>
      </w:r>
    </w:p>
    <w:p>
      <w:pPr>
        <w:spacing w:before="40" w:after="120"/>
        <w:rPr/>
      </w:pPr>
      <w:r>
        <w:rPr>
          <w:rFonts w:ascii="微软雅黑" w:hAnsi="微软雅黑" w:eastAsia="微软雅黑"/>
          <w:b w:val="false"/>
          <w:i w:val="false"/>
          <w:color w:val="404040"/>
          <w:sz w:val="21"/>
        </w:rPr>
        <w:t>针对各核心产品线，分析其本月的交付效果、客户反馈及核心业务指标。</w:t>
      </w:r>
    </w:p>
    <w:tbl>
      <w:tblPr>
        <w:tblStyle w:val="000049"/>
        <w:tblW w:w="0" w:type="auto"/>
        <w:jc w:val="center"/>
        <w:tblLayout w:type="fixed"/>
        <w:tblLook w:firstRow="true" w:lastRow="false" w:firstColumn="true" w:lastColumn="false" w:noHBand="false" w:noVBand="true" w:val="04A0"/>
      </w:tblPr>
      <w:tblGrid>
        <w:gridCol w:w="1813"/>
        <w:gridCol w:w="1813"/>
        <w:gridCol w:w="1813"/>
        <w:gridCol w:w="1813"/>
        <w:gridCol w:w="2158"/>
      </w:tblGrid>
      <w:tr>
        <w:trPr/>
        <w:tc>
          <w:tcPr>
            <w:tcW w:w="1813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产品线</w:t>
            </w:r>
          </w:p>
        </w:tc>
        <w:tc>
          <w:tcPr>
            <w:tcW w:w="1813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核心经营指标</w:t>
            </w:r>
          </w:p>
        </w:tc>
        <w:tc>
          <w:tcPr>
            <w:tcW w:w="1813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本月实际达成</w:t>
            </w:r>
          </w:p>
        </w:tc>
        <w:tc>
          <w:tcPr>
            <w:tcW w:w="1813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环比变化</w:t>
            </w:r>
          </w:p>
        </w:tc>
        <w:tc>
          <w:tcPr>
            <w:tcW w:w="2158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异常波动原因分析</w:t>
            </w:r>
          </w:p>
        </w:tc>
      </w:tr>
      <w:tr>
        <w:trPr/>
        <w:tc>
          <w:tcPr>
            <w:tcW w:w="181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81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81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81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2158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</w:tr>
      <w:tr>
        <w:trPr/>
        <w:tc>
          <w:tcPr>
            <w:tcW w:w="1813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813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813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813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2158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</w:p>
        </w:tc>
      </w:tr>
      <w:tr>
        <w:trPr/>
        <w:tc>
          <w:tcPr>
            <w:tcW w:w="181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81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81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81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2158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</w:tr>
    </w:tbl>
    <w:p>
      <w:pPr>
        <w:spacing w:after="80"/>
        <w:rPr/>
      </w:pPr>
    </w:p>
    <w:p>
      <w:pPr>
        <w:spacing w:before="200" w:after="60"/>
        <w:rPr/>
      </w:pPr>
      <w:r>
        <w:rPr>
          <w:rFonts w:ascii="微软雅黑" w:hAnsi="微软雅黑" w:eastAsia="微软雅黑"/>
          <w:b/>
          <w:i w:val="false"/>
          <w:color w:val="2E74B5"/>
          <w:sz w:val="24"/>
        </w:rPr>
        <w:t>3.  产品重点 Roadmap 汇报</w:t>
      </w:r>
    </w:p>
    <w:p>
      <w:pPr>
        <w:spacing w:before="40" w:after="120"/>
        <w:rPr/>
      </w:pPr>
      <w:r>
        <w:rPr>
          <w:rFonts w:ascii="微软雅黑" w:hAnsi="微软雅黑" w:eastAsia="微软雅黑"/>
          <w:b w:val="false"/>
          <w:i w:val="false"/>
          <w:color w:val="404040"/>
          <w:sz w:val="21"/>
        </w:rPr>
        <w:t>列出本月已上线的重要产品功能，以及下个月计划发布的核心功能，重点说明这些功能对业务的价值。</w:t>
      </w:r>
    </w:p>
    <w:tbl>
      <w:tblPr>
        <w:tblStyle w:val="000049"/>
        <w:tblW w:w="0" w:type="auto"/>
        <w:jc w:val="center"/>
        <w:tblInd w:w="-225" w:type="dxa"/>
        <w:tblLayout w:type="fixed"/>
        <w:tblLook w:firstRow="true" w:lastRow="false" w:firstColumn="true" w:lastColumn="false" w:noHBand="false" w:noVBand="true" w:val="04A0"/>
      </w:tblPr>
      <w:tblGrid>
        <w:gridCol w:w="2491"/>
        <w:gridCol w:w="2266"/>
        <w:gridCol w:w="2266"/>
        <w:gridCol w:w="2266"/>
      </w:tblGrid>
      <w:tr>
        <w:trPr/>
        <w:tc>
          <w:tcPr>
            <w:tcW w:w="2491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产品线</w:t>
            </w:r>
          </w:p>
        </w:tc>
        <w:tc>
          <w:tcPr>
            <w:tcW w:w="2266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本月已上线核心功能及业务价值</w:t>
            </w:r>
          </w:p>
        </w:tc>
        <w:tc>
          <w:tcPr>
            <w:tcW w:w="2266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下月计划上线核心功能及预期价值</w:t>
            </w:r>
          </w:p>
        </w:tc>
        <w:tc>
          <w:tcPr>
            <w:tcW w:w="2266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状态</w:t>
            </w:r>
          </w:p>
        </w:tc>
      </w:tr>
      <w:tr>
        <w:trPr/>
        <w:tc>
          <w:tcPr>
            <w:tcW w:w="2491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2266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2266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2266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</w:tr>
      <w:tr>
        <w:trPr/>
        <w:tc>
          <w:tcPr>
            <w:tcW w:w="2491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2266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2266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2266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</w:p>
        </w:tc>
      </w:tr>
      <w:tr>
        <w:trPr/>
        <w:tc>
          <w:tcPr>
            <w:tcW w:w="2491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2266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2266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2266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</w:tr>
    </w:tbl>
    <w:p>
      <w:pPr>
        <w:spacing w:after="80"/>
        <w:rPr/>
      </w:pPr>
    </w:p>
    <w:p>
      <w:pPr>
        <w:spacing w:before="200" w:after="60"/>
        <w:rPr/>
      </w:pPr>
      <w:r>
        <w:rPr>
          <w:rFonts w:ascii="微软雅黑" w:hAnsi="微软雅黑" w:eastAsia="微软雅黑"/>
          <w:b/>
          <w:i w:val="false"/>
          <w:color w:val="2E74B5"/>
          <w:sz w:val="24"/>
        </w:rPr>
        <w:t>4.  产品体系关键问题与解决方案</w:t>
      </w:r>
    </w:p>
    <w:p>
      <w:pPr>
        <w:spacing w:before="40" w:after="120"/>
        <w:rPr/>
      </w:pPr>
      <w:r>
        <w:rPr>
          <w:rFonts w:ascii="微软雅黑" w:hAnsi="微软雅黑" w:eastAsia="微软雅黑"/>
          <w:b w:val="false"/>
          <w:i w:val="false"/>
          <w:color w:val="404040"/>
          <w:sz w:val="21"/>
        </w:rPr>
        <w:t>针对产品研发、交付、运营过程中遇到的关键问题，提出解决方案。</w:t>
      </w:r>
    </w:p>
    <w:tbl>
      <w:tblPr>
        <w:tblStyle w:val="000049"/>
        <w:tblW w:w="0" w:type="auto"/>
        <w:jc w:val="center"/>
        <w:tblLayout w:type="fixed"/>
        <w:tblLook w:firstRow="true" w:lastRow="false" w:firstColumn="true" w:lastColumn="false" w:noHBand="false" w:noVBand="true" w:val="04A0"/>
      </w:tblPr>
      <w:tblGrid>
        <w:gridCol w:w="1813"/>
        <w:gridCol w:w="1813"/>
        <w:gridCol w:w="1813"/>
        <w:gridCol w:w="1813"/>
        <w:gridCol w:w="1813"/>
      </w:tblGrid>
      <w:tr>
        <w:trPr/>
        <w:tc>
          <w:tcPr>
            <w:tcW w:w="1813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产品关键问题描述</w:t>
            </w:r>
          </w:p>
        </w:tc>
        <w:tc>
          <w:tcPr>
            <w:tcW w:w="1813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影响范围</w:t>
            </w:r>
          </w:p>
        </w:tc>
        <w:tc>
          <w:tcPr>
            <w:tcW w:w="1813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解决方案及行动计划</w:t>
            </w:r>
          </w:p>
        </w:tc>
        <w:tc>
          <w:tcPr>
            <w:tcW w:w="1813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责任人</w:t>
            </w:r>
          </w:p>
        </w:tc>
        <w:tc>
          <w:tcPr>
            <w:tcW w:w="1813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预计完成时间</w:t>
            </w:r>
          </w:p>
        </w:tc>
      </w:tr>
      <w:tr>
        <w:trPr/>
        <w:tc>
          <w:tcPr>
            <w:tcW w:w="181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81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81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81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81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</w:tr>
      <w:tr>
        <w:trPr/>
        <w:tc>
          <w:tcPr>
            <w:tcW w:w="1813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813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813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813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813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</w:p>
        </w:tc>
      </w:tr>
    </w:tbl>
    <w:p>
      <w:pPr>
        <w:spacing w:after="80"/>
        <w:rPr/>
      </w:pPr>
    </w:p>
    <w:p>
      <w:pPr>
        <w:rPr/>
      </w:pPr>
      <w:r>
        <w:rPr/>
        <w:br w:type="page"/>
      </w:r>
    </w:p>
    <w:p>
      <w:pPr>
        <w:pBdr>
          <w:left w:val="single" w:color="1F497D" w:sz="24" w:space="4"/>
        </w:pBdr>
        <w:spacing w:before="280" w:after="80"/>
        <w:rPr/>
      </w:pPr>
      <w:r>
        <w:rPr>
          <w:rFonts w:ascii="微软雅黑" w:hAnsi="微软雅黑" w:eastAsia="微软雅黑"/>
          <w:b/>
          <w:i w:val="false"/>
          <w:color w:val="1F497D"/>
          <w:sz w:val="30"/>
        </w:rPr>
        <w:t>三、 跨境前场营销获客分析</w:t>
      </w:r>
    </w:p>
    <w:p>
      <w:pPr>
        <w:shd w:val="clear" w:color="auto" w:fill="F2F2F2"/>
        <w:spacing w:before="40" w:after="120"/>
        <w:rPr/>
      </w:pPr>
      <w:r>
        <w:rPr>
          <w:rFonts w:ascii="微软雅黑" w:hAnsi="微软雅黑" w:eastAsia="微软雅黑"/>
          <w:b w:val="false"/>
          <w:i/>
          <w:color w:val="808080"/>
          <w:sz w:val="19"/>
        </w:rPr>
        <w:t>📋 撰写说明：由营销中心/销售部负责。重点分析获客漏斗、交叉销售效率及直销团队表现。</w:t>
      </w:r>
    </w:p>
    <w:p>
      <w:pPr>
        <w:spacing w:before="200" w:after="60"/>
        <w:rPr/>
      </w:pPr>
      <w:r>
        <w:rPr>
          <w:rFonts w:ascii="微软雅黑" w:hAnsi="微软雅黑" w:eastAsia="微软雅黑"/>
          <w:b/>
          <w:i w:val="false"/>
          <w:color w:val="2E74B5"/>
          <w:sz w:val="24"/>
        </w:rPr>
        <w:t>1.  整体获客渠道与转化漏斗</w:t>
      </w:r>
    </w:p>
    <w:p>
      <w:pPr>
        <w:spacing w:before="40" w:after="120"/>
        <w:rPr/>
      </w:pPr>
      <w:r>
        <w:rPr>
          <w:rFonts w:ascii="微软雅黑" w:hAnsi="微软雅黑" w:eastAsia="微软雅黑"/>
          <w:b w:val="false"/>
          <w:i w:val="false"/>
          <w:color w:val="404040"/>
          <w:sz w:val="21"/>
        </w:rPr>
        <w:t>展示本月各渠道的线索量、转化率及获客成本，并对比上月情况，形成统一的获客转化漏斗视图。</w:t>
      </w:r>
    </w:p>
    <w:tbl>
      <w:tblPr>
        <w:tblStyle w:val="000049"/>
        <w:tblW w:w="0" w:type="auto"/>
        <w:jc w:val="center"/>
        <w:tblLayout w:type="fixed"/>
        <w:tblLook w:firstRow="true" w:lastRow="false" w:firstColumn="true" w:lastColumn="false" w:noHBand="false" w:noVBand="true" w:val="04A0"/>
      </w:tblPr>
      <w:tblGrid>
        <w:gridCol w:w="1295"/>
        <w:gridCol w:w="1295"/>
        <w:gridCol w:w="1295"/>
        <w:gridCol w:w="1295"/>
        <w:gridCol w:w="1295"/>
        <w:gridCol w:w="1295"/>
        <w:gridCol w:w="1640"/>
      </w:tblGrid>
      <w:tr>
        <w:trPr/>
        <w:tc>
          <w:tcPr>
            <w:tcW w:w="1295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获客渠道</w:t>
            </w:r>
          </w:p>
        </w:tc>
        <w:tc>
          <w:tcPr>
            <w:tcW w:w="1295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本月线索量</w:t>
            </w:r>
          </w:p>
        </w:tc>
        <w:tc>
          <w:tcPr>
            <w:tcW w:w="1295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有效线索率</w:t>
            </w:r>
          </w:p>
        </w:tc>
        <w:tc>
          <w:tcPr>
            <w:tcW w:w="1295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签约客户数</w:t>
            </w:r>
          </w:p>
        </w:tc>
        <w:tc>
          <w:tcPr>
            <w:tcW w:w="1295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转化率</w:t>
            </w:r>
          </w:p>
        </w:tc>
        <w:tc>
          <w:tcPr>
            <w:tcW w:w="1295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获客成本（CAC）</w:t>
            </w:r>
          </w:p>
        </w:tc>
        <w:tc>
          <w:tcPr>
            <w:tcW w:w="1640" w:type="dxa"/>
            <w:shd w:val="clear" w:color="auto" w:fill="2E74B5"/>
            <w:vAlign w:val="center"/>
          </w:tcPr>
          <w:p>
            <w:pPr>
              <w:pBdr/>
              <w:spacing w:before="60" w:after="60"/>
              <w:ind/>
              <w:jc w:val="center"/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环比变化</w:t>
            </w:r>
          </w:p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说明</w:t>
            </w:r>
          </w:p>
        </w:tc>
      </w:tr>
      <w:tr>
        <w:trPr/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295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640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</w:tr>
      <w:tr>
        <w:trPr/>
        <w:tc>
          <w:tcPr>
            <w:tcW w:w="1295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295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640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</w:p>
        </w:tc>
      </w:tr>
    </w:tbl>
    <w:p>
      <w:pPr>
        <w:spacing w:after="80"/>
        <w:rPr/>
      </w:pPr>
    </w:p>
    <w:p>
      <w:pPr>
        <w:spacing w:before="200" w:after="60"/>
        <w:rPr/>
      </w:pPr>
      <w:r>
        <w:rPr>
          <w:rFonts w:ascii="微软雅黑" w:hAnsi="微软雅黑" w:eastAsia="微软雅黑"/>
          <w:b/>
          <w:i w:val="false"/>
          <w:color w:val="2E74B5"/>
          <w:sz w:val="24"/>
        </w:rPr>
        <w:t>2.  产品及产品交叉（组合）营销效率分析</w:t>
      </w:r>
    </w:p>
    <w:p>
      <w:pPr>
        <w:spacing w:before="40" w:after="120"/>
        <w:rPr/>
      </w:pPr>
      <w:r>
        <w:rPr>
          <w:rFonts w:ascii="微软雅黑" w:hAnsi="微软雅黑" w:eastAsia="微软雅黑"/>
          <w:b w:val="false"/>
          <w:i w:val="false"/>
          <w:color w:val="404040"/>
          <w:sz w:val="21"/>
        </w:rPr>
        <w:t>分析不同产品组合的销售情况，评估交叉销售的效率和提升空间。</w:t>
      </w:r>
    </w:p>
    <w:tbl>
      <w:tblPr>
        <w:tblStyle w:val="000049"/>
        <w:tblW w:w="0" w:type="auto"/>
        <w:jc w:val="center"/>
        <w:tblLayout w:type="fixed"/>
        <w:tblLook w:firstRow="true" w:lastRow="false" w:firstColumn="true" w:lastColumn="false" w:noHBand="false" w:noVBand="true" w:val="04A0"/>
      </w:tblPr>
      <w:tblGrid>
        <w:gridCol w:w="1813"/>
        <w:gridCol w:w="1813"/>
        <w:gridCol w:w="1813"/>
        <w:gridCol w:w="1813"/>
        <w:gridCol w:w="1813"/>
      </w:tblGrid>
      <w:tr>
        <w:trPr/>
        <w:tc>
          <w:tcPr>
            <w:tcW w:w="1813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产品组合类型</w:t>
            </w:r>
          </w:p>
        </w:tc>
        <w:tc>
          <w:tcPr>
            <w:tcW w:w="1813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本月销售单数</w:t>
            </w:r>
          </w:p>
        </w:tc>
        <w:tc>
          <w:tcPr>
            <w:tcW w:w="1813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占总单数比例</w:t>
            </w:r>
          </w:p>
        </w:tc>
        <w:tc>
          <w:tcPr>
            <w:tcW w:w="1813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客单价（万元）</w:t>
            </w:r>
          </w:p>
        </w:tc>
        <w:tc>
          <w:tcPr>
            <w:tcW w:w="1813" w:type="dxa"/>
            <w:shd w:val="clear" w:color="auto" w:fill="2E74B5"/>
            <w:vAlign w:val="center"/>
          </w:tcPr>
          <w:p>
            <w:pPr>
              <w:pBdr/>
              <w:spacing w:before="60" w:after="60"/>
              <w:ind/>
              <w:jc w:val="center"/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交叉销售成功</w:t>
            </w:r>
          </w:p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率分析</w:t>
            </w:r>
          </w:p>
        </w:tc>
      </w:tr>
      <w:tr>
        <w:trPr/>
        <w:tc>
          <w:tcPr>
            <w:tcW w:w="181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81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81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81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81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</w:tr>
      <w:tr>
        <w:trPr/>
        <w:tc>
          <w:tcPr>
            <w:tcW w:w="1813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813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813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813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813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</w:p>
        </w:tc>
      </w:tr>
      <w:tr>
        <w:trPr/>
        <w:tc>
          <w:tcPr>
            <w:tcW w:w="181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81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81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81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81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</w:tr>
    </w:tbl>
    <w:p>
      <w:pPr>
        <w:spacing w:after="80"/>
        <w:rPr/>
      </w:pPr>
    </w:p>
    <w:p>
      <w:pPr>
        <w:spacing w:before="200" w:after="60"/>
        <w:rPr/>
      </w:pPr>
      <w:r>
        <w:rPr>
          <w:rFonts w:ascii="微软雅黑" w:hAnsi="微软雅黑" w:eastAsia="微软雅黑"/>
          <w:b/>
          <w:i w:val="false"/>
          <w:color w:val="2E74B5"/>
          <w:sz w:val="24"/>
        </w:rPr>
        <w:t>3.  跨境直销体系经营情况分析</w:t>
      </w:r>
    </w:p>
    <w:p>
      <w:pPr>
        <w:spacing w:before="40" w:after="120"/>
        <w:rPr/>
      </w:pPr>
      <w:r>
        <w:rPr>
          <w:rFonts w:ascii="微软雅黑" w:hAnsi="微软雅黑" w:eastAsia="微软雅黑"/>
          <w:b w:val="false"/>
          <w:i w:val="false"/>
          <w:color w:val="404040"/>
          <w:sz w:val="21"/>
        </w:rPr>
        <w:t>重点分析各销售分公司的业绩达成、人效及关键动作。</w:t>
      </w:r>
    </w:p>
    <w:tbl>
      <w:tblPr>
        <w:tblStyle w:val="000049"/>
        <w:tblW w:w="0" w:type="auto"/>
        <w:jc w:val="center"/>
        <w:tblLayout w:type="fixed"/>
        <w:tblLook w:firstRow="true" w:lastRow="false" w:firstColumn="true" w:lastColumn="false" w:noHBand="false" w:noVBand="true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rPr/>
        <w:tc>
          <w:tcPr>
            <w:tcW w:w="1511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销售分公司</w:t>
            </w:r>
          </w:p>
        </w:tc>
        <w:tc>
          <w:tcPr>
            <w:tcW w:w="1511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本月业绩目标</w:t>
            </w:r>
          </w:p>
        </w:tc>
        <w:tc>
          <w:tcPr>
            <w:tcW w:w="1511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实际达成</w:t>
            </w:r>
          </w:p>
        </w:tc>
        <w:tc>
          <w:tcPr>
            <w:tcW w:w="1511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达成率</w:t>
            </w:r>
          </w:p>
        </w:tc>
        <w:tc>
          <w:tcPr>
            <w:tcW w:w="1511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人均产能</w:t>
            </w:r>
          </w:p>
        </w:tc>
        <w:tc>
          <w:tcPr>
            <w:tcW w:w="1511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核心亮点或不足分析</w:t>
            </w:r>
          </w:p>
        </w:tc>
      </w:tr>
      <w:tr>
        <w:trPr/>
        <w:tc>
          <w:tcPr>
            <w:tcW w:w="1511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511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511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511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511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511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</w:tr>
      <w:tr>
        <w:trPr/>
        <w:tc>
          <w:tcPr>
            <w:tcW w:w="1511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511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511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511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511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511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</w:p>
        </w:tc>
      </w:tr>
    </w:tbl>
    <w:p>
      <w:pPr>
        <w:spacing w:after="80"/>
        <w:rPr/>
      </w:pPr>
    </w:p>
    <w:p>
      <w:pPr>
        <w:spacing w:before="200" w:after="60"/>
        <w:rPr/>
      </w:pPr>
      <w:r>
        <w:rPr>
          <w:rFonts w:ascii="微软雅黑" w:hAnsi="微软雅黑" w:eastAsia="微软雅黑"/>
          <w:b/>
          <w:i w:val="false"/>
          <w:color w:val="2E74B5"/>
          <w:sz w:val="24"/>
        </w:rPr>
        <w:t>4.  营销端关键问题与解决方案</w:t>
      </w:r>
    </w:p>
    <w:p>
      <w:pPr>
        <w:pBdr>
          <w:bottom/>
        </w:pBdr>
        <w:spacing w:before="40" w:after="120"/>
        <w:ind/>
        <w:rPr>
          <w:rFonts w:ascii="微软雅黑" w:hAnsi="微软雅黑" w:eastAsia="微软雅黑"/>
          <w:b w:val="false"/>
          <w:i w:val="false"/>
          <w:color w:val="404040"/>
          <w:sz w:val="21"/>
        </w:rPr>
      </w:pPr>
      <w:r>
        <w:rPr>
          <w:rFonts w:ascii="微软雅黑" w:hAnsi="微软雅黑" w:eastAsia="微软雅黑"/>
          <w:b w:val="false"/>
          <w:i w:val="false"/>
          <w:color w:val="404040"/>
          <w:sz w:val="21"/>
        </w:rPr>
        <w:t>针对线索质量、转化率、团队效能等方面的关键问题，提出改进措施。</w:t>
      </w:r>
    </w:p>
    <w:tbl>
      <w:tblPr>
        <w:tblStyle w:val="000049"/>
        <w:tblW w:w="0" w:type="auto"/>
        <w:jc w:val="center"/>
        <w:tblLayout w:type="fixed"/>
        <w:tblLook w:firstRow="true" w:lastRow="false" w:firstColumn="true" w:lastColumn="false" w:noHBand="false" w:noVBand="true" w:val="04A0"/>
      </w:tblPr>
      <w:tblGrid>
        <w:gridCol w:w="1813"/>
        <w:gridCol w:w="1813"/>
        <w:gridCol w:w="1813"/>
        <w:gridCol w:w="1813"/>
        <w:gridCol w:w="1813"/>
      </w:tblGrid>
      <w:tr>
        <w:trPr/>
        <w:tc>
          <w:tcPr>
            <w:tcW w:w="1813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营销关键问题描述</w:t>
            </w:r>
          </w:p>
        </w:tc>
        <w:tc>
          <w:tcPr>
            <w:tcW w:w="1813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瓶颈分析</w:t>
            </w:r>
          </w:p>
        </w:tc>
        <w:tc>
          <w:tcPr>
            <w:tcW w:w="1813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解决方案及行动计划</w:t>
            </w:r>
          </w:p>
        </w:tc>
        <w:tc>
          <w:tcPr>
            <w:tcW w:w="1813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责任人</w:t>
            </w:r>
          </w:p>
        </w:tc>
        <w:tc>
          <w:tcPr>
            <w:tcW w:w="1813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预计完成时间</w:t>
            </w:r>
          </w:p>
        </w:tc>
      </w:tr>
      <w:tr>
        <w:trPr/>
        <w:tc>
          <w:tcPr>
            <w:tcW w:w="181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81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81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81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81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</w:p>
        </w:tc>
      </w:tr>
      <w:tr>
        <w:trPr/>
        <w:tc>
          <w:tcPr>
            <w:tcW w:w="1813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813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813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813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</w:p>
        </w:tc>
        <w:tc>
          <w:tcPr>
            <w:tcW w:w="1813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</w:p>
        </w:tc>
      </w:tr>
    </w:tbl>
    <w:p>
      <w:pPr>
        <w:rPr/>
      </w:pPr>
      <w:r>
        <w:rPr/>
        <w:br w:type="page"/>
      </w:r>
    </w:p>
    <w:p>
      <w:pPr>
        <w:pBdr>
          <w:left w:val="single" w:color="1F497D" w:sz="24" w:space="4"/>
        </w:pBdr>
        <w:spacing w:before="280" w:after="80"/>
        <w:rPr/>
      </w:pPr>
      <w:r>
        <w:rPr>
          <w:rFonts w:ascii="微软雅黑" w:hAnsi="微软雅黑" w:eastAsia="微软雅黑"/>
          <w:b/>
          <w:i w:val="false"/>
          <w:color w:val="1F497D"/>
          <w:sz w:val="30"/>
        </w:rPr>
        <w:t>四、 跨境后场客户成功体系分析</w:t>
      </w:r>
    </w:p>
    <w:p>
      <w:pPr>
        <w:snapToGrid/>
        <w:spacing w:before="40" w:after="120" w:line="276"/>
        <w:ind w:left="0" w:right="0"/>
        <w:rPr/>
      </w:pPr>
      <w:r>
        <w:rPr>
          <w:rFonts w:ascii="微软雅黑" w:hAnsi="微软雅黑" w:eastAsia="微软雅黑" w:cs="微软雅黑"/>
          <w:i/>
          <w:strike w:val="false"/>
          <w:color w:val="808080"/>
          <w:sz w:val="19"/>
          <w:u w:val="none"/>
          <w:shd w:val="clear" w:color="auto" w:fill="F2F2F2"/>
        </w:rPr>
        <w:t>📋 撰写说明：由客户成功部负责。本部分按照“整体健康度 -&gt; 各产品线价值 -&gt; 多产品交叉价值 -&gt; 续费流失结果 -&gt; 团队效能 -&gt; 关键问题收口”的逻辑递进展开。</w:t>
      </w:r>
    </w:p>
    <w:p>
      <w:pPr>
        <w:spacing w:before="200" w:after="60"/>
        <w:rPr/>
      </w:pPr>
      <w:r>
        <w:rPr>
          <w:rFonts w:ascii="微软雅黑" w:hAnsi="微软雅黑" w:eastAsia="微软雅黑"/>
          <w:b/>
          <w:i w:val="false"/>
          <w:color w:val="2E74B5"/>
          <w:sz w:val="24"/>
        </w:rPr>
        <w:t>1.  跨境整体客户健康度分析</w:t>
      </w:r>
    </w:p>
    <w:p>
      <w:pPr>
        <w:pBdr/>
        <w:snapToGrid/>
        <w:spacing w:before="40" w:after="120" w:line="276"/>
        <w:ind w:left="0" w:right="0"/>
        <w:rPr>
          <w:rFonts w:ascii="微软雅黑" w:hAnsi="微软雅黑" w:eastAsia="微软雅黑" w:cs="微软雅黑"/>
          <w:i/>
          <w:strike w:val="false"/>
          <w:color w:val="808080"/>
          <w:sz w:val="19"/>
          <w:u w:val="none"/>
          <w:shd w:val="clear" w:color="auto" w:fill="F2F2F2"/>
        </w:rPr>
      </w:pPr>
      <w:r>
        <w:rPr>
          <w:rFonts w:ascii="微软雅黑" w:hAnsi="微软雅黑" w:eastAsia="微软雅黑" w:cs="微软雅黑"/>
          <w:i/>
          <w:strike w:val="false"/>
          <w:color w:val="808080"/>
          <w:sz w:val="19"/>
          <w:u w:val="none"/>
          <w:shd w:val="clear" w:color="auto" w:fill="F2F2F2"/>
        </w:rPr>
        <w:t>📋 模块逻辑：作为客户大盘的“仪表盘”，从“产品侧（用得好不好）”和“商业侧（愿不愿意留）”两个维度，整体评估当月客户健康状态。</w:t>
      </w:r>
    </w:p>
    <w:p>
      <w:pPr>
        <w:pBdr>
          <w:bottom/>
        </w:pBdr>
        <w:snapToGrid/>
        <w:spacing w:before="40" w:after="120" w:line="276"/>
        <w:ind w:left="0" w:right="0"/>
        <w:rPr>
          <w:i/>
        </w:rPr>
      </w:pPr>
      <w:r>
        <w:rPr>
          <w:rFonts w:hint="eastAsia"/>
          <w:i/>
        </w:rPr>
        <w:t>其中产品和效果侧仅看 AIMI 产品的数据。</w:t>
      </w:r>
    </w:p>
    <w:tbl>
      <w:tblPr>
        <w:tblStyle w:val="0000f5"/>
        <w:jc w:val="center"/>
        <w:tblLayout w:type="fixed"/>
      </w:tblPr>
      <w:tblGrid>
        <w:gridCol w:w="1275"/>
        <w:gridCol w:w="1860"/>
        <w:gridCol w:w="2280"/>
        <w:gridCol w:w="1170"/>
        <w:gridCol w:w="1020"/>
        <w:gridCol w:w="1635"/>
      </w:tblGrid>
      <w:tr>
        <w:trPr/>
        <w:tc>
          <w:tcPr>
            <w:tcW w:w="12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2E74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0"/>
                <w:u w:val="none"/>
              </w:rPr>
              <w:t>维度</w:t>
            </w:r>
          </w:p>
        </w:tc>
        <w:tc>
          <w:tcPr>
            <w:tcW w:w="186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2E74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0"/>
                <w:u w:val="none"/>
              </w:rPr>
              <w:t>健康度指标</w:t>
            </w:r>
          </w:p>
        </w:tc>
        <w:tc>
          <w:tcPr>
            <w:tcW w:w="228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2E74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0"/>
                <w:u w:val="none"/>
              </w:rPr>
              <w:t>指标定义/计算口径</w:t>
            </w:r>
          </w:p>
        </w:tc>
        <w:tc>
          <w:tcPr>
            <w:tcW w:w="117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2E74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0"/>
                <w:u w:val="none"/>
              </w:rPr>
              <w:t>本月数据</w:t>
            </w:r>
          </w:p>
        </w:tc>
        <w:tc>
          <w:tcPr>
            <w:tcW w:w="102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2E74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0"/>
                <w:u w:val="none"/>
              </w:rPr>
              <w:t>上月数据</w:t>
            </w:r>
          </w:p>
        </w:tc>
        <w:tc>
          <w:tcPr>
            <w:tcW w:w="1635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2E74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0"/>
                <w:u w:val="none"/>
              </w:rPr>
              <w:t>趋势及原因分析</w:t>
            </w:r>
          </w:p>
        </w:tc>
      </w:tr>
      <w:tr>
        <w:trPr/>
        <w:tc>
          <w:tcPr>
            <w:tcW w:w="1275" w:type="dxa"/>
            <w:vMerge w:val="restart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Bdr>
                <w:bottom/>
              </w:pBd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  <w:t>产品侧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  <w:t>产品使用率</w:t>
            </w:r>
          </w:p>
        </w:tc>
        <w:tc>
          <w:tcPr>
            <w:tcW w:w="228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>
                <w:sz w:val="18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17"/>
                <w:u w:val="none"/>
              </w:rPr>
              <w:t>至少使用过1次核心功能的客户数 / 总付费客户数</w:t>
            </w:r>
          </w:p>
        </w:tc>
        <w:tc>
          <w:tcPr>
            <w:tcW w:w="117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275" w:type="dxa"/>
            <w:vMerge w:val="continue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</w:p>
        </w:tc>
        <w:tc>
          <w:tcPr>
            <w:tcW w:w="18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  <w:t>核心功能活跃度</w:t>
            </w:r>
          </w:p>
        </w:tc>
        <w:tc>
          <w:tcPr>
            <w:tcW w:w="228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>
                <w:sz w:val="18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17"/>
                <w:u w:val="none"/>
              </w:rPr>
              <w:t>月均登录次数或核心动作（发帖）频次</w:t>
            </w:r>
          </w:p>
        </w:tc>
        <w:tc>
          <w:tcPr>
            <w:tcW w:w="117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275" w:type="dxa"/>
            <w:vMerge w:val="continue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</w:p>
        </w:tc>
        <w:tc>
          <w:tcPr>
            <w:tcW w:w="18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  <w:t>产品使用深度</w:t>
            </w:r>
          </w:p>
        </w:tc>
        <w:tc>
          <w:tcPr>
            <w:tcW w:w="228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>
                <w:sz w:val="18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17"/>
                <w:u w:val="none"/>
              </w:rPr>
              <w:t>客户平均使用的功能模块数量</w:t>
            </w:r>
          </w:p>
        </w:tc>
        <w:tc>
          <w:tcPr>
            <w:tcW w:w="117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>
          <w:wBefore/>
          <w:trHeight/>
        </w:trPr>
        <w:tc>
          <w:tcPr>
            <w:tcW w:w="1275" w:type="dxa"/>
            <w:vMerge w:val="restart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Bdr>
                <w:bottom/>
              </w:pBd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  <w:t>效果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  <w:t>侧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  <w:t>粉丝增长率</w:t>
            </w:r>
          </w:p>
        </w:tc>
        <w:tc>
          <w:tcPr>
            <w:tcW w:w="228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周</w:t>
            </w:r>
            <w:r>
              <w:rPr>
                <w:rFonts w:hint="eastAsia"/>
                <w:sz w:val="18"/>
              </w:rPr>
              <w:t>环比</w:t>
            </w:r>
            <w:r>
              <w:rPr>
                <w:rFonts w:hint="eastAsia"/>
                <w:sz w:val="18"/>
              </w:rPr>
              <w:t>增长</w:t>
            </w:r>
            <w:r>
              <w:rPr>
                <w:rFonts w:hint="eastAsia"/>
                <w:sz w:val="18"/>
              </w:rPr>
              <w:t>率</w:t>
            </w:r>
          </w:p>
        </w:tc>
        <w:tc>
          <w:tcPr>
            <w:tcW w:w="117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</w:p>
        </w:tc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</w:p>
        </w:tc>
      </w:tr>
      <w:tr>
        <w:trPr>
          <w:wBefore/>
          <w:trHeight/>
        </w:trPr>
        <w:tc>
          <w:tcPr>
            <w:tcW w:w="1275" w:type="dxa"/>
            <w:vMerge w:val="continue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Bdr>
                <w:bottom/>
              </w:pBdr>
              <w:snapToGrid/>
              <w:spacing w:before="60" w:after="60" w:line="240"/>
              <w:ind w:left="0" w:right="0"/>
              <w:jc w:val="center"/>
              <w:rPr/>
            </w:pPr>
          </w:p>
        </w:tc>
        <w:tc>
          <w:tcPr>
            <w:tcW w:w="18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  <w:t>内容互动率</w:t>
            </w:r>
          </w:p>
        </w:tc>
        <w:tc>
          <w:tcPr>
            <w:tcW w:w="228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互动</w:t>
            </w:r>
            <w:r>
              <w:rPr>
                <w:rFonts w:hint="eastAsia"/>
                <w:sz w:val="18"/>
              </w:rPr>
              <w:t>数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内容</w:t>
            </w:r>
            <w:r>
              <w:rPr>
                <w:rFonts w:hint="eastAsia"/>
                <w:sz w:val="18"/>
              </w:rPr>
              <w:t>发布</w:t>
            </w:r>
            <w:r>
              <w:rPr>
                <w:rFonts w:hint="eastAsia"/>
                <w:sz w:val="18"/>
              </w:rPr>
              <w:t>数</w:t>
            </w:r>
          </w:p>
        </w:tc>
        <w:tc>
          <w:tcPr>
            <w:tcW w:w="117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</w:p>
        </w:tc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</w:p>
        </w:tc>
      </w:tr>
      <w:tr>
        <w:trPr>
          <w:wBefore/>
          <w:trHeight/>
        </w:trPr>
        <w:tc>
          <w:tcPr>
            <w:tcW w:w="1275" w:type="dxa"/>
            <w:vMerge w:val="continue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Bdr>
                <w:bottom/>
              </w:pBdr>
              <w:snapToGrid/>
              <w:spacing w:before="60" w:after="60" w:line="240"/>
              <w:ind w:left="0" w:right="0"/>
              <w:jc w:val="center"/>
              <w:rPr/>
            </w:pPr>
          </w:p>
        </w:tc>
        <w:tc>
          <w:tcPr>
            <w:tcW w:w="18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  <w:t>询盘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  <w:t>率</w:t>
            </w:r>
          </w:p>
        </w:tc>
        <w:tc>
          <w:tcPr>
            <w:tcW w:w="228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询盘</w:t>
            </w:r>
            <w:r>
              <w:rPr>
                <w:rFonts w:hint="eastAsia"/>
                <w:sz w:val="18"/>
              </w:rPr>
              <w:t>数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内容</w:t>
            </w:r>
            <w:r>
              <w:rPr>
                <w:rFonts w:hint="eastAsia"/>
                <w:sz w:val="18"/>
              </w:rPr>
              <w:t>发布数</w:t>
            </w:r>
          </w:p>
        </w:tc>
        <w:tc>
          <w:tcPr>
            <w:tcW w:w="117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</w:p>
        </w:tc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</w:p>
        </w:tc>
      </w:tr>
      <w:tr>
        <w:trPr/>
        <w:tc>
          <w:tcPr>
            <w:tcW w:w="1275" w:type="dxa"/>
            <w:vMerge w:val="restart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Bdr>
                <w:bottom/>
              </w:pBd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  <w:t>商业侧</w:t>
            </w:r>
          </w:p>
        </w:tc>
        <w:tc>
          <w:tcPr>
            <w:tcW w:w="18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  <w:t>客户满意度(NPS)</w:t>
            </w:r>
          </w:p>
        </w:tc>
        <w:tc>
          <w:tcPr>
            <w:tcW w:w="228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>
                <w:sz w:val="18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17"/>
                <w:u w:val="none"/>
              </w:rPr>
              <w:t>净推荐值或本月CSAT（客户满意度得分）</w:t>
            </w:r>
          </w:p>
        </w:tc>
        <w:tc>
          <w:tcPr>
            <w:tcW w:w="117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275" w:type="dxa"/>
            <w:vMerge w:val="continue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</w:p>
        </w:tc>
        <w:tc>
          <w:tcPr>
            <w:tcW w:w="18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  <w:t>客户续约率</w:t>
            </w:r>
          </w:p>
        </w:tc>
        <w:tc>
          <w:tcPr>
            <w:tcW w:w="228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>
                <w:sz w:val="18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17"/>
                <w:u w:val="none"/>
              </w:rPr>
              <w:t>本月成功续约客户数 / 本月到期客户总数</w:t>
            </w:r>
          </w:p>
        </w:tc>
        <w:tc>
          <w:tcPr>
            <w:tcW w:w="117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275" w:type="dxa"/>
            <w:vMerge w:val="continue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</w:p>
        </w:tc>
        <w:tc>
          <w:tcPr>
            <w:tcW w:w="18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  <w:t>客户复购/增购率</w:t>
            </w:r>
          </w:p>
        </w:tc>
        <w:tc>
          <w:tcPr>
            <w:tcW w:w="228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>
                <w:sz w:val="18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17"/>
                <w:u w:val="none"/>
              </w:rPr>
              <w:t>本月产生增购行为的客户数 / 总付费客户数</w:t>
            </w:r>
          </w:p>
        </w:tc>
        <w:tc>
          <w:tcPr>
            <w:tcW w:w="117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</w:tr>
    </w:tbl>
    <w:p>
      <w:pPr>
        <w:spacing w:after="80"/>
        <w:rPr/>
      </w:pPr>
    </w:p>
    <w:p>
      <w:pPr>
        <w:numPr/>
        <w:spacing w:before="200" w:after="60"/>
        <w:ind/>
        <w:rPr/>
      </w:pPr>
      <w:r>
        <w:rPr>
          <w:rFonts w:hint="eastAsia" w:ascii="微软雅黑" w:hAnsi="微软雅黑" w:eastAsia="微软雅黑"/>
          <w:b/>
          <w:i w:val="false"/>
          <w:color w:val="2E74B5"/>
          <w:sz w:val="24"/>
        </w:rPr>
        <w:t>2</w:t>
      </w:r>
      <w:r>
        <w:rPr>
          <w:rFonts w:ascii="微软雅黑" w:hAnsi="微软雅黑" w:eastAsia="微软雅黑"/>
          <w:b/>
          <w:i w:val="false"/>
          <w:color w:val="2E74B5"/>
          <w:sz w:val="24"/>
        </w:rPr>
        <w:t>.  各产品线客户（成功）价值分析</w:t>
      </w:r>
    </w:p>
    <w:p>
      <w:pPr>
        <w:pBdr>
          <w:bottom/>
        </w:pBdr>
        <w:snapToGrid/>
        <w:spacing w:before="40" w:after="120" w:line="276"/>
        <w:ind w:left="0" w:right="0"/>
        <w:rPr/>
      </w:pPr>
      <w:r>
        <w:rPr>
          <w:rFonts w:ascii="微软雅黑" w:hAnsi="微软雅黑" w:eastAsia="微软雅黑" w:cs="微软雅黑"/>
          <w:i/>
          <w:strike w:val="false"/>
          <w:color w:val="808080"/>
          <w:sz w:val="19"/>
          <w:u w:val="none"/>
          <w:shd w:val="clear" w:color="auto" w:fill="F2F2F2"/>
        </w:rPr>
        <w:t>📋 模块逻辑：拆解到具体业务线，评估不同产品客户的核心成功指标（北极星指标），看产品是否真正帮客户达成了业务目标。</w:t>
      </w:r>
    </w:p>
    <w:tbl>
      <w:tblPr>
        <w:tblStyle w:val="0000f5"/>
        <w:jc w:val="center"/>
        <w:tblInd w:w="450" w:type="dxa"/>
        <w:tblLayout w:type="fixed"/>
      </w:tblPr>
      <w:tblGrid>
        <w:gridCol w:w="1290"/>
        <w:gridCol w:w="2355"/>
        <w:gridCol w:w="1740"/>
        <w:gridCol w:w="2265"/>
        <w:gridCol w:w="2265"/>
      </w:tblGrid>
      <w:tr>
        <w:trPr/>
        <w:tc>
          <w:tcPr>
            <w:tcW w:w="12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2E74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0"/>
                <w:u w:val="none"/>
              </w:rPr>
              <w:t>产品线</w:t>
            </w:r>
          </w:p>
        </w:tc>
        <w:tc>
          <w:tcPr>
            <w:tcW w:w="2355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2E74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0"/>
                <w:u w:val="none"/>
              </w:rPr>
              <w:t>核心成功指标定义</w:t>
            </w:r>
          </w:p>
        </w:tc>
        <w:tc>
          <w:tcPr>
            <w:tcW w:w="174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2E74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0"/>
                <w:u w:val="none"/>
              </w:rPr>
              <w:t>本月平均达成情况</w:t>
            </w:r>
          </w:p>
        </w:tc>
        <w:tc>
          <w:tcPr>
            <w:tcW w:w="2265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2E74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0"/>
                <w:u w:val="none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0"/>
                <w:u w:val="none"/>
              </w:rPr>
              <w:t>问题与解法</w:t>
            </w:r>
          </w:p>
        </w:tc>
        <w:tc>
          <w:tcPr>
            <w:tcW w:w="2265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2E74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0"/>
                <w:u w:val="none"/>
              </w:rPr>
              <w:t>优秀案例分享（简述：痛点+动作+结果）</w:t>
            </w:r>
          </w:p>
        </w:tc>
      </w:tr>
      <w:tr>
        <w:trPr/>
        <w:tc>
          <w:tcPr>
            <w:tcW w:w="1290" w:type="dxa"/>
            <w:vMerge w:val="restart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Bdr>
                <w:bottom/>
              </w:pBd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  <w:t>AIMI (社媒)</w:t>
            </w:r>
          </w:p>
        </w:tc>
        <w:tc>
          <w:tcPr>
            <w:tcW w:w="235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>
                <w:sz w:val="16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15"/>
                <w:u w:val="none"/>
              </w:rPr>
              <w:t>社媒资产增长率（粉丝增长量、互动量提升比例）</w:t>
            </w:r>
          </w:p>
        </w:tc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26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</w:p>
        </w:tc>
        <w:tc>
          <w:tcPr>
            <w:tcW w:w="226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290" w:type="dxa"/>
            <w:vMerge w:val="continue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</w:p>
        </w:tc>
        <w:tc>
          <w:tcPr>
            <w:tcW w:w="235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>
                <w:sz w:val="16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15"/>
                <w:u w:val="none"/>
              </w:rPr>
              <w:t>客户月均发帖量（活跃度）</w:t>
            </w:r>
          </w:p>
        </w:tc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26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</w:p>
        </w:tc>
        <w:tc>
          <w:tcPr>
            <w:tcW w:w="226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>
          <w:wBefore/>
          <w:trHeight/>
        </w:trPr>
        <w:tc>
          <w:tcPr>
            <w:tcW w:w="1290" w:type="dxa"/>
            <w:vMerge w:val="continue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</w:p>
        </w:tc>
        <w:tc>
          <w:tcPr>
            <w:tcW w:w="235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15"/>
                <w:u w:val="none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15"/>
                <w:u w:val="none"/>
              </w:rPr>
              <w:t>客户平均询盘量</w:t>
            </w:r>
          </w:p>
        </w:tc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</w:p>
        </w:tc>
        <w:tc>
          <w:tcPr>
            <w:tcW w:w="226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</w:p>
        </w:tc>
        <w:tc>
          <w:tcPr>
            <w:tcW w:w="226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</w:p>
        </w:tc>
      </w:tr>
      <w:tr>
        <w:trPr/>
        <w:tc>
          <w:tcPr>
            <w:tcW w:w="1290" w:type="dxa"/>
            <w:vMerge w:val="restart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Bdr>
                <w:bottom/>
              </w:pBd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  <w:t>广告</w:t>
            </w:r>
          </w:p>
        </w:tc>
        <w:tc>
          <w:tcPr>
            <w:tcW w:w="235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>
                <w:sz w:val="16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15"/>
                <w:u w:val="none"/>
              </w:rPr>
              <w:t>户均消耗金额及环比增长率</w:t>
            </w:r>
          </w:p>
        </w:tc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26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</w:p>
        </w:tc>
        <w:tc>
          <w:tcPr>
            <w:tcW w:w="226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290" w:type="dxa"/>
            <w:vMerge w:val="continue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</w:p>
        </w:tc>
        <w:tc>
          <w:tcPr>
            <w:tcW w:w="235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>
                <w:sz w:val="16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15"/>
                <w:u w:val="none"/>
              </w:rPr>
              <w:t>广告ROI（ROAS）或转化成本降低比例</w:t>
            </w:r>
          </w:p>
        </w:tc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26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</w:p>
        </w:tc>
        <w:tc>
          <w:tcPr>
            <w:tcW w:w="226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>
          <w:wBefore/>
          <w:trHeight/>
        </w:trPr>
        <w:tc>
          <w:tcPr>
            <w:tcW w:w="1290" w:type="dxa"/>
            <w:vMerge w:val="continue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</w:p>
        </w:tc>
        <w:tc>
          <w:tcPr>
            <w:tcW w:w="235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续费率</w:t>
            </w:r>
          </w:p>
        </w:tc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</w:p>
        </w:tc>
        <w:tc>
          <w:tcPr>
            <w:tcW w:w="226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</w:p>
        </w:tc>
        <w:tc>
          <w:tcPr>
            <w:tcW w:w="226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</w:p>
        </w:tc>
      </w:tr>
      <w:tr>
        <w:trPr/>
        <w:tc>
          <w:tcPr>
            <w:tcW w:w="1290" w:type="dxa"/>
            <w:vMerge w:val="restart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Bdr>
                <w:bottom/>
              </w:pBd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  <w:t>独立站</w:t>
            </w:r>
          </w:p>
        </w:tc>
        <w:tc>
          <w:tcPr>
            <w:tcW w:w="235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>
                <w:sz w:val="16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15"/>
                <w:u w:val="none"/>
              </w:rPr>
              <w:t>付费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15"/>
                <w:u w:val="none"/>
              </w:rPr>
              <w:t xml:space="preserve"> U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15"/>
                <w:u w:val="none"/>
              </w:rPr>
              <w:t>V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15"/>
                <w:u w:val="none"/>
              </w:rPr>
              <w:t xml:space="preserve">询盘转化率 </w:t>
            </w:r>
          </w:p>
        </w:tc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26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</w:p>
        </w:tc>
        <w:tc>
          <w:tcPr>
            <w:tcW w:w="226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290" w:type="dxa"/>
            <w:vMerge w:val="continue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</w:p>
        </w:tc>
        <w:tc>
          <w:tcPr>
            <w:tcW w:w="235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产品</w:t>
            </w:r>
            <w:r>
              <w:rPr>
                <w:rFonts w:hint="eastAsia"/>
                <w:sz w:val="16"/>
              </w:rPr>
              <w:t>毛利</w:t>
            </w:r>
          </w:p>
        </w:tc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26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</w:p>
        </w:tc>
        <w:tc>
          <w:tcPr>
            <w:tcW w:w="226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</w:tr>
    </w:tbl>
    <w:p>
      <w:pPr>
        <w:numPr/>
        <w:spacing w:before="40" w:after="120"/>
        <w:ind/>
        <w:rPr/>
      </w:pPr>
    </w:p>
    <w:p>
      <w:pPr>
        <w:spacing w:before="200" w:after="60"/>
        <w:rPr/>
      </w:pPr>
      <w:r>
        <w:rPr>
          <w:rFonts w:hint="eastAsia" w:ascii="微软雅黑" w:hAnsi="微软雅黑" w:eastAsia="微软雅黑"/>
          <w:b/>
          <w:i w:val="false"/>
          <w:color w:val="2E74B5"/>
          <w:sz w:val="24"/>
        </w:rPr>
        <w:t>3</w:t>
      </w:r>
      <w:r>
        <w:rPr>
          <w:rFonts w:ascii="微软雅黑" w:hAnsi="微软雅黑" w:eastAsia="微软雅黑"/>
          <w:b/>
          <w:i w:val="false"/>
          <w:color w:val="2E74B5"/>
          <w:sz w:val="24"/>
        </w:rPr>
        <w:t>.  多产品客户（成功）价值分析</w:t>
      </w:r>
    </w:p>
    <w:p>
      <w:pPr>
        <w:pBdr>
          <w:bottom/>
        </w:pBdr>
        <w:snapToGrid/>
        <w:spacing w:before="40" w:after="120" w:line="276"/>
        <w:ind w:left="0" w:right="0"/>
        <w:rPr/>
      </w:pPr>
      <w:r>
        <w:rPr>
          <w:rFonts w:ascii="微软雅黑" w:hAnsi="微软雅黑" w:eastAsia="微软雅黑" w:cs="微软雅黑"/>
          <w:i/>
          <w:strike w:val="false"/>
          <w:color w:val="808080"/>
          <w:sz w:val="19"/>
          <w:u w:val="none"/>
          <w:shd w:val="clear" w:color="auto" w:fill="F2F2F2"/>
        </w:rPr>
        <w:t>📋 模块逻辑：在单产品分析基础上，论证“交叉销售”的战略价值。通过对比单产品与多产品客户的数据，证明多产品客户的留存和生命周期价值更高。</w:t>
      </w:r>
    </w:p>
    <w:p>
      <w:pPr>
        <w:spacing w:before="40" w:after="120"/>
        <w:ind/>
        <w:rPr/>
      </w:pPr>
    </w:p>
    <w:tbl>
      <w:tblPr>
        <w:tblStyle w:val="0000f5"/>
        <w:jc w:val="center"/>
        <w:tblLayout w:type="fixed"/>
      </w:tblPr>
      <w:tblGrid>
        <w:gridCol w:w="1500"/>
        <w:gridCol w:w="1500"/>
        <w:gridCol w:w="1500"/>
        <w:gridCol w:w="1500"/>
        <w:gridCol w:w="1500"/>
        <w:gridCol w:w="1500"/>
      </w:tblGrid>
      <w:tr>
        <w:trPr/>
        <w:tc>
          <w:tcPr>
            <w:tcW w:w="1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2E74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0"/>
                <w:u w:val="none"/>
              </w:rPr>
              <w:t>客户类型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2E74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0"/>
                <w:u w:val="none"/>
              </w:rPr>
              <w:t>客户数量占比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2E74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0"/>
                <w:u w:val="none"/>
              </w:rPr>
              <w:t>平均客单价（ARPU）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2E74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0"/>
                <w:u w:val="none"/>
              </w:rPr>
              <w:t>综合续费率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2E74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0"/>
                <w:u w:val="none"/>
              </w:rPr>
              <w:t>客户生命周期价值（LTV）预估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2E74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0"/>
                <w:u w:val="none"/>
              </w:rPr>
              <w:t>核心洞察与结论</w:t>
            </w:r>
          </w:p>
        </w:tc>
      </w:tr>
      <w:tr>
        <w:trPr/>
        <w:tc>
          <w:tcPr>
            <w:tcW w:w="150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  <w:t>单产品客户（仅广告/仅独立站等）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50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  <w:t>双产品客户（如：独立站+广告）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50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  <w:t>全链路客户（独立站+广告+AIMI）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</w:tr>
    </w:tbl>
    <w:p>
      <w:pPr>
        <w:spacing w:before="40" w:after="120"/>
        <w:rPr/>
      </w:pPr>
    </w:p>
    <w:p>
      <w:pPr>
        <w:spacing w:after="80"/>
        <w:rPr/>
      </w:pPr>
    </w:p>
    <w:p>
      <w:pPr>
        <w:spacing w:before="200" w:after="60"/>
        <w:rPr/>
      </w:pPr>
      <w:r>
        <w:rPr>
          <w:rFonts w:ascii="微软雅黑" w:hAnsi="微软雅黑" w:eastAsia="微软雅黑"/>
          <w:b/>
          <w:i w:val="false"/>
          <w:color w:val="2E74B5"/>
          <w:sz w:val="24"/>
        </w:rPr>
        <w:t>4.  客户续费、增购、流失分析</w:t>
      </w:r>
    </w:p>
    <w:p>
      <w:pPr>
        <w:snapToGrid/>
        <w:spacing w:before="40" w:after="120" w:line="276"/>
        <w:ind w:left="0" w:right="0"/>
        <w:rPr/>
      </w:pPr>
      <w:r>
        <w:rPr>
          <w:rFonts w:ascii="微软雅黑" w:hAnsi="微软雅黑" w:eastAsia="微软雅黑" w:cs="微软雅黑"/>
          <w:i/>
          <w:strike w:val="false"/>
          <w:color w:val="808080"/>
          <w:sz w:val="19"/>
          <w:u w:val="none"/>
          <w:shd w:val="clear" w:color="auto" w:fill="F2F2F2"/>
        </w:rPr>
        <w:t>📋 模块逻辑：落到直接影响收入的商业结果上，盘点本月“留住的钱”和“跑掉的钱”，并深挖流失的根本原因。</w:t>
      </w:r>
    </w:p>
    <w:tbl>
      <w:tblPr>
        <w:tblStyle w:val="0000f5"/>
        <w:jc w:val="center"/>
        <w:tblLayout w:type="fixed"/>
      </w:tblPr>
      <w:tblGrid>
        <w:gridCol w:w="1500"/>
        <w:gridCol w:w="1500"/>
        <w:gridCol w:w="1500"/>
        <w:gridCol w:w="1500"/>
        <w:gridCol w:w="1500"/>
        <w:gridCol w:w="1500"/>
      </w:tblGrid>
      <w:tr>
        <w:trPr/>
        <w:tc>
          <w:tcPr>
            <w:tcW w:w="1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2E74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0"/>
                <w:u w:val="none"/>
              </w:rPr>
              <w:t>客户分类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2E74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0"/>
                <w:u w:val="none"/>
              </w:rPr>
              <w:t>本月到期客户数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2E74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0"/>
                <w:u w:val="none"/>
              </w:rPr>
              <w:t>成功续费数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2E74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0"/>
                <w:u w:val="none"/>
              </w:rPr>
              <w:t>续费率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2E74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0"/>
                <w:u w:val="none"/>
              </w:rPr>
              <w:t>增购金额（万元）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2E74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0"/>
                <w:u w:val="none"/>
              </w:rPr>
              <w:t>核心流失原因分析（TOP 3）</w:t>
            </w:r>
          </w:p>
        </w:tc>
      </w:tr>
      <w:tr>
        <w:trPr/>
        <w:tc>
          <w:tcPr>
            <w:tcW w:w="150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  <w:t>广告客户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  <w:t>1. 效果未达预期 (x%)</w:t>
            </w:r>
          </w:p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  <w:t xml:space="preserve">   2. 预算缩减 (x%)</w:t>
            </w:r>
          </w:p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  <w:t xml:space="preserve">   3. 转向竞品 (x%)</w:t>
            </w:r>
          </w:p>
        </w:tc>
      </w:tr>
      <w:tr>
        <w:trPr/>
        <w:tc>
          <w:tcPr>
            <w:tcW w:w="150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  <w:t>独立站客户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50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  <w:t>AIMI客户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50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  <w:t>整体汇总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</w:tr>
    </w:tbl>
    <w:p>
      <w:pPr>
        <w:spacing w:after="80"/>
        <w:rPr/>
      </w:pPr>
    </w:p>
    <w:p>
      <w:pPr>
        <w:spacing w:before="200" w:after="60"/>
        <w:rPr/>
      </w:pPr>
      <w:r>
        <w:rPr>
          <w:rFonts w:ascii="微软雅黑" w:hAnsi="微软雅黑" w:eastAsia="微软雅黑"/>
          <w:b/>
          <w:i w:val="false"/>
          <w:color w:val="2E74B5"/>
          <w:sz w:val="24"/>
        </w:rPr>
        <w:t>5.  客户成功团队效能分析</w:t>
      </w:r>
    </w:p>
    <w:p>
      <w:pPr>
        <w:snapToGrid/>
        <w:spacing w:before="40" w:after="120" w:line="276"/>
        <w:ind w:left="0" w:right="0"/>
        <w:rPr/>
      </w:pPr>
      <w:r>
        <w:rPr>
          <w:rFonts w:ascii="微软雅黑" w:hAnsi="微软雅黑" w:eastAsia="微软雅黑" w:cs="微软雅黑"/>
          <w:i/>
          <w:strike w:val="false"/>
          <w:color w:val="808080"/>
          <w:sz w:val="19"/>
          <w:u w:val="none"/>
          <w:shd w:val="clear" w:color="auto" w:fill="F2F2F2"/>
        </w:rPr>
        <w:t>📋 模块逻辑：评估客户成功团队（CSM）的投入产出比和运营效率，为团队扩编或流程优化提供依据。</w:t>
      </w:r>
    </w:p>
    <w:tbl>
      <w:tblPr>
        <w:tblStyle w:val="0000f5"/>
        <w:jc w:val="center"/>
        <w:tblLayout w:type="fixed"/>
      </w:tblPr>
      <w:tblGrid>
        <w:gridCol w:w="1785"/>
        <w:gridCol w:w="1815"/>
        <w:gridCol w:w="1800"/>
        <w:gridCol w:w="1800"/>
        <w:gridCol w:w="1800"/>
      </w:tblGrid>
      <w:tr>
        <w:trPr/>
        <w:tc>
          <w:tcPr>
            <w:tcW w:w="17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2E74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0"/>
                <w:u w:val="none"/>
              </w:rPr>
              <w:t>团队效能指标</w:t>
            </w:r>
          </w:p>
        </w:tc>
        <w:tc>
          <w:tcPr>
            <w:tcW w:w="1815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2E74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0"/>
                <w:u w:val="none"/>
              </w:rPr>
              <w:t>指标定义/计算口径</w:t>
            </w:r>
          </w:p>
        </w:tc>
        <w:tc>
          <w:tcPr>
            <w:tcW w:w="180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2E74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0"/>
                <w:u w:val="none"/>
              </w:rPr>
              <w:t>本月实际情况</w:t>
            </w:r>
          </w:p>
        </w:tc>
        <w:tc>
          <w:tcPr>
            <w:tcW w:w="180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2E74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0"/>
                <w:u w:val="none"/>
              </w:rPr>
              <w:t>目标/基线</w:t>
            </w:r>
          </w:p>
        </w:tc>
        <w:tc>
          <w:tcPr>
            <w:tcW w:w="180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2E74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0"/>
                <w:u w:val="none"/>
              </w:rPr>
              <w:t>提升空间与优化动作</w:t>
            </w:r>
          </w:p>
        </w:tc>
      </w:tr>
      <w:tr>
        <w:trPr/>
        <w:tc>
          <w:tcPr>
            <w:tcW w:w="178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  <w:t>人均服务客户数</w:t>
            </w:r>
          </w:p>
        </w:tc>
        <w:tc>
          <w:tcPr>
            <w:tcW w:w="181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  <w:t>总活跃客户数 / CSM总人数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78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  <w:t>客户覆盖率</w:t>
            </w:r>
          </w:p>
        </w:tc>
        <w:tc>
          <w:tcPr>
            <w:tcW w:w="181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  <w:t>本月有过有效沟通（回访/培训等）的客户占比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78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  <w:t>问题平均响应时间</w:t>
            </w:r>
          </w:p>
        </w:tc>
        <w:tc>
          <w:tcPr>
            <w:tcW w:w="181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  <w:t>从客户发起问题到CSM首次响应的平均时长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78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  <w:t>续费目标达成率</w:t>
            </w:r>
          </w:p>
        </w:tc>
        <w:tc>
          <w:tcPr>
            <w:tcW w:w="181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  <w:t>团队本月实际续费金额 / 团队本月续费目标金额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</w:tr>
    </w:tbl>
    <w:p>
      <w:pPr>
        <w:spacing w:after="80"/>
        <w:rPr/>
      </w:pPr>
    </w:p>
    <w:p>
      <w:pPr>
        <w:spacing w:before="200" w:after="60"/>
        <w:rPr/>
      </w:pPr>
      <w:r>
        <w:rPr>
          <w:rFonts w:ascii="微软雅黑" w:hAnsi="微软雅黑" w:eastAsia="微软雅黑"/>
          <w:b/>
          <w:i w:val="false"/>
          <w:color w:val="2E74B5"/>
          <w:sz w:val="24"/>
        </w:rPr>
        <w:t>6.  客户成功关键问题和解决方案</w:t>
      </w:r>
    </w:p>
    <w:p>
      <w:pPr>
        <w:snapToGrid/>
        <w:spacing w:before="40" w:after="120" w:line="276"/>
        <w:ind w:left="0" w:right="0"/>
        <w:rPr/>
      </w:pPr>
      <w:r>
        <w:rPr>
          <w:rFonts w:ascii="微软雅黑" w:hAnsi="微软雅黑" w:eastAsia="微软雅黑" w:cs="微软雅黑"/>
          <w:i/>
          <w:strike w:val="false"/>
          <w:color w:val="808080"/>
          <w:sz w:val="19"/>
          <w:u w:val="none"/>
          <w:shd w:val="clear" w:color="auto" w:fill="F2F2F2"/>
        </w:rPr>
        <w:t>📋 模块逻辑：全章收口，针对上述数据暴露出的最核心问题（如某产品流失率高、某指标不达标），向集团汇报明确的解决计划。</w:t>
      </w:r>
    </w:p>
    <w:tbl>
      <w:tblPr>
        <w:tblStyle w:val="0000f5"/>
        <w:jc w:val="center"/>
        <w:tblLayout w:type="fixed"/>
      </w:tblPr>
      <w:tblGrid>
        <w:gridCol w:w="1800"/>
        <w:gridCol w:w="1800"/>
        <w:gridCol w:w="1800"/>
        <w:gridCol w:w="1800"/>
        <w:gridCol w:w="1800"/>
      </w:tblGrid>
      <w:tr>
        <w:trPr/>
        <w:tc>
          <w:tcPr>
            <w:tcW w:w="18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2E74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0"/>
                <w:u w:val="none"/>
              </w:rPr>
              <w:t>客户成功关键问题</w:t>
            </w:r>
          </w:p>
        </w:tc>
        <w:tc>
          <w:tcPr>
            <w:tcW w:w="180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2E74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0"/>
                <w:u w:val="none"/>
              </w:rPr>
              <w:t>根本原因分析</w:t>
            </w:r>
          </w:p>
        </w:tc>
        <w:tc>
          <w:tcPr>
            <w:tcW w:w="180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2E74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0"/>
                <w:u w:val="none"/>
              </w:rPr>
              <w:t>解决方案及行动计划</w:t>
            </w:r>
          </w:p>
        </w:tc>
        <w:tc>
          <w:tcPr>
            <w:tcW w:w="180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2E74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0"/>
                <w:u w:val="none"/>
              </w:rPr>
              <w:t>责任人</w:t>
            </w:r>
          </w:p>
        </w:tc>
        <w:tc>
          <w:tcPr>
            <w:tcW w:w="180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2E74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0"/>
                <w:u w:val="none"/>
              </w:rPr>
              <w:t>预计完成时间</w:t>
            </w:r>
          </w:p>
        </w:tc>
      </w:tr>
      <w:tr>
        <w:trPr/>
        <w:tc>
          <w:tcPr>
            <w:tcW w:w="180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  <w:t>1.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80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404040"/>
                <w:spacing w:val="0"/>
                <w:sz w:val="21"/>
                <w:u w:val="none"/>
              </w:rPr>
              <w:t>2.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EAF3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60" w:after="6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</w:tr>
    </w:tbl>
    <w:p>
      <w:pPr>
        <w:rPr/>
      </w:pPr>
      <w:r>
        <w:rPr/>
        <w:br w:type="page"/>
      </w:r>
    </w:p>
    <w:p>
      <w:pPr>
        <w:pBdr>
          <w:left w:val="single" w:color="1F497D" w:sz="24" w:space="4"/>
        </w:pBdr>
        <w:spacing w:before="280" w:after="80"/>
        <w:rPr/>
      </w:pPr>
      <w:r>
        <w:rPr>
          <w:rFonts w:ascii="微软雅黑" w:hAnsi="微软雅黑" w:eastAsia="微软雅黑"/>
          <w:b/>
          <w:i w:val="false"/>
          <w:color w:val="1F497D"/>
          <w:sz w:val="30"/>
        </w:rPr>
        <w:t>五、 其他小业务分析</w:t>
      </w:r>
    </w:p>
    <w:p>
      <w:pPr>
        <w:shd w:val="clear" w:color="auto" w:fill="F2F2F2"/>
        <w:spacing w:before="40" w:after="120"/>
        <w:rPr/>
      </w:pPr>
      <w:r>
        <w:rPr>
          <w:rFonts w:ascii="微软雅黑" w:hAnsi="微软雅黑" w:eastAsia="微软雅黑"/>
          <w:b w:val="false"/>
          <w:i/>
          <w:color w:val="808080"/>
          <w:sz w:val="19"/>
        </w:rPr>
        <w:t>📋 撰写说明：由对应业务负责人填写。</w:t>
      </w:r>
    </w:p>
    <w:p>
      <w:pPr>
        <w:spacing w:before="200" w:after="60"/>
        <w:rPr/>
      </w:pPr>
      <w:r>
        <w:rPr>
          <w:rFonts w:ascii="微软雅黑" w:hAnsi="微软雅黑" w:eastAsia="微软雅黑"/>
          <w:b/>
          <w:i w:val="false"/>
          <w:color w:val="2E74B5"/>
          <w:sz w:val="24"/>
        </w:rPr>
        <w:t>1.  广告渠道业务分析</w:t>
      </w:r>
    </w:p>
    <w:p>
      <w:pPr>
        <w:spacing w:before="40" w:after="120"/>
        <w:rPr/>
      </w:pPr>
      <w:r>
        <w:rPr>
          <w:rFonts w:ascii="微软雅黑" w:hAnsi="微软雅黑" w:eastAsia="微软雅黑"/>
          <w:b w:val="false"/>
          <w:i w:val="false"/>
          <w:color w:val="404040"/>
          <w:sz w:val="21"/>
        </w:rPr>
        <w:t>简述广告渠道（如三方渠道）的业绩贡献、合作进展及存在问题。</w:t>
      </w:r>
    </w:p>
    <w:tbl>
      <w:tblPr>
        <w:tblStyle w:val="000049"/>
        <w:tblW w:w="0" w:type="auto"/>
        <w:jc w:val="center"/>
        <w:tblLayout w:type="fixed"/>
        <w:tblLook w:firstRow="true" w:lastRow="false" w:firstColumn="true" w:lastColumn="false" w:noHBand="false" w:noVBand="true" w:val="04A0"/>
      </w:tblPr>
      <w:tblGrid>
        <w:gridCol w:w="1437"/>
        <w:gridCol w:w="1472"/>
        <w:gridCol w:w="1416"/>
        <w:gridCol w:w="1171"/>
        <w:gridCol w:w="4018"/>
      </w:tblGrid>
      <w:tr>
        <w:trPr>
          <w:trHeight w:val="491" w:hRule="atLeast"/>
        </w:trPr>
        <w:tc>
          <w:tcPr>
            <w:tcW w:w="1437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业务指标</w:t>
            </w:r>
          </w:p>
        </w:tc>
        <w:tc>
          <w:tcPr>
            <w:tcW w:w="1472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本月实际</w:t>
            </w:r>
          </w:p>
        </w:tc>
        <w:tc>
          <w:tcPr>
            <w:tcW w:w="1416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预算目标</w:t>
            </w:r>
          </w:p>
        </w:tc>
        <w:tc>
          <w:tcPr>
            <w:tcW w:w="1171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达成率</w:t>
            </w:r>
          </w:p>
        </w:tc>
        <w:tc>
          <w:tcPr>
            <w:tcW w:w="4018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主要问题及说明</w:t>
            </w:r>
          </w:p>
        </w:tc>
      </w:tr>
      <w:tr>
        <w:trPr>
          <w:trHeight w:val="1303" w:hRule="atLeast"/>
        </w:trPr>
        <w:tc>
          <w:tcPr>
            <w:tcW w:w="1437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333333"/>
                <w:spacing w:val="0"/>
                <w:sz w:val="21"/>
                <w:u w:val="none"/>
              </w:rPr>
              <w:t>渠道到款</w:t>
            </w:r>
          </w:p>
        </w:tc>
        <w:tc>
          <w:tcPr>
            <w:tcW w:w="1472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333333"/>
                <w:spacing w:val="0"/>
                <w:sz w:val="21"/>
                <w:u w:val="none"/>
              </w:rPr>
              <w:t xml:space="preserve"> 37万</w:t>
            </w:r>
          </w:p>
        </w:tc>
        <w:tc>
          <w:tcPr>
            <w:tcW w:w="1416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333333"/>
                <w:spacing w:val="0"/>
                <w:sz w:val="21"/>
                <w:u w:val="none"/>
              </w:rPr>
              <w:t>120万</w:t>
            </w:r>
          </w:p>
        </w:tc>
        <w:tc>
          <w:tcPr>
            <w:tcW w:w="1171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333333"/>
                <w:spacing w:val="0"/>
                <w:sz w:val="21"/>
                <w:u w:val="none"/>
              </w:rPr>
              <w:t>31%</w:t>
            </w:r>
          </w:p>
        </w:tc>
        <w:tc>
          <w:tcPr>
            <w:tcW w:w="4018" w:type="dxa"/>
            <w:shd w:val="clear" w:color="auto" w:fill="EAF3FB"/>
            <w:vAlign w:val="center"/>
          </w:tcPr>
          <w:p>
            <w:pPr>
              <w:spacing w:before="60" w:after="60"/>
              <w:jc w:val="both"/>
              <w:rPr/>
            </w:pP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媒体</w:t>
            </w:r>
            <w:r>
              <w:rPr>
                <w:rFonts w:hint="eastAsia"/>
              </w:rPr>
              <w:t>合作</w:t>
            </w:r>
            <w:r>
              <w:rPr>
                <w:rFonts w:hint="eastAsia"/>
              </w:rPr>
              <w:t>单一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多</w:t>
            </w:r>
            <w:r>
              <w:rPr>
                <w:rFonts w:hint="eastAsia"/>
              </w:rPr>
              <w:t>媒体</w:t>
            </w:r>
            <w:r>
              <w:rPr>
                <w:rFonts w:hint="eastAsia"/>
              </w:rPr>
              <w:t>联动</w:t>
            </w:r>
            <w:r>
              <w:rPr>
                <w:rFonts w:hint="eastAsia"/>
              </w:rPr>
              <w:t>yandex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vk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cri</w:t>
            </w:r>
            <w:r>
              <w:rPr>
                <w:rFonts w:hint="eastAsia"/>
              </w:rPr>
              <w:t>teo</w:t>
            </w:r>
            <w:r>
              <w:rPr>
                <w:rFonts w:hint="eastAsia"/>
              </w:rPr>
              <w:t>拉动</w:t>
            </w:r>
            <w:r>
              <w:rPr>
                <w:rFonts w:hint="eastAsia"/>
              </w:rPr>
              <w:t>腰部</w:t>
            </w:r>
            <w:r>
              <w:rPr>
                <w:rFonts w:hint="eastAsia"/>
              </w:rPr>
              <w:t>客户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引入</w:t>
            </w:r>
          </w:p>
        </w:tc>
      </w:tr>
      <w:tr>
        <w:trPr>
          <w:trHeight w:val="1020" w:hRule="atLeast"/>
        </w:trPr>
        <w:tc>
          <w:tcPr>
            <w:tcW w:w="1437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333333"/>
                <w:spacing w:val="0"/>
                <w:sz w:val="21"/>
                <w:u w:val="none"/>
              </w:rPr>
              <w:t>渠道毛利</w:t>
            </w:r>
          </w:p>
        </w:tc>
        <w:tc>
          <w:tcPr>
            <w:tcW w:w="1472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333333"/>
                <w:spacing w:val="0"/>
                <w:sz w:val="21"/>
                <w:u w:val="none"/>
              </w:rPr>
              <w:t>6,800元</w:t>
            </w:r>
          </w:p>
        </w:tc>
        <w:tc>
          <w:tcPr>
            <w:tcW w:w="1416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333333"/>
                <w:spacing w:val="0"/>
                <w:sz w:val="21"/>
                <w:u w:val="none"/>
              </w:rPr>
              <w:t xml:space="preserve">35,000元 </w:t>
            </w:r>
          </w:p>
        </w:tc>
        <w:tc>
          <w:tcPr>
            <w:tcW w:w="1171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333333"/>
                <w:spacing w:val="0"/>
                <w:sz w:val="21"/>
                <w:u w:val="none"/>
              </w:rPr>
              <w:t xml:space="preserve"> 20%</w:t>
            </w:r>
          </w:p>
        </w:tc>
        <w:tc>
          <w:tcPr>
            <w:tcW w:w="4018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hint="eastAsia"/>
              </w:rPr>
              <w:t>产品</w:t>
            </w:r>
            <w:r>
              <w:rPr>
                <w:rFonts w:hint="eastAsia"/>
              </w:rPr>
              <w:t>结构</w:t>
            </w:r>
            <w:r>
              <w:rPr>
                <w:rFonts w:hint="eastAsia"/>
              </w:rPr>
              <w:t>单一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客户</w:t>
            </w:r>
            <w:r>
              <w:rPr>
                <w:rFonts w:hint="eastAsia"/>
              </w:rPr>
              <w:t>自投</w:t>
            </w:r>
            <w:r>
              <w:rPr>
                <w:rFonts w:hint="eastAsia"/>
              </w:rPr>
              <w:t>占</w:t>
            </w:r>
            <w:r>
              <w:rPr>
                <w:rFonts w:hint="eastAsia"/>
              </w:rPr>
              <w:t>比</w:t>
            </w:r>
            <w:r>
              <w:rPr>
                <w:rFonts w:hint="eastAsia"/>
              </w:rPr>
              <w:t>过高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接下来</w:t>
            </w:r>
            <w:r>
              <w:rPr>
                <w:rFonts w:hint="eastAsia"/>
              </w:rPr>
              <w:t>尽快</w:t>
            </w:r>
            <w:r>
              <w:rPr>
                <w:rFonts w:hint="eastAsia"/>
              </w:rPr>
              <w:t>启动</w:t>
            </w:r>
            <w:r>
              <w:rPr>
                <w:rFonts w:hint="eastAsia"/>
              </w:rPr>
              <w:t>yandex</w:t>
            </w:r>
            <w:r>
              <w:rPr>
                <w:rFonts w:hint="eastAsia"/>
              </w:rPr>
              <w:t>合作</w:t>
            </w:r>
            <w:r>
              <w:rPr>
                <w:rFonts w:hint="eastAsia"/>
              </w:rPr>
              <w:t>及</w:t>
            </w:r>
            <w:r>
              <w:rPr>
                <w:rFonts w:hint="eastAsia"/>
              </w:rPr>
              <w:t>代投</w:t>
            </w:r>
            <w:r>
              <w:rPr>
                <w:rFonts w:hint="eastAsia"/>
              </w:rPr>
              <w:t>合作</w:t>
            </w:r>
          </w:p>
        </w:tc>
      </w:tr>
      <w:tr>
        <w:trPr>
          <w:trHeight w:val="1593" w:hRule="atLeast"/>
        </w:trPr>
        <w:tc>
          <w:tcPr>
            <w:tcW w:w="1437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333333"/>
                <w:spacing w:val="0"/>
                <w:sz w:val="21"/>
                <w:u w:val="none"/>
              </w:rPr>
              <w:t>新签客户数</w:t>
            </w:r>
          </w:p>
        </w:tc>
        <w:tc>
          <w:tcPr>
            <w:tcW w:w="1472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333333"/>
                <w:spacing w:val="0"/>
                <w:sz w:val="21"/>
                <w:u w:val="none"/>
              </w:rPr>
              <w:t>9家</w:t>
            </w:r>
          </w:p>
        </w:tc>
        <w:tc>
          <w:tcPr>
            <w:tcW w:w="1416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333333"/>
                <w:spacing w:val="0"/>
                <w:sz w:val="21"/>
                <w:u w:val="none"/>
              </w:rPr>
              <w:t xml:space="preserve">5家 </w:t>
            </w:r>
          </w:p>
        </w:tc>
        <w:tc>
          <w:tcPr>
            <w:tcW w:w="1171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333333"/>
                <w:spacing w:val="0"/>
                <w:sz w:val="21"/>
                <w:u w:val="none"/>
              </w:rPr>
              <w:t>180%</w:t>
            </w:r>
          </w:p>
        </w:tc>
        <w:tc>
          <w:tcPr>
            <w:tcW w:w="4018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hint="eastAsia"/>
              </w:rPr>
              <w:t>本月</w:t>
            </w:r>
            <w:r>
              <w:rPr>
                <w:rFonts w:hint="eastAsia"/>
              </w:rPr>
              <w:t>签约</w:t>
            </w:r>
            <w:r>
              <w:rPr>
                <w:rFonts w:hint="eastAsia"/>
              </w:rPr>
              <w:t>客户</w:t>
            </w:r>
            <w:r>
              <w:rPr>
                <w:rFonts w:hint="eastAsia"/>
              </w:rPr>
              <w:t>合作</w:t>
            </w:r>
            <w:r>
              <w:rPr>
                <w:rFonts w:hint="eastAsia"/>
              </w:rPr>
              <w:t>媒体</w:t>
            </w:r>
            <w:r>
              <w:rPr>
                <w:rFonts w:hint="eastAsia"/>
              </w:rPr>
              <w:t>均为</w:t>
            </w: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OK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下一步</w:t>
            </w:r>
            <w:r>
              <w:rPr>
                <w:rFonts w:hint="eastAsia"/>
              </w:rPr>
              <w:t>会</w:t>
            </w:r>
            <w:r>
              <w:rPr>
                <w:rFonts w:hint="eastAsia"/>
              </w:rPr>
              <w:t>持续</w:t>
            </w:r>
            <w:r>
              <w:rPr>
                <w:rFonts w:hint="eastAsia"/>
              </w:rPr>
              <w:t>签约</w:t>
            </w:r>
            <w:r>
              <w:rPr>
                <w:rFonts w:hint="eastAsia"/>
              </w:rPr>
              <w:t>新客户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助力</w:t>
            </w: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牌照</w:t>
            </w:r>
            <w:r>
              <w:rPr>
                <w:rFonts w:hint="eastAsia"/>
              </w:rPr>
              <w:t>业绩</w:t>
            </w:r>
            <w:r>
              <w:rPr>
                <w:rFonts w:hint="eastAsia"/>
              </w:rPr>
              <w:t>目标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达成</w:t>
            </w:r>
          </w:p>
        </w:tc>
      </w:tr>
    </w:tbl>
    <w:p>
      <w:pPr>
        <w:spacing w:after="80"/>
        <w:rPr/>
      </w:pPr>
    </w:p>
    <w:p>
      <w:pPr>
        <w:spacing w:before="200" w:after="60"/>
        <w:rPr/>
      </w:pPr>
      <w:r>
        <w:rPr>
          <w:rFonts w:ascii="微软雅黑" w:hAnsi="微软雅黑" w:eastAsia="微软雅黑"/>
          <w:b/>
          <w:i w:val="false"/>
          <w:color w:val="2E74B5"/>
          <w:sz w:val="24"/>
        </w:rPr>
        <w:t>2.  DTC 业务分析</w:t>
      </w:r>
    </w:p>
    <w:p>
      <w:pPr>
        <w:spacing w:before="40" w:after="120"/>
        <w:rPr/>
      </w:pPr>
      <w:r>
        <w:rPr>
          <w:rFonts w:ascii="微软雅黑" w:hAnsi="微软雅黑" w:eastAsia="微软雅黑"/>
          <w:b w:val="false"/>
          <w:i w:val="false"/>
          <w:color w:val="404040"/>
          <w:sz w:val="21"/>
        </w:rPr>
        <w:t>简述 DTC 业务的经营现状、核心指标达成及下一步规划。</w:t>
      </w:r>
    </w:p>
    <w:tbl>
      <w:tblPr>
        <w:tblStyle w:val="000049"/>
        <w:tblW w:w="0" w:type="auto"/>
        <w:jc w:val="center"/>
        <w:tblLayout w:type="fixed"/>
        <w:tblLook w:firstRow="true" w:lastRow="false" w:firstColumn="true" w:lastColumn="false" w:noHBand="false" w:noVBand="true" w:val="04A0"/>
      </w:tblPr>
      <w:tblGrid>
        <w:gridCol w:w="1333"/>
        <w:gridCol w:w="1573"/>
        <w:gridCol w:w="1828"/>
        <w:gridCol w:w="1423"/>
        <w:gridCol w:w="2908"/>
      </w:tblGrid>
      <w:tr>
        <w:trPr/>
        <w:tc>
          <w:tcPr>
            <w:tcW w:w="1333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业务指标</w:t>
            </w:r>
          </w:p>
        </w:tc>
        <w:tc>
          <w:tcPr>
            <w:tcW w:w="1573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本月实际</w:t>
            </w:r>
          </w:p>
        </w:tc>
        <w:tc>
          <w:tcPr>
            <w:tcW w:w="1828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预算目标</w:t>
            </w:r>
          </w:p>
        </w:tc>
        <w:tc>
          <w:tcPr>
            <w:tcW w:w="1423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达成率</w:t>
            </w:r>
          </w:p>
        </w:tc>
        <w:tc>
          <w:tcPr>
            <w:tcW w:w="2908" w:type="dxa"/>
            <w:shd w:val="clear" w:color="auto" w:fill="2E74B5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ascii="微软雅黑" w:hAnsi="微软雅黑" w:eastAsia="微软雅黑"/>
                <w:b/>
                <w:i w:val="false"/>
                <w:color w:val="FFFFFF"/>
                <w:sz w:val="20"/>
              </w:rPr>
              <w:t>主要问题及说明</w:t>
            </w:r>
          </w:p>
        </w:tc>
      </w:tr>
      <w:tr>
        <w:trPr/>
        <w:tc>
          <w:tcPr>
            <w:tcW w:w="133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hint="eastAsia"/>
              </w:rPr>
              <w:t>毛利</w:t>
            </w:r>
          </w:p>
        </w:tc>
        <w:tc>
          <w:tcPr>
            <w:tcW w:w="157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7</w:t>
            </w:r>
          </w:p>
        </w:tc>
        <w:tc>
          <w:tcPr>
            <w:tcW w:w="1828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0</w:t>
            </w:r>
          </w:p>
        </w:tc>
        <w:tc>
          <w:tcPr>
            <w:tcW w:w="142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%</w:t>
            </w:r>
          </w:p>
        </w:tc>
        <w:tc>
          <w:tcPr>
            <w:tcW w:w="2908" w:type="dxa"/>
            <w:shd w:val="clear" w:color="auto" w:fill="EAF3FB"/>
            <w:vAlign w:val="center"/>
          </w:tcPr>
          <w:p>
            <w:pPr>
              <w:spacing w:before="60" w:after="60"/>
              <w:jc w:val="both"/>
              <w:rPr/>
            </w:pPr>
            <w:r>
              <w:rPr>
                <w:rFonts w:hint="eastAsia"/>
              </w:rPr>
              <w:t>建站</w:t>
            </w:r>
            <w:r>
              <w:rPr>
                <w:rFonts w:hint="eastAsia"/>
              </w:rPr>
              <w:t>完成率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广告</w:t>
            </w:r>
            <w:r>
              <w:rPr>
                <w:rFonts w:hint="eastAsia"/>
              </w:rPr>
              <w:t>利润结构</w:t>
            </w:r>
            <w:r>
              <w:rPr>
                <w:rFonts w:hint="eastAsia"/>
              </w:rPr>
              <w:t>单一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较少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>推进</w:t>
            </w:r>
            <w:r>
              <w:rPr>
                <w:rFonts w:hint="eastAsia"/>
              </w:rPr>
              <w:t>建站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Tiktok</w:t>
            </w:r>
            <w:r>
              <w:rPr>
                <w:rFonts w:hint="eastAsia"/>
              </w:rPr>
              <w:t>代投</w:t>
            </w:r>
          </w:p>
        </w:tc>
      </w:tr>
      <w:tr>
        <w:trPr/>
        <w:tc>
          <w:tcPr>
            <w:tcW w:w="1333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hint="eastAsia"/>
              </w:rPr>
              <w:t>到款</w:t>
            </w:r>
          </w:p>
        </w:tc>
        <w:tc>
          <w:tcPr>
            <w:tcW w:w="1573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7</w:t>
            </w:r>
          </w:p>
        </w:tc>
        <w:tc>
          <w:tcPr>
            <w:tcW w:w="1828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0</w:t>
            </w:r>
          </w:p>
        </w:tc>
        <w:tc>
          <w:tcPr>
            <w:tcW w:w="1423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%</w:t>
            </w:r>
          </w:p>
        </w:tc>
        <w:tc>
          <w:tcPr>
            <w:tcW w:w="2908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hint="eastAsia"/>
              </w:rPr>
              <w:t>大客户</w:t>
            </w:r>
            <w:r>
              <w:rPr>
                <w:rFonts w:hint="eastAsia"/>
              </w:rPr>
              <w:t>结构</w:t>
            </w:r>
            <w:r>
              <w:rPr>
                <w:rFonts w:hint="eastAsia"/>
              </w:rPr>
              <w:t>单一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抗风险</w:t>
            </w:r>
            <w:r>
              <w:rPr>
                <w:rFonts w:hint="eastAsia"/>
              </w:rPr>
              <w:t>能力</w:t>
            </w:r>
            <w:r>
              <w:rPr>
                <w:rFonts w:hint="eastAsia"/>
              </w:rPr>
              <w:t>较差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下一步</w:t>
            </w:r>
            <w:r>
              <w:rPr>
                <w:rFonts w:hint="eastAsia"/>
              </w:rPr>
              <w:t>推进</w:t>
            </w:r>
            <w:r>
              <w:rPr>
                <w:rFonts w:hint="eastAsia"/>
              </w:rPr>
              <w:t>DTC</w:t>
            </w:r>
            <w:r>
              <w:rPr>
                <w:rFonts w:hint="eastAsia"/>
              </w:rPr>
              <w:t>客户</w:t>
            </w:r>
            <w:r>
              <w:rPr>
                <w:rFonts w:hint="eastAsia"/>
              </w:rPr>
              <w:t>引入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丰富</w:t>
            </w:r>
            <w:r>
              <w:rPr>
                <w:rFonts w:hint="eastAsia"/>
              </w:rPr>
              <w:t>客户</w:t>
            </w:r>
            <w:r>
              <w:rPr>
                <w:rFonts w:hint="eastAsia"/>
              </w:rPr>
              <w:t>结构</w:t>
            </w:r>
          </w:p>
        </w:tc>
      </w:tr>
      <w:tr>
        <w:trPr/>
        <w:tc>
          <w:tcPr>
            <w:tcW w:w="133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hint="eastAsia"/>
              </w:rPr>
              <w:t>Tiktok</w:t>
            </w:r>
            <w:r>
              <w:rPr>
                <w:rFonts w:hint="eastAsia"/>
              </w:rPr>
              <w:t>消耗</w:t>
            </w:r>
          </w:p>
        </w:tc>
        <w:tc>
          <w:tcPr>
            <w:tcW w:w="157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7</w:t>
            </w:r>
          </w:p>
        </w:tc>
        <w:tc>
          <w:tcPr>
            <w:tcW w:w="1828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0</w:t>
            </w:r>
          </w:p>
        </w:tc>
        <w:tc>
          <w:tcPr>
            <w:tcW w:w="1423" w:type="dxa"/>
            <w:shd w:val="clear" w:color="auto" w:fill="EAF3FB"/>
            <w:vAlign w:val="center"/>
          </w:tcPr>
          <w:p>
            <w:pPr>
              <w:spacing w:before="60" w:after="60"/>
              <w:jc w:val="center"/>
              <w:rPr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%</w:t>
            </w:r>
          </w:p>
        </w:tc>
        <w:tc>
          <w:tcPr>
            <w:tcW w:w="2908" w:type="dxa"/>
            <w:shd w:val="clear" w:color="auto" w:fill="EAF3FB"/>
            <w:vAlign w:val="center"/>
          </w:tcPr>
          <w:p>
            <w:pPr>
              <w:spacing w:before="60" w:after="60"/>
              <w:jc w:val="both"/>
              <w:rPr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初</w:t>
            </w:r>
            <w:r>
              <w:rPr>
                <w:rFonts w:hint="eastAsia"/>
              </w:rPr>
              <w:t>启动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账户</w:t>
            </w:r>
            <w:r>
              <w:rPr>
                <w:rFonts w:hint="eastAsia"/>
              </w:rPr>
              <w:t>需要</w:t>
            </w:r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目前</w:t>
            </w:r>
            <w:r>
              <w:rPr>
                <w:rFonts w:hint="eastAsia"/>
              </w:rPr>
              <w:t>日消耗</w:t>
            </w:r>
            <w:r>
              <w:rPr>
                <w:rFonts w:hint="eastAsia"/>
              </w:rPr>
              <w:t>已</w:t>
            </w:r>
            <w:r>
              <w:rPr>
                <w:rFonts w:hint="eastAsia"/>
              </w:rPr>
              <w:t>逐步</w:t>
            </w:r>
            <w:r>
              <w:rPr>
                <w:rFonts w:hint="eastAsia"/>
              </w:rPr>
              <w:t>稳定</w:t>
            </w:r>
            <w:r>
              <w:rPr>
                <w:rFonts w:hint="eastAsia"/>
              </w:rPr>
              <w:t>$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基本盘</w:t>
            </w:r>
            <w:r>
              <w:rPr>
                <w:rFonts w:hint="eastAsia"/>
              </w:rPr>
              <w:t>建立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下一步</w:t>
            </w:r>
            <w:r>
              <w:rPr>
                <w:rFonts w:hint="eastAsia"/>
              </w:rPr>
              <w:t>拓展</w:t>
            </w:r>
            <w:r>
              <w:rPr>
                <w:rFonts w:hint="eastAsia"/>
              </w:rPr>
              <w:t>新客户</w:t>
            </w:r>
            <w:r>
              <w:rPr>
                <w:rFonts w:hint="eastAsia"/>
              </w:rPr>
              <w:t>拉动</w:t>
            </w:r>
            <w:r>
              <w:rPr>
                <w:rFonts w:hint="eastAsia"/>
              </w:rPr>
              <w:t>量级</w:t>
            </w:r>
            <w:r>
              <w:rPr>
                <w:rFonts w:hint="eastAsia"/>
              </w:rPr>
              <w:t>。</w:t>
            </w:r>
          </w:p>
        </w:tc>
      </w:tr>
    </w:tbl>
    <w:p>
      <w:pPr>
        <w:pBdr/>
        <w:spacing w:after="80"/>
        <w:ind/>
        <w:rPr/>
      </w:pPr>
    </w:p>
    <w:p>
      <w:pPr>
        <w:spacing w:after="80"/>
        <w:rPr>
          <w:color w:val="FF0000"/>
        </w:rPr>
      </w:pPr>
      <w:r>
        <w:rPr>
          <w:rFonts w:hint="eastAsia"/>
          <w:color w:val="FF0000"/>
        </w:rPr>
        <w:t>以上为年度原来已经制定的指标，新业务组织在重构中。预计本月完成组织和产品策略设计。</w:t>
      </w:r>
    </w:p>
    <w:sectPr w:rsidRPr="0006063C" w:rsidR="00FC693F" w:rsidSect="00034616">
      <w:type w:val="nextPage"/>
      <w:pgSz w:w="12240" w:h="15840" w:orient="portrait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 w:characterSet="ISO-8859-1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 w:characterSet="ISO-8859-1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76">
    <w:lsdException w:name="Medium Shading 1 Accent 4" w:uiPriority="63" w:semiHidden="false" w:unhideWhenUsed="false"/>
    <w:lsdException w:name="Medium List 1 Accent 2" w:uiPriority="65" w:semiHidden="false" w:unhideWhenUsed="false"/>
    <w:lsdException w:name="Colorful Shading Accent 5" w:uiPriority="71" w:semiHidden="false" w:unhideWhenUsed="false"/>
    <w:lsdException w:name="Medium Grid 2 Accent 3" w:uiPriority="68" w:semiHidden="false" w:unhideWhenUsed="false"/>
    <w:lsdException w:name="Medium Grid 3 Accent 3" w:uiPriority="69" w:semiHidden="false" w:unhideWhenUsed="false"/>
    <w:lsdException w:name="Medium Shading 2 Accent 3" w:uiPriority="64" w:semiHidden="false" w:unhideWhenUsed="false"/>
    <w:lsdException w:name="toc 8" w:uiPriority="39"/>
    <w:lsdException w:name="Subtle Emphasis" w:uiPriority="19" w:semiHidden="false" w:unhideWhenUsed="false" w:qFormat="true"/>
    <w:lsdException w:name="Medium List 2" w:uiPriority="66" w:semiHidden="false" w:unhideWhenUsed="false"/>
    <w:lsdException w:name="Medium Grid 1 Accent 5" w:uiPriority="67" w:semiHidden="false" w:unhideWhenUsed="false"/>
    <w:lsdException w:name="Medium Shading 2 Accent 1" w:uiPriority="64" w:semiHidden="false" w:unhideWhenUsed="false"/>
    <w:lsdException w:name="Light List Accent 6" w:uiPriority="61" w:semiHidden="false" w:unhideWhenUsed="false"/>
    <w:lsdException w:name="toc 9" w:uiPriority="39"/>
    <w:lsdException w:name="Medium List 1 Accent 1" w:uiPriority="65" w:semiHidden="false" w:unhideWhenUsed="false"/>
    <w:lsdException w:name="Medium Shading 1 Accent 1" w:uiPriority="63" w:semiHidden="false" w:unhideWhenUsed="false"/>
    <w:lsdException w:name="Medium Shading 2 Accent 4" w:uiPriority="64" w:semiHidden="false" w:unhideWhenUsed="false"/>
    <w:lsdException w:name="toc 7" w:uiPriority="39"/>
    <w:lsdException w:name="Colorful Grid Accent 3" w:uiPriority="73" w:semiHidden="false" w:unhideWhenUsed="false"/>
    <w:lsdException w:name="Medium Grid 1 Accent 1" w:uiPriority="67" w:semiHidden="false" w:unhideWhenUsed="false"/>
    <w:lsdException w:name="Medium Grid 3 Accent 4" w:uiPriority="69" w:semiHidden="false" w:unhideWhenUsed="false"/>
    <w:lsdException w:name="Light Shading Accent 5" w:uiPriority="60" w:semiHidden="false" w:unhideWhenUsed="false"/>
    <w:lsdException w:name="Medium Grid 2 Accent 4" w:uiPriority="68" w:semiHidden="false" w:unhideWhenUsed="false"/>
    <w:lsdException w:name="heading 4" w:uiPriority="9" w:qFormat="true"/>
    <w:lsdException w:name="Light Grid Accent 2" w:uiPriority="62" w:semiHidden="false" w:unhideWhenUsed="false"/>
    <w:lsdException w:name="heading 9" w:uiPriority="9" w:qFormat="true"/>
    <w:lsdException w:name="Medium Grid 3 Accent 1" w:uiPriority="69" w:semiHidden="false" w:unhideWhenUsed="false"/>
    <w:lsdException w:name="heading 2" w:uiPriority="9" w:qFormat="true"/>
    <w:lsdException w:name="Medium Grid 2 Accent 1" w:uiPriority="68" w:semiHidden="false" w:unhideWhenUsed="false"/>
    <w:lsdException w:name="Medium Grid 2" w:uiPriority="68" w:semiHidden="false" w:unhideWhenUsed="false"/>
    <w:lsdException w:name="Book Title" w:uiPriority="33" w:semiHidden="false" w:unhideWhenUsed="false" w:qFormat="true"/>
    <w:lsdException w:name="Medium List 2 Accent 2" w:uiPriority="66" w:semiHidden="false" w:unhideWhenUsed="false"/>
    <w:lsdException w:name="Table Grid" w:uiPriority="59" w:semiHidden="false" w:unhideWhenUsed="false"/>
    <w:lsdException w:name="Medium Grid 1" w:uiPriority="67" w:semiHidden="false" w:unhideWhenUsed="false"/>
    <w:lsdException w:name="Emphasis" w:uiPriority="20" w:semiHidden="false" w:unhideWhenUsed="false" w:qFormat="true"/>
    <w:lsdException w:name="Colorful List Accent 2" w:uiPriority="72" w:semiHidden="false" w:unhideWhenUsed="false"/>
    <w:lsdException w:name="caption" w:uiPriority="35" w:qFormat="true"/>
    <w:lsdException w:name="Medium List 2 Accent 3" w:uiPriority="66" w:semiHidden="false" w:unhideWhenUsed="false"/>
    <w:lsdException w:name="Colorful Shading Accent 4" w:uiPriority="71" w:semiHidden="false" w:unhideWhenUsed="false"/>
    <w:lsdException w:name="toc 2" w:uiPriority="39"/>
    <w:lsdException w:name="Colorful List Accent 6" w:uiPriority="72" w:semiHidden="false" w:unhideWhenUsed="false"/>
    <w:lsdException w:name="Dark List Accent 6" w:uiPriority="70" w:semiHidden="false" w:unhideWhenUsed="false"/>
    <w:lsdException w:name="Medium Grid 2 Accent 2" w:uiPriority="68" w:semiHidden="false" w:unhideWhenUsed="false"/>
    <w:lsdException w:name="Intense Reference" w:uiPriority="32" w:semiHidden="false" w:unhideWhenUsed="false" w:qFormat="true"/>
    <w:lsdException w:name="Placeholder Text" w:unhideWhenUsed="false"/>
    <w:lsdException w:name="toc 5" w:uiPriority="39"/>
    <w:lsdException w:name="Strong" w:uiPriority="22" w:semiHidden="false" w:unhideWhenUsed="false" w:qFormat="true"/>
    <w:lsdException w:name="Medium List 2 Accent 4" w:uiPriority="66" w:semiHidden="false" w:unhideWhenUsed="false"/>
    <w:lsdException w:name="Dark List Accent 1" w:uiPriority="70" w:semiHidden="false" w:unhideWhenUsed="false"/>
    <w:lsdException w:name="Medium Shading 2 Accent 5" w:uiPriority="64" w:semiHidden="false" w:unhideWhenUsed="false"/>
    <w:lsdException w:name="Colorful Grid" w:uiPriority="73" w:semiHidden="false" w:unhideWhenUsed="false"/>
    <w:lsdException w:name="Light Shading" w:uiPriority="60" w:semiHidden="false" w:unhideWhenUsed="false"/>
    <w:lsdException w:name="Normal" w:uiPriority="0" w:semiHidden="false" w:unhideWhenUsed="false" w:qFormat="true"/>
    <w:lsdException w:name="Light List Accent 1" w:uiPriority="61" w:semiHidden="false" w:unhideWhenUsed="false"/>
    <w:lsdException w:name="Medium List 1 Accent 4" w:uiPriority="65" w:semiHidden="false" w:unhideWhenUsed="false"/>
    <w:lsdException w:name="Medium Grid 1 Accent 4" w:uiPriority="67" w:semiHidden="false" w:unhideWhenUsed="false"/>
    <w:lsdException w:name="Medium Shading 2 Accent 6" w:uiPriority="64" w:semiHidden="false" w:unhideWhenUsed="false"/>
    <w:lsdException w:name="Medium Grid 2 Accent 5" w:uiPriority="68" w:semiHidden="false" w:unhideWhenUsed="false"/>
    <w:lsdException w:name="Medium Grid 3 Accent 6" w:uiPriority="69" w:semiHidden="false" w:unhideWhenUsed="false"/>
    <w:lsdException w:name="Colorful List Accent 5" w:uiPriority="72" w:semiHidden="false" w:unhideWhenUsed="false"/>
    <w:lsdException w:name="Dark List Accent 3" w:uiPriority="70" w:semiHidden="false" w:unhideWhenUsed="false"/>
    <w:lsdException w:name="Light List Accent 3" w:uiPriority="61" w:semiHidden="false" w:unhideWhenUsed="false"/>
    <w:lsdException w:name="Colorful List" w:uiPriority="72" w:semiHidden="false" w:unhideWhenUsed="false"/>
    <w:lsdException w:name="Light Shading Accent 6" w:uiPriority="60" w:semiHidden="false" w:unhideWhenUsed="false"/>
    <w:lsdException w:name="Medium Grid 1 Accent 6" w:uiPriority="67" w:semiHidden="false" w:unhideWhenUsed="false"/>
    <w:lsdException w:name="Light Grid Accent 1" w:uiPriority="62" w:semiHidden="false" w:unhideWhenUsed="false"/>
    <w:lsdException w:name="Medium List 1 Accent 3" w:uiPriority="65" w:semiHidden="false" w:unhideWhenUsed="false"/>
    <w:lsdException w:name="Intense Quote" w:uiPriority="30" w:semiHidden="false" w:unhideWhenUsed="false" w:qFormat="true"/>
    <w:lsdException w:name="Light Shading Accent 2" w:uiPriority="60" w:semiHidden="false" w:unhideWhenUsed="false"/>
    <w:lsdException w:name="Colorful Grid Accent 2" w:uiPriority="73" w:semiHidden="false" w:unhideWhenUsed="false"/>
    <w:lsdException w:name="TOC Heading" w:uiPriority="39" w:qFormat="true"/>
    <w:lsdException w:name="Bibliography" w:uiPriority="37"/>
    <w:lsdException w:name="No Spacing" w:uiPriority="1" w:semiHidden="false" w:unhideWhenUsed="false" w:qFormat="true"/>
    <w:lsdException w:name="Intense Emphasis" w:uiPriority="21" w:semiHidden="false" w:unhideWhenUsed="false" w:qFormat="true"/>
    <w:lsdException w:name="Medium List 2 Accent 5" w:uiPriority="66" w:semiHidden="false" w:unhideWhenUsed="false"/>
    <w:lsdException w:name="Dark List" w:uiPriority="70" w:semiHidden="false" w:unhideWhenUsed="false"/>
    <w:lsdException w:name="Dark List Accent 5" w:uiPriority="70" w:semiHidden="false" w:unhideWhenUsed="false"/>
    <w:lsdException w:name="Medium Grid 1 Accent 3" w:uiPriority="67" w:semiHidden="false" w:unhideWhenUsed="false"/>
    <w:lsdException w:name="Light Shading Accent 1" w:uiPriority="60" w:semiHidden="false" w:unhideWhenUsed="false"/>
    <w:lsdException w:name="Default Paragraph Font" w:uiPriority="1"/>
    <w:lsdException w:name="heading 1" w:uiPriority="9" w:semiHidden="false" w:unhideWhenUsed="false" w:qFormat="true"/>
    <w:lsdException w:name="Quote" w:uiPriority="29" w:semiHidden="false" w:unhideWhenUsed="false" w:qFormat="true"/>
    <w:lsdException w:name="Colorful Shading" w:uiPriority="71" w:semiHidden="false" w:unhideWhenUsed="false"/>
    <w:lsdException w:name="Light List" w:uiPriority="61" w:semiHidden="false" w:unhideWhenUsed="false"/>
    <w:lsdException w:name="Medium List 2 Accent 1" w:uiPriority="66" w:semiHidden="false" w:unhideWhenUsed="false"/>
    <w:lsdException w:name="Colorful Grid Accent 5" w:uiPriority="73" w:semiHidden="false" w:unhideWhenUsed="false"/>
    <w:lsdException w:name="Colorful List Accent 1" w:uiPriority="72" w:semiHidden="false" w:unhideWhenUsed="false"/>
    <w:lsdException w:name="Medium Shading 2" w:uiPriority="64" w:semiHidden="false" w:unhideWhenUsed="false"/>
    <w:lsdException w:name="Medium Shading 1 Accent 6" w:uiPriority="63" w:semiHidden="false" w:unhideWhenUsed="false"/>
    <w:lsdException w:name="Light Shading Accent 3" w:uiPriority="60" w:semiHidden="false" w:unhideWhenUsed="false"/>
    <w:lsdException w:name="Medium List 1 Accent 5" w:uiPriority="65" w:semiHidden="false" w:unhideWhenUsed="false"/>
    <w:lsdException w:name="Medium Grid 3 Accent 5" w:uiPriority="69" w:semiHidden="false" w:unhideWhenUsed="false"/>
    <w:lsdException w:name="Medium List 1 Accent 6" w:uiPriority="65" w:semiHidden="false" w:unhideWhenUsed="false"/>
    <w:lsdException w:name="Medium Grid 1 Accent 2" w:uiPriority="67" w:semiHidden="false" w:unhideWhenUsed="false"/>
    <w:lsdException w:name="Light Grid Accent 3" w:uiPriority="62" w:semiHidden="false" w:unhideWhenUsed="false"/>
    <w:lsdException w:name="toc 1" w:uiPriority="39"/>
    <w:lsdException w:name="heading 8" w:uiPriority="9" w:qFormat="true"/>
    <w:lsdException w:name="Light Shading Accent 4" w:uiPriority="60" w:semiHidden="false" w:unhideWhenUsed="false"/>
    <w:lsdException w:name="Dark List Accent 2" w:uiPriority="70" w:semiHidden="false" w:unhideWhenUsed="false"/>
    <w:lsdException w:name="toc 4" w:uiPriority="39"/>
    <w:lsdException w:name="Colorful List Accent 3" w:uiPriority="72" w:semiHidden="false" w:unhideWhenUsed="false"/>
    <w:lsdException w:name="Subtitle" w:uiPriority="11" w:semiHidden="false" w:unhideWhenUsed="false" w:qFormat="true"/>
    <w:lsdException w:name="toc 6" w:uiPriority="39"/>
    <w:lsdException w:name="Colorful Grid Accent 4" w:uiPriority="73" w:semiHidden="false" w:unhideWhenUsed="false"/>
    <w:lsdException w:name="Colorful Shading Accent 6" w:uiPriority="71" w:semiHidden="false" w:unhideWhenUsed="false"/>
    <w:lsdException w:name="Light List Accent 5" w:uiPriority="61" w:semiHidden="false" w:unhideWhenUsed="false"/>
    <w:lsdException w:name="Colorful List Accent 4" w:uiPriority="72" w:semiHidden="false" w:unhideWhenUsed="false"/>
    <w:lsdException w:name="Medium Grid 3" w:uiPriority="69" w:semiHidden="false" w:unhideWhenUsed="false"/>
    <w:lsdException w:name="Medium Shading 1 Accent 3" w:uiPriority="63" w:semiHidden="false" w:unhideWhenUsed="false"/>
    <w:lsdException w:name="Light List Accent 2" w:uiPriority="61" w:semiHidden="false" w:unhideWhenUsed="false"/>
    <w:lsdException w:name="Medium List 1" w:uiPriority="65" w:semiHidden="false" w:unhideWhenUsed="false"/>
    <w:lsdException w:name="Light Grid" w:uiPriority="62" w:semiHidden="false" w:unhideWhenUsed="false"/>
    <w:lsdException w:name="Medium Shading 1 Accent 5" w:uiPriority="63" w:semiHidden="false" w:unhideWhenUsed="false"/>
    <w:lsdException w:name="Revision" w:unhideWhenUsed="false"/>
    <w:lsdException w:name="heading 7" w:uiPriority="9" w:qFormat="true"/>
    <w:lsdException w:name="toc 3" w:uiPriority="39"/>
    <w:lsdException w:name="Medium Grid 3 Accent 2" w:uiPriority="69" w:semiHidden="false" w:unhideWhenUsed="false"/>
    <w:lsdException w:name="Subtle Reference" w:uiPriority="31" w:semiHidden="false" w:unhideWhenUsed="false" w:qFormat="true"/>
    <w:lsdException w:name="Dark List Accent 4" w:uiPriority="70" w:semiHidden="false" w:unhideWhenUsed="false"/>
    <w:lsdException w:name="Colorful Shading Accent 1" w:uiPriority="71" w:semiHidden="false" w:unhideWhenUsed="false"/>
    <w:lsdException w:name="heading 6" w:uiPriority="9" w:qFormat="true"/>
    <w:lsdException w:name="Medium Shading 1 Accent 2" w:uiPriority="63" w:semiHidden="false" w:unhideWhenUsed="false"/>
    <w:lsdException w:name="heading 3" w:uiPriority="9" w:qFormat="true"/>
    <w:lsdException w:name="Medium Shading 2 Accent 2" w:uiPriority="64" w:semiHidden="false" w:unhideWhenUsed="false"/>
    <w:lsdException w:name="List Paragraph" w:uiPriority="34" w:semiHidden="false" w:unhideWhenUsed="false" w:qFormat="true"/>
    <w:lsdException w:name="Light List Accent 4" w:uiPriority="61" w:semiHidden="false" w:unhideWhenUsed="false"/>
    <w:lsdException w:name="Medium List 2 Accent 6" w:uiPriority="66" w:semiHidden="false" w:unhideWhenUsed="false"/>
    <w:lsdException w:name="Colorful Grid Accent 1" w:uiPriority="73" w:semiHidden="false" w:unhideWhenUsed="false"/>
    <w:lsdException w:name="heading 5" w:uiPriority="9" w:qFormat="true"/>
    <w:lsdException w:name="Title" w:uiPriority="10" w:semiHidden="false" w:unhideWhenUsed="false" w:qFormat="true"/>
    <w:lsdException w:name="Light Grid Accent 4" w:uiPriority="62" w:semiHidden="false" w:unhideWhenUsed="false"/>
    <w:lsdException w:name="Colorful Grid Accent 6" w:uiPriority="73" w:semiHidden="false" w:unhideWhenUsed="false"/>
    <w:lsdException w:name="Medium Shading 1" w:uiPriority="63" w:semiHidden="false" w:unhideWhenUsed="false"/>
    <w:lsdException w:name="Medium Grid 2 Accent 6" w:uiPriority="68" w:semiHidden="false" w:unhideWhenUsed="false"/>
    <w:lsdException w:name="Light Grid Accent 6" w:uiPriority="62" w:semiHidden="false" w:unhideWhenUsed="false"/>
    <w:lsdException w:name="Light Grid Accent 5" w:uiPriority="62" w:semiHidden="false" w:unhideWhenUsed="false"/>
    <w:lsdException w:name="Colorful Shading Accent 2" w:uiPriority="71" w:semiHidden="false" w:unhideWhenUsed="false"/>
    <w:lsdException w:name="Colorful Shading Accent 3" w:uiPriority="71" w:semiHidden="false" w:unhideWhenUsed="false"/>
  </w:latentStyles>
  <w:style w:type="table" w:styleId="00013e">
    <w:name w:val="Dark List Accent 2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/>
        <w:bCs/>
      </w:rPr>
    </w:tblStylePr>
    <w:tblStylePr w:type="firstCol">
      <w:rPr>
        <w:b/>
        <w:bCs/>
      </w:rPr>
    </w:tblStylePr>
  </w:style>
  <w:style w:type="table" w:styleId="00012e">
    <w:name w:val="Medium Grid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120">
    <w:name w:val="Medium Lis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03">
    <w:name w:val="header"/>
    <w:basedOn w:val="000002"/>
    <w:link w:val="000004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28">
    <w:name w:val="List"/>
    <w:basedOn w:val="000002"/>
    <w:uiPriority w:val="99"/>
    <w:unhideWhenUsed/>
    <w:rsid w:val="00AA1D8D"/>
    <w:pPr>
      <w:ind w:left="360" w:hanging="360"/>
      <w:contextualSpacing/>
    </w:pPr>
  </w:style>
  <w:style w:type="paragraph" w:styleId="00003c">
    <w:name w:val="Quote"/>
    <w:basedOn w:val="000002"/>
    <w:next w:val="000002"/>
    <w:link w:val="00003d"/>
    <w:uiPriority w:val="29"/>
    <w:qFormat/>
    <w:rsid w:val="00FC693F"/>
    <w:rPr>
      <w:i/>
      <w:iCs/>
      <w:color w:val="000000" w:themeColor="text1"/>
    </w:rPr>
  </w:style>
  <w:style w:type="character" w:styleId="0000ec">
    <w:name w:val="Emphasis"/>
    <w:basedOn w:val="0000cb"/>
    <w:uiPriority w:val="20"/>
    <w:qFormat/>
    <w:rsid w:val="00FC693F"/>
    <w:rPr>
      <w:i/>
      <w:iCs/>
    </w:rPr>
  </w:style>
  <w:style w:type="paragraph" w:styleId="0000d6">
    <w:name w:val="Body Text 2"/>
    <w:basedOn w:val="0000b8"/>
    <w:link w:val="0000d7"/>
    <w:uiPriority w:val="99"/>
    <w:unhideWhenUsed/>
    <w:rsid w:val="00AA1D8D"/>
    <w:pPr>
      <w:spacing w:after="120" w:line="480" w:lineRule="auto"/>
    </w:p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</w:style>
  <w:style w:type="character" w:styleId="0000c6" w:customStyle="true">
    <w:name w:val="Heading 7 Char"/>
    <w:basedOn w:val="0000cb"/>
    <w:link w:val="0000c5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00001f">
    <w:name w:val="Subtitle"/>
    <w:basedOn w:val="000002"/>
    <w:next w:val="000002"/>
    <w:link w:val="000020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0000ca" w:customStyle="true">
    <w:name w:val="Heading 9 Char"/>
    <w:basedOn w:val="0000cb"/>
    <w:link w:val="0000c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table" w:styleId="0000f9">
    <w:name w:val="Light Shading Accent 3"/>
    <w:basedOn w:val="0000cc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</w:style>
  <w:style w:type="table" w:styleId="00010b">
    <w:name w:val="Medium Shading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0f8">
    <w:name w:val="Light Shading Accent 2"/>
    <w:basedOn w:val="0000cc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paragraph" w:styleId="00002c">
    <w:name w:val="List Bullet"/>
    <w:basedOn w:val="000002"/>
    <w:uiPriority w:val="99"/>
    <w:unhideWhenUsed/>
    <w:rsid w:val="00326F90"/>
    <w:pPr>
      <w:numPr>
        <w:numId w:val="1"/>
      </w:numPr>
      <w:contextualSpacing/>
    </w:pPr>
  </w:style>
  <w:style w:type="table" w:styleId="00013f">
    <w:name w:val="Dark List Accent 3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149">
    <w:name w:val="Colorful Shading Accent 6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</w:style>
  <w:style w:type="character" w:styleId="000005" w:default="true">
    <w:name w:val="Default Paragraph Font"/>
    <w:uiPriority w:val="1"/>
    <w:semiHidden/>
    <w:unhideWhenUsed/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/>
        <w:bCs/>
      </w:r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firstCol">
      <w:rPr>
        <w:b/>
        <w:bCs/>
      </w:rPr>
    </w:tblStylePr>
  </w:style>
  <w:style w:type="table" w:styleId="000124">
    <w:name w:val="Medium List 2 Accent 4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character" w:styleId="00003b" w:customStyle="true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</w:style>
  <w:style w:type="paragraph" w:styleId="000010">
    <w:name w:val="heading 5"/>
    <w:basedOn w:val="000002"/>
    <w:next w:val="000002"/>
    <w:link w:val="000011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0f" w:customStyle="true">
    <w:name w:val="Heading 4 Char"/>
    <w:basedOn w:val="000005"/>
    <w:link w:val="00000e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paragraph" w:styleId="0000c5">
    <w:name w:val="heading 7"/>
    <w:basedOn w:val="0000b8"/>
    <w:next w:val="0000b8"/>
    <w:link w:val="0000c6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000024">
    <w:name w:val="Body Text 2"/>
    <w:basedOn w:val="000002"/>
    <w:link w:val="000025"/>
    <w:uiPriority w:val="99"/>
    <w:unhideWhenUsed/>
    <w:rsid w:val="00AA1D8D"/>
    <w:pPr>
      <w:spacing w:after="120" w:line="480" w:lineRule="auto"/>
    </w:p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</w:style>
  <w:style w:type="table" w:styleId="00012a">
    <w:name w:val="Medium Grid 1 Accent 3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/>
        <w:bCs/>
      </w:r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/>
        <w:bCs/>
      </w:rPr>
    </w:tblStylePr>
  </w:style>
  <w:style w:type="table" w:styleId="000142">
    <w:name w:val="Dark List Accent 6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ff">
    <w:name w:val="Light List Accent 2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000041">
    <w:name w:val="Intense Quote"/>
    <w:basedOn w:val="000002"/>
    <w:next w:val="000002"/>
    <w:link w:val="000042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18">
    <w:name w:val="heading 9"/>
    <w:basedOn w:val="000002"/>
    <w:next w:val="000002"/>
    <w:link w:val="000019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0000be" w:customStyle="true">
    <w:name w:val="Heading 3 Char"/>
    <w:basedOn w:val="0000cb"/>
    <w:link w:val="0000bd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table" w:styleId="0000f5">
    <w:name w:val="Table Grid"/>
    <w:basedOn w:val="0000cc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11a">
    <w:name w:val="Medium List 1 Accen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118">
    <w:name w:val="Medium Shading 2 Accent 6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bb">
    <w:name w:val="heading 2"/>
    <w:basedOn w:val="0000b8"/>
    <w:next w:val="0000b8"/>
    <w:link w:val="0000bc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table" w:styleId="0000fa">
    <w:name w:val="Light Shading Accent 4"/>
    <w:basedOn w:val="0000cc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/>
        <w:bCs/>
      </w:rPr>
    </w:tblStylePr>
    <w:tblStylePr w:type="firstCol">
      <w:rPr>
        <w:b/>
        <w:bCs/>
      </w:rPr>
    </w:tblStylePr>
  </w:style>
  <w:style w:type="table" w:styleId="000151">
    <w:name w:val="Colorful Grid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000006">
    <w:name w:val="footer"/>
    <w:basedOn w:val="000002"/>
    <w:link w:val="00000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fir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111">
    <w:name w:val="Medium Shading 1 Accent 6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</w:style>
  <w:style w:type="character" w:styleId="000044">
    <w:name w:val="Intense Emphasis"/>
    <w:basedOn w:val="000005"/>
    <w:uiPriority w:val="21"/>
    <w:qFormat/>
    <w:rsid w:val="00FC693F"/>
    <w:rPr>
      <w:b/>
      <w:bCs/>
      <w:i/>
      <w:iCs/>
      <w:color w:val="4F81BD" w:themeColor="accent1"/>
    </w:rPr>
  </w:style>
  <w:style w:type="paragraph" w:styleId="0000f4">
    <w:name w:val="TOC Heading"/>
    <w:basedOn w:val="0000b9"/>
    <w:next w:val="0000b8"/>
    <w:uiPriority w:val="39"/>
    <w:semiHidden/>
    <w:unhideWhenUsed/>
    <w:qFormat/>
    <w:rsid w:val="00FC693F"/>
    <w:pPr>
      <w:outlineLvl w:val="9"/>
    </w:pPr>
  </w:style>
  <w:style w:type="paragraph" w:styleId="00000e">
    <w:name w:val="heading 4"/>
    <w:basedOn w:val="000002"/>
    <w:next w:val="000002"/>
    <w:link w:val="00000f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table" w:styleId="00013c">
    <w:name w:val="Dark List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</w:style>
  <w:style w:type="paragraph" w:styleId="000048">
    <w:name w:val="TOC Heading"/>
    <w:basedOn w:val="000008"/>
    <w:next w:val="000002"/>
    <w:uiPriority w:val="39"/>
    <w:semiHidden/>
    <w:unhideWhenUsed/>
    <w:qFormat/>
    <w:rsid w:val="00FC693F"/>
    <w:pPr>
      <w:outlineLvl w:val="9"/>
    </w:p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/>
        <w:bCs/>
      </w:r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</w:style>
  <w:style w:type="table" w:styleId="000157">
    <w:name w:val="Colorful Grid Accent 6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numbering" w:styleId="00001b" w:default="true">
    <w:name w:val="No List"/>
    <w:uiPriority w:val="99"/>
    <w:semiHidden/>
    <w:unhideWhenUsed/>
  </w:style>
  <w:style w:type="character" w:styleId="0000d9" w:customStyle="true">
    <w:name w:val="Body Text 3 Char"/>
    <w:basedOn w:val="0000cb"/>
    <w:link w:val="0000d8"/>
    <w:uiPriority w:val="99"/>
    <w:rsid w:val="00AA1D8D"/>
    <w:rPr>
      <w:sz w:val="16"/>
      <w:szCs w:val="16"/>
    </w:r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character" w:styleId="000015" w:customStyle="true">
    <w:name w:val="Heading 7 Char"/>
    <w:basedOn w:val="000005"/>
    <w:link w:val="000014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lastCol">
      <w:rPr>
        <w:b/>
        <w:bCs/>
      </w:rPr>
    </w:tblStylePr>
  </w:style>
  <w:style w:type="character" w:styleId="00003f">
    <w:name w:val="Strong"/>
    <w:basedOn w:val="000005"/>
    <w:uiPriority w:val="22"/>
    <w:qFormat/>
    <w:rsid w:val="00FC693F"/>
    <w:rPr>
      <w:b/>
      <w:bCs/>
    </w:rPr>
  </w:style>
  <w:style w:type="paragraph" w:styleId="0000b9">
    <w:name w:val="heading 1"/>
    <w:basedOn w:val="0000b8"/>
    <w:next w:val="0000b8"/>
    <w:link w:val="0000ba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table" w:styleId="000132">
    <w:name w:val="Medium Grid 2 Accent 4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</w:style>
  <w:style w:type="table" w:styleId="000107">
    <w:name w:val="Light Grid Accent 3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paragraph" w:styleId="000012">
    <w:name w:val="heading 6"/>
    <w:basedOn w:val="000002"/>
    <w:next w:val="000002"/>
    <w:link w:val="000013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0000b8" w:default="true">
    <w:name w:val="Normal"/>
    <w:qFormat/>
    <w:rsid w:val="00FC693F"/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Row">
      <w:rPr>
        <w:b/>
        <w:bCs/>
      </w:rPr>
      <w:tblPr/>
      <w:tcPr>
        <w:shd w:val="clear" w:color="auto" w:fill="CCC0D9" w:themeFill="accent4" w:themeFillTint="66"/>
      </w:tcPr>
    </w:tblStylePr>
  </w:style>
  <w:style w:type="table" w:styleId="0000f6">
    <w:name w:val="Light Shading"/>
    <w:basedOn w:val="0000cc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3" w:customStyle="true">
    <w:name w:val="Heading 6 Char"/>
    <w:basedOn w:val="000005"/>
    <w:link w:val="000012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00000d" w:customStyle="true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0000dc">
    <w:name w:val="List 3"/>
    <w:basedOn w:val="0000b8"/>
    <w:uiPriority w:val="99"/>
    <w:unhideWhenUsed/>
    <w:rsid w:val="00326F90"/>
    <w:pPr>
      <w:ind w:left="1080" w:hanging="360"/>
      <w:contextualSpacing/>
    </w:pPr>
  </w:style>
  <w:style w:type="table" w:styleId="000119">
    <w:name w:val="Medium Lis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styleId="0000d3">
    <w:name w:val="List Paragraph"/>
    <w:basedOn w:val="0000b8"/>
    <w:uiPriority w:val="34"/>
    <w:qFormat/>
    <w:rsid w:val="00FC693F"/>
    <w:pPr>
      <w:ind w:left="720"/>
      <w:contextualSpacing/>
    </w:p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35">
    <w:name w:val="Medium Grid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character" w:styleId="0000bc" w:customStyle="true">
    <w:name w:val="Heading 2 Char"/>
    <w:basedOn w:val="0000cb"/>
    <w:link w:val="0000bb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table" w:styleId="00010a">
    <w:name w:val="Light Grid Accent 6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</w:style>
  <w:style w:type="table" w:styleId="000110">
    <w:name w:val="Medium Shading 1 Accent 5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</w:r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</w:style>
  <w:style w:type="table" w:styleId="000115">
    <w:name w:val="Medium Shading 2 Accent 3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numbering" w:styleId="0000cd" w:default="true">
    <w:name w:val="No List"/>
    <w:uiPriority w:val="99"/>
    <w:semiHidden/>
    <w:unhideWhenUsed/>
  </w:style>
  <w:style w:type="table" w:styleId="000121">
    <w:name w:val="Medium List 2 Accent 1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ba" w:customStyle="true">
    <w:name w:val="Heading 1 Char"/>
    <w:basedOn w:val="0000cb"/>
    <w:link w:val="0000b9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table" w:styleId="000109">
    <w:name w:val="Light Grid Accent 5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0000d7" w:customStyle="true">
    <w:name w:val="Body Text 2 Char"/>
    <w:basedOn w:val="0000cb"/>
    <w:link w:val="0000d6"/>
    <w:uiPriority w:val="99"/>
    <w:rsid w:val="00AA1D8D"/>
  </w:style>
  <w:style w:type="character" w:styleId="0000d5" w:customStyle="true">
    <w:name w:val="Body Text Char"/>
    <w:basedOn w:val="0000cb"/>
    <w:link w:val="0000d4"/>
    <w:uiPriority w:val="99"/>
    <w:rsid w:val="00AA1D8D"/>
  </w:style>
  <w:style w:type="character" w:styleId="000011" w:customStyle="true">
    <w:name w:val="Heading 5 Char"/>
    <w:basedOn w:val="000005"/>
    <w:link w:val="000010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46">
    <w:name w:val="Intense Reference"/>
    <w:basedOn w:val="000005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000004" w:customStyle="true">
    <w:name w:val="Header Char"/>
    <w:basedOn w:val="000005"/>
    <w:link w:val="000003"/>
    <w:uiPriority w:val="99"/>
    <w:rsid w:val="00E618BF"/>
  </w:style>
  <w:style w:type="paragraph" w:styleId="0000c1">
    <w:name w:val="heading 5"/>
    <w:basedOn w:val="0000b8"/>
    <w:next w:val="0000b8"/>
    <w:link w:val="0000c2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143">
    <w:name w:val="Colorful Shading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</w:style>
  <w:style w:type="paragraph" w:styleId="00000a">
    <w:name w:val="heading 2"/>
    <w:basedOn w:val="000002"/>
    <w:next w:val="000002"/>
    <w:link w:val="00000b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10f">
    <w:name w:val="Medium Shading 1 Accent 4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character" w:styleId="000045">
    <w:name w:val="Subtle Reference"/>
    <w:basedOn w:val="000005"/>
    <w:uiPriority w:val="31"/>
    <w:qFormat/>
    <w:rsid w:val="00FC693F"/>
    <w:rPr>
      <w:smallCaps/>
      <w:color w:val="C0504D" w:themeColor="accent2"/>
      <w:u w:val="single"/>
    </w:rPr>
  </w:style>
  <w:style w:type="table" w:styleId="000127">
    <w:name w:val="Medium Grid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/>
        <w:bCs/>
      </w:r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</w:style>
  <w:style w:type="table" w:styleId="000150">
    <w:name w:val="Colorful List Accent 6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0000e0">
    <w:name w:val="List Number"/>
    <w:basedOn w:val="0000b8"/>
    <w:uiPriority w:val="99"/>
    <w:unhideWhenUsed/>
    <w:rsid w:val="00326F90"/>
    <w:pPr>
      <w:numPr>
        <w:numId w:val="2"/>
      </w:numPr>
      <w:contextualSpacing/>
    </w:p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47">
    <w:name w:val="Colorful Shading Accent 4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shd w:val="clear" w:color="auto" w:fill="CCC0D9" w:themeFill="accent4" w:themeFillTint="66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</w:style>
  <w:style w:type="table" w:styleId="000131">
    <w:name w:val="Medium Grid 2 Accent 3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</w:style>
  <w:style w:type="paragraph" w:styleId="000021">
    <w:name w:val="List Paragraph"/>
    <w:basedOn w:val="000002"/>
    <w:uiPriority w:val="34"/>
    <w:qFormat/>
    <w:rsid w:val="00FC693F"/>
    <w:pPr>
      <w:ind w:left="720"/>
      <w:contextualSpacing/>
    </w:pPr>
  </w:style>
  <w:style w:type="table" w:styleId="000137">
    <w:name w:val="Medium Grid 3 Accent 2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2e">
    <w:name w:val="List Bullet 2"/>
    <w:basedOn w:val="000002"/>
    <w:uiPriority w:val="99"/>
    <w:unhideWhenUsed/>
    <w:rsid w:val="00326F90"/>
    <w:pPr>
      <w:numPr>
        <w:numId w:val="3"/>
      </w:numPr>
      <w:contextualSpacing/>
    </w:p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000148">
    <w:name w:val="Colorful Shading Accent 5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wCell">
      <w:rPr>
        <w:color w:val="000000" w:themeColor="text1"/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</w:tblStylePr>
  </w:style>
  <w:style w:type="table" w:styleId="00014e">
    <w:name w:val="Colorful List Accent 4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fir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tblStylePr w:type="lastCol">
      <w:rPr>
        <w:b/>
        <w:bCs/>
      </w:r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/>
        <w:bCs/>
      </w:rPr>
    </w:tblStylePr>
    <w:tblStylePr w:type="firstCol">
      <w:rPr>
        <w:b/>
        <w:bCs/>
      </w:r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Row">
      <w:rPr>
        <w:b/>
        <w:bCs/>
      </w:rPr>
    </w:tblStylePr>
  </w:style>
  <w:style w:type="character" w:styleId="0000d0" w:customStyle="true">
    <w:name w:val="Title Char"/>
    <w:basedOn w:val="0000cb"/>
    <w:link w:val="0000cf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c8" w:customStyle="true">
    <w:name w:val="Heading 8 Char"/>
    <w:basedOn w:val="0000cb"/>
    <w:link w:val="0000c7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53">
    <w:name w:val="Colorful Grid Accent 2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13a">
    <w:name w:val="Medium Grid 3 Accent 5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00012c">
    <w:name w:val="Medium Grid 1 Accent 5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lastCol">
      <w:rPr>
        <w:b/>
        <w:bCs/>
      </w:r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/>
        <w:bCs/>
      </w:rPr>
    </w:tblStylePr>
    <w:tblStylePr w:type="firstCol">
      <w:rPr>
        <w:b/>
        <w:bCs/>
      </w:rPr>
    </w:tblStylePr>
  </w:style>
  <w:style w:type="paragraph" w:styleId="0000bf">
    <w:name w:val="heading 4"/>
    <w:basedOn w:val="0000b8"/>
    <w:next w:val="0000b8"/>
    <w:link w:val="0000c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table" w:styleId="000136">
    <w:name w:val="Medium Grid 3 Accent 1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character" w:styleId="000027" w:customStyle="true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14d">
    <w:name w:val="Colorful List Accent 3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/>
        <w:bCs/>
      </w:r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14c">
    <w:name w:val="Colorful List Accent 2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02" w:default="true">
    <w:name w:val="Normal"/>
    <w:qFormat/>
    <w:rsid w:val="00FC693F"/>
    <w:rPr>
      <w:rFonts w:ascii="微软雅黑" w:hAnsi="微软雅黑" w:eastAsia="微软雅黑"/>
      <w:sz w:val="21"/>
    </w:rPr>
  </w:style>
  <w:style w:type="paragraph" w:styleId="00000c">
    <w:name w:val="heading 3"/>
    <w:basedOn w:val="000002"/>
    <w:next w:val="000002"/>
    <w:link w:val="00000d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eb">
    <w:name w:val="Strong"/>
    <w:basedOn w:val="0000cb"/>
    <w:uiPriority w:val="22"/>
    <w:qFormat/>
    <w:rsid w:val="00FC693F"/>
    <w:rPr>
      <w:b/>
      <w:bCs/>
    </w:rPr>
  </w:style>
  <w:style w:type="table" w:styleId="000101">
    <w:name w:val="Light List Accent 4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firstCol">
      <w:rPr>
        <w:b/>
        <w:bCs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/>
        <w:bCs/>
      </w:rPr>
    </w:tblStylePr>
  </w:style>
  <w:style w:type="character" w:styleId="00003d" w:customStyle="true">
    <w:name w:val="Quote Char"/>
    <w:basedOn w:val="000005"/>
    <w:link w:val="00003c"/>
    <w:uiPriority w:val="29"/>
    <w:rsid w:val="00FC693F"/>
    <w:rPr>
      <w:i/>
      <w:iCs/>
      <w:color w:val="000000" w:themeColor="text1"/>
    </w:rPr>
  </w:style>
  <w:style w:type="table" w:styleId="00010c">
    <w:name w:val="Medium Shading 1 Accent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paragraph" w:styleId="00003e">
    <w:name w:val="caption"/>
    <w:basedOn w:val="000002"/>
    <w:next w:val="000002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000141">
    <w:name w:val="Dark List Accent 5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fc">
    <w:name w:val="Light Shading Accent 6"/>
    <w:basedOn w:val="0000cc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</w:style>
  <w:style w:type="table" w:styleId="00001a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000116">
    <w:name w:val="Medium Shading 2 Accent 4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ed">
    <w:name w:val="Intense Quote"/>
    <w:basedOn w:val="0000b8"/>
    <w:next w:val="0000b8"/>
    <w:link w:val="0000ee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character" w:styleId="0000f3">
    <w:name w:val="Book Title"/>
    <w:basedOn w:val="0000cb"/>
    <w:uiPriority w:val="33"/>
    <w:qFormat/>
    <w:rsid w:val="00FC693F"/>
    <w:rPr>
      <w:b/>
      <w:bCs/>
      <w:smallCaps/>
      <w:spacing w:val="5"/>
    </w:rPr>
  </w:style>
  <w:style w:type="paragraph" w:styleId="0000de">
    <w:name w:val="List Bullet 2"/>
    <w:basedOn w:val="0000b8"/>
    <w:uiPriority w:val="99"/>
    <w:unhideWhenUsed/>
    <w:rsid w:val="00326F90"/>
    <w:pPr>
      <w:numPr>
        <w:numId w:val="3"/>
      </w:numPr>
      <w:contextualSpacing/>
    </w:pPr>
  </w:style>
  <w:style w:type="table" w:styleId="000129">
    <w:name w:val="Medium Grid 1 Accent 2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</w:style>
  <w:style w:type="character" w:styleId="0000c0" w:customStyle="true">
    <w:name w:val="Heading 4 Char"/>
    <w:basedOn w:val="0000cb"/>
    <w:link w:val="0000bf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0000e6">
    <w:name w:val="macro"/>
    <w:link w:val="0000e7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fd">
    <w:name w:val="Light List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</w:style>
  <w:style w:type="table" w:styleId="000146">
    <w:name w:val="Colorful Shading Accent 3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11d">
    <w:name w:val="Medium List 1 Accent 4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/>
        <w:bCs/>
      </w:r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102">
    <w:name w:val="Light List Accent 5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Col">
      <w:rPr>
        <w:b/>
        <w:bCs/>
      </w:r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000019" w:customStyle="true">
    <w:name w:val="Heading 9 Char"/>
    <w:basedOn w:val="000005"/>
    <w:link w:val="000018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000025" w:customStyle="true">
    <w:name w:val="Body Text 2 Char"/>
    <w:basedOn w:val="000005"/>
    <w:link w:val="000024"/>
    <w:uiPriority w:val="99"/>
    <w:rsid w:val="00AA1D8D"/>
  </w:style>
  <w:style w:type="table" w:styleId="000123">
    <w:name w:val="Medium List 2 Accent 3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fb">
    <w:name w:val="Light Shading Accent 5"/>
    <w:basedOn w:val="0000cc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0000f0">
    <w:name w:val="Intense Emphasis"/>
    <w:basedOn w:val="0000cb"/>
    <w:uiPriority w:val="21"/>
    <w:qFormat/>
    <w:rsid w:val="00FC693F"/>
    <w:rPr>
      <w:b/>
      <w:bCs/>
      <w:i/>
      <w:iCs/>
      <w:color w:val="4F81BD" w:themeColor="accent1"/>
    </w:rPr>
  </w:style>
  <w:style w:type="paragraph" w:styleId="000037">
    <w:name w:val="List Continue"/>
    <w:basedOn w:val="000002"/>
    <w:uiPriority w:val="99"/>
    <w:unhideWhenUsed/>
    <w:rsid w:val="0029639D"/>
    <w:pPr>
      <w:spacing w:after="120"/>
      <w:ind w:left="360"/>
      <w:contextualSpacing/>
    </w:p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</w:style>
  <w:style w:type="table" w:styleId="00013b">
    <w:name w:val="Medium Grid 3 Accent 6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09" w:customStyle="true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0000cf">
    <w:name w:val="Title"/>
    <w:basedOn w:val="0000b8"/>
    <w:next w:val="0000b8"/>
    <w:link w:val="0000d0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1d">
    <w:name w:val="Title"/>
    <w:basedOn w:val="000002"/>
    <w:next w:val="000002"/>
    <w:link w:val="00001e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2b">
    <w:name w:val="Medium Grid 1 Accent 4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/>
        <w:bCs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</w:style>
  <w:style w:type="character" w:styleId="0000ee" w:customStyle="true">
    <w:name w:val="Intense Quote Char"/>
    <w:basedOn w:val="0000cb"/>
    <w:link w:val="0000ed"/>
    <w:uiPriority w:val="30"/>
    <w:rsid w:val="00FC693F"/>
    <w:rPr>
      <w:b/>
      <w:bCs/>
      <w:i/>
      <w:iCs/>
      <w:color w:val="4F81BD" w:themeColor="accent1"/>
    </w:rPr>
  </w:style>
  <w:style w:type="paragraph" w:styleId="0000e8">
    <w:name w:val="Quote"/>
    <w:basedOn w:val="0000b8"/>
    <w:next w:val="0000b8"/>
    <w:link w:val="0000e9"/>
    <w:uiPriority w:val="29"/>
    <w:qFormat/>
    <w:rsid w:val="00FC693F"/>
    <w:rPr>
      <w:i/>
      <w:iCs/>
      <w:color w:val="000000" w:themeColor="text1"/>
    </w:r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/>
        <w:bCs/>
      </w:rPr>
    </w:tblStylePr>
  </w:style>
  <w:style w:type="table" w:styleId="000100">
    <w:name w:val="Light List Accent 3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firstCol">
      <w:rPr>
        <w:b/>
        <w:bCs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/>
        <w:bCs/>
      </w:rPr>
    </w:tblStylePr>
  </w:style>
  <w:style w:type="paragraph" w:styleId="000034">
    <w:name w:val="List Number 2"/>
    <w:basedOn w:val="000002"/>
    <w:uiPriority w:val="99"/>
    <w:unhideWhenUsed/>
    <w:rsid w:val="0029639D"/>
    <w:pPr>
      <w:numPr>
        <w:numId w:val="4"/>
      </w:numPr>
      <w:contextualSpacing/>
    </w:pPr>
  </w:style>
  <w:style w:type="table" w:styleId="000134">
    <w:name w:val="Medium Grid 2 Accent 6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6">
    <w:name w:val="heading 8"/>
    <w:basedOn w:val="000002"/>
    <w:next w:val="000002"/>
    <w:link w:val="000017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c9">
    <w:name w:val="heading 9"/>
    <w:basedOn w:val="0000b8"/>
    <w:next w:val="0000b8"/>
    <w:link w:val="0000ca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000026">
    <w:name w:val="Body Text 3"/>
    <w:basedOn w:val="000002"/>
    <w:link w:val="000027"/>
    <w:uiPriority w:val="99"/>
    <w:unhideWhenUsed/>
    <w:rsid w:val="00AA1D8D"/>
    <w:pPr>
      <w:spacing w:after="120"/>
    </w:pPr>
    <w:rPr>
      <w:sz w:val="16"/>
      <w:szCs w:val="16"/>
    </w:rPr>
  </w:style>
  <w:style w:type="paragraph" w:styleId="0000d8">
    <w:name w:val="Body Text 3"/>
    <w:basedOn w:val="0000b8"/>
    <w:link w:val="0000d9"/>
    <w:uiPriority w:val="99"/>
    <w:unhideWhenUsed/>
    <w:rsid w:val="00AA1D8D"/>
    <w:pPr>
      <w:spacing w:after="120"/>
    </w:pPr>
    <w:rPr>
      <w:sz w:val="16"/>
      <w:szCs w:val="16"/>
    </w:r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/>
        <w:bCs/>
      </w:rPr>
      <w:tblPr/>
      <w:tcPr>
        <w:shd w:val="clear" w:color="auto" w:fill="D6E3BC" w:themeFill="accent3" w:themeFillTint="66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/>
        <w:bCs/>
      </w:rPr>
      <w:tblPr/>
      <w:tcPr>
        <w:shd w:val="clear" w:color="auto" w:fill="B8CCE4" w:themeFill="accent1" w:themeFillTint="66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Vert">
      <w:tblPr/>
      <w:tcPr>
        <w:shd w:val="clear" w:color="auto" w:fill="DFA7A6" w:themeFill="accent2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155">
    <w:name w:val="Colorful Grid Accent 4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/>
        <w:bCs/>
      </w:rPr>
      <w:tblPr/>
      <w:tcPr>
        <w:shd w:val="clear" w:color="auto" w:fill="CCC0D9" w:themeFill="accent4" w:themeFillTint="66"/>
      </w:tcPr>
    </w:tblStylePr>
  </w:style>
  <w:style w:type="character" w:styleId="00000b" w:customStyle="true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0000d1">
    <w:name w:val="Subtitle"/>
    <w:basedOn w:val="0000b8"/>
    <w:next w:val="0000b8"/>
    <w:link w:val="0000d2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character" w:styleId="000047">
    <w:name w:val="Book Title"/>
    <w:basedOn w:val="000005"/>
    <w:uiPriority w:val="33"/>
    <w:qFormat/>
    <w:rsid w:val="00FC693F"/>
    <w:rPr>
      <w:b/>
      <w:bCs/>
      <w:smallCaps/>
      <w:spacing w:val="5"/>
    </w:rPr>
  </w:style>
  <w:style w:type="table" w:styleId="000139">
    <w:name w:val="Medium Grid 3 Accent 4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08">
    <w:name w:val="heading 1"/>
    <w:basedOn w:val="000002"/>
    <w:next w:val="000002"/>
    <w:link w:val="000009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0000e9" w:customStyle="true">
    <w:name w:val="Quote Char"/>
    <w:basedOn w:val="0000cb"/>
    <w:link w:val="0000e8"/>
    <w:uiPriority w:val="29"/>
    <w:rsid w:val="00FC693F"/>
    <w:rPr>
      <w:i/>
      <w:iCs/>
      <w:color w:val="000000" w:themeColor="text1"/>
    </w:r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000108">
    <w:name w:val="Light Grid Accent 4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</w:style>
  <w:style w:type="paragraph" w:styleId="0000e5">
    <w:name w:val="List Continue 3"/>
    <w:basedOn w:val="0000b8"/>
    <w:uiPriority w:val="99"/>
    <w:unhideWhenUsed/>
    <w:rsid w:val="0029639D"/>
    <w:pPr>
      <w:spacing w:after="120"/>
      <w:ind w:left="1080"/>
      <w:contextualSpacing/>
    </w:pPr>
  </w:style>
  <w:style w:type="table" w:styleId="0000f7">
    <w:name w:val="Light Shading Accent 1"/>
    <w:basedOn w:val="0000cc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</w:style>
  <w:style w:type="table" w:styleId="00014a">
    <w:name w:val="Colorful List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  <w:tblStylePr w:type="fir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00011e">
    <w:name w:val="Medium List 1 Accent 5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11c">
    <w:name w:val="Medium List 1 Accent 3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12f">
    <w:name w:val="Medium Grid 2 Accent 1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paragraph" w:styleId="0000dd">
    <w:name w:val="List Bullet"/>
    <w:basedOn w:val="0000b8"/>
    <w:uiPriority w:val="99"/>
    <w:unhideWhenUsed/>
    <w:rsid w:val="00326F90"/>
    <w:pPr>
      <w:numPr>
        <w:numId w:val="1"/>
      </w:numPr>
      <w:contextualSpacing/>
    </w:p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/>
        <w:bCs/>
      </w:rPr>
    </w:tblStylePr>
  </w:style>
  <w:style w:type="paragraph" w:styleId="000038">
    <w:name w:val="List Continue 2"/>
    <w:basedOn w:val="000002"/>
    <w:uiPriority w:val="99"/>
    <w:unhideWhenUsed/>
    <w:rsid w:val="0029639D"/>
    <w:pPr>
      <w:spacing w:after="120"/>
      <w:ind w:left="720"/>
      <w:contextualSpacing/>
    </w:p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</w:style>
  <w:style w:type="paragraph" w:styleId="0000db">
    <w:name w:val="List 2"/>
    <w:basedOn w:val="0000b8"/>
    <w:uiPriority w:val="99"/>
    <w:unhideWhenUsed/>
    <w:rsid w:val="00326F90"/>
    <w:pPr>
      <w:ind w:left="720" w:hanging="360"/>
      <w:contextualSpacing/>
    </w:pPr>
  </w:style>
  <w:style w:type="character" w:styleId="00001e" w:customStyle="true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4b">
    <w:name w:val="Colorful List Accent 1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/>
        <w:bCs/>
      </w:r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paragraph" w:styleId="0000e1">
    <w:name w:val="List Number 2"/>
    <w:basedOn w:val="0000b8"/>
    <w:uiPriority w:val="99"/>
    <w:unhideWhenUsed/>
    <w:rsid w:val="0029639D"/>
    <w:pPr>
      <w:numPr>
        <w:numId w:val="4"/>
      </w:numPr>
      <w:contextualSpacing/>
    </w:pPr>
  </w:style>
  <w:style w:type="paragraph" w:styleId="0000ea">
    <w:name w:val="caption"/>
    <w:basedOn w:val="0000b8"/>
    <w:next w:val="0000b8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fir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band1Vert">
      <w:tblPr/>
      <w:tcPr>
        <w:shd w:val="clear" w:color="auto" w:fill="808080" w:themeFill="text1" w:themeFillTint="7F"/>
      </w:tcPr>
    </w:tblStylePr>
  </w:style>
  <w:style w:type="paragraph" w:styleId="000030">
    <w:name w:val="List Bullet 3"/>
    <w:basedOn w:val="000002"/>
    <w:uiPriority w:val="99"/>
    <w:unhideWhenUsed/>
    <w:rsid w:val="00326F90"/>
    <w:pPr>
      <w:numPr>
        <w:numId w:val="5"/>
      </w:numPr>
      <w:contextualSpacing/>
    </w:pPr>
  </w:style>
  <w:style w:type="paragraph" w:styleId="000014">
    <w:name w:val="heading 7"/>
    <w:basedOn w:val="000002"/>
    <w:next w:val="000002"/>
    <w:link w:val="000015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0000e4">
    <w:name w:val="List Continue 2"/>
    <w:basedOn w:val="0000b8"/>
    <w:uiPriority w:val="99"/>
    <w:unhideWhenUsed/>
    <w:rsid w:val="0029639D"/>
    <w:pPr>
      <w:spacing w:after="120"/>
      <w:ind w:left="720"/>
      <w:contextualSpacing/>
    </w:pPr>
  </w:style>
  <w:style w:type="paragraph" w:styleId="000029">
    <w:name w:val="List 2"/>
    <w:basedOn w:val="000002"/>
    <w:uiPriority w:val="99"/>
    <w:unhideWhenUsed/>
    <w:rsid w:val="00326F90"/>
    <w:pPr>
      <w:ind w:left="720" w:hanging="360"/>
      <w:contextualSpacing/>
    </w:pPr>
  </w:style>
  <w:style w:type="paragraph" w:styleId="0000d4">
    <w:name w:val="Body Text"/>
    <w:basedOn w:val="0000b8"/>
    <w:link w:val="0000d5"/>
    <w:uiPriority w:val="99"/>
    <w:unhideWhenUsed/>
    <w:rsid w:val="00AA1D8D"/>
    <w:pPr>
      <w:spacing w:after="120"/>
    </w:p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</w:style>
  <w:style w:type="table" w:styleId="000140">
    <w:name w:val="Dark List Accent 4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paragraph" w:styleId="000022">
    <w:name w:val="Body Text"/>
    <w:basedOn w:val="000002"/>
    <w:link w:val="000023"/>
    <w:uiPriority w:val="99"/>
    <w:unhideWhenUsed/>
    <w:rsid w:val="00AA1D8D"/>
    <w:pPr>
      <w:spacing w:after="120"/>
    </w:p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0000cb" w:default="true">
    <w:name w:val="Default Paragraph Font"/>
    <w:uiPriority w:val="1"/>
    <w:semiHidden/>
    <w:unhideWhenUsed/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13">
    <w:name w:val="Medium Shading 2 Accent 1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40">
    <w:name w:val="Emphasis"/>
    <w:basedOn w:val="000005"/>
    <w:uiPriority w:val="20"/>
    <w:qFormat/>
    <w:rsid w:val="00FC693F"/>
    <w:rPr>
      <w:i/>
      <w:iCs/>
    </w:rPr>
  </w:style>
  <w:style w:type="table" w:styleId="0000fe">
    <w:name w:val="Light List Accent 1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Col">
      <w:rPr>
        <w:b/>
        <w:bCs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152">
    <w:name w:val="Colorful Grid Accent 1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32">
    <w:name w:val="List Number"/>
    <w:basedOn w:val="000002"/>
    <w:uiPriority w:val="99"/>
    <w:unhideWhenUsed/>
    <w:rsid w:val="00326F90"/>
    <w:pPr>
      <w:numPr>
        <w:numId w:val="2"/>
      </w:numPr>
      <w:contextualSpacing/>
    </w:p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14f">
    <w:name w:val="Colorful List Accent 5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b/>
        <w:bCs/>
      </w:rPr>
    </w:tblStylePr>
    <w:tblStylePr w:type="band1Horz">
      <w:tblPr/>
      <w:tcPr>
        <w:shd w:val="clear" w:color="auto" w:fill="DAEEF3" w:themeFill="accent5" w:themeFillTint="33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/>
        <w:bCs/>
      </w:r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114">
    <w:name w:val="Medium Shading 2 Accent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character" w:styleId="000007" w:customStyle="true">
    <w:name w:val="Footer Char"/>
    <w:basedOn w:val="000005"/>
    <w:link w:val="000006"/>
    <w:uiPriority w:val="99"/>
    <w:rsid w:val="00E618BF"/>
  </w:style>
  <w:style w:type="paragraph" w:styleId="0000df">
    <w:name w:val="List Bullet 3"/>
    <w:basedOn w:val="0000b8"/>
    <w:uiPriority w:val="99"/>
    <w:unhideWhenUsed/>
    <w:rsid w:val="00326F90"/>
    <w:pPr>
      <w:numPr>
        <w:numId w:val="5"/>
      </w:numPr>
      <w:contextualSpacing/>
    </w:p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/>
        <w:bCs/>
      </w:rPr>
    </w:tblStylePr>
    <w:tblStylePr w:type="band1Horz">
      <w:tblPr/>
      <w:tcPr>
        <w:shd w:val="clear" w:color="auto" w:fill="CCCCCC" w:themeFill="text1" w:themeFillTint="33"/>
      </w:tcPr>
    </w:tblStylePr>
    <w:tblStylePr w:type="firstCol">
      <w:rPr>
        <w:b/>
        <w:bCs/>
      </w:r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c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f2">
    <w:name w:val="Intense Reference"/>
    <w:basedOn w:val="0000cb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table" w:styleId="000126">
    <w:name w:val="Medium List 2 Accent 6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156">
    <w:name w:val="Colorful Grid Accent 5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144">
    <w:name w:val="Colorful Shading Accent 1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w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</w:style>
  <w:style w:type="character" w:styleId="0000c4" w:customStyle="true">
    <w:name w:val="Heading 6 Char"/>
    <w:basedOn w:val="0000cb"/>
    <w:link w:val="0000c3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0000f1">
    <w:name w:val="Subtle Reference"/>
    <w:basedOn w:val="0000cb"/>
    <w:uiPriority w:val="31"/>
    <w:qFormat/>
    <w:rsid w:val="00FC693F"/>
    <w:rPr>
      <w:smallCaps/>
      <w:color w:val="C0504D" w:themeColor="accent2"/>
      <w:u w:val="single"/>
    </w:rPr>
  </w:style>
  <w:style w:type="table" w:styleId="000112">
    <w:name w:val="Medium Shading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2a">
    <w:name w:val="List 3"/>
    <w:basedOn w:val="000002"/>
    <w:uiPriority w:val="99"/>
    <w:unhideWhenUsed/>
    <w:rsid w:val="00326F90"/>
    <w:pPr>
      <w:ind w:left="1080" w:hanging="360"/>
      <w:contextualSpacing/>
    </w:p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</w:style>
  <w:style w:type="table" w:styleId="000145">
    <w:name w:val="Colorful Shading Accent 2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w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</w:style>
  <w:style w:type="paragraph" w:styleId="000036">
    <w:name w:val="List Number 3"/>
    <w:basedOn w:val="000002"/>
    <w:uiPriority w:val="99"/>
    <w:unhideWhenUsed/>
    <w:rsid w:val="0029639D"/>
    <w:pPr>
      <w:numPr>
        <w:numId w:val="6"/>
      </w:numPr>
      <w:contextualSpacing/>
    </w:pPr>
  </w:style>
  <w:style w:type="table" w:styleId="000154">
    <w:name w:val="Colorful Grid Accent 3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character" w:styleId="0000ef">
    <w:name w:val="Subtle Emphasis"/>
    <w:basedOn w:val="0000cb"/>
    <w:uiPriority w:val="19"/>
    <w:qFormat/>
    <w:rsid w:val="00FC693F"/>
    <w:rPr>
      <w:i/>
      <w:iCs/>
      <w:color w:val="808080" w:themeColor="text1" w:themeTint="7F"/>
    </w:rPr>
  </w:style>
  <w:style w:type="table" w:styleId="000133">
    <w:name w:val="Medium Grid 2 Accent 5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11b">
    <w:name w:val="Medium List 1 Accent 2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128">
    <w:name w:val="Medium Grid 1 Accent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/>
        <w:bCs/>
      </w:rPr>
    </w:tblStylePr>
    <w:tblStylePr w:type="firstRow">
      <w:rPr>
        <w:b/>
        <w:bCs/>
      </w:r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c3">
    <w:name w:val="heading 6"/>
    <w:basedOn w:val="0000b8"/>
    <w:next w:val="0000b8"/>
    <w:link w:val="0000c4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00003a">
    <w:name w:val="macro"/>
    <w:link w:val="00003b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ce">
    <w:name w:val="No Spacing"/>
    <w:uiPriority w:val="1"/>
    <w:qFormat/>
    <w:rsid w:val="00FC693F"/>
    <w:pPr>
      <w:spacing w:after="0" w:line="240" w:lineRule="auto"/>
    </w:pPr>
  </w:style>
  <w:style w:type="table" w:styleId="000125">
    <w:name w:val="Medium List 2 Accent 5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22">
    <w:name w:val="Medium List 2 Accen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c">
    <w:name w:val="No Spacing"/>
    <w:uiPriority w:val="1"/>
    <w:qFormat/>
    <w:rsid w:val="00FC693F"/>
    <w:pPr>
      <w:spacing w:after="0" w:line="240" w:lineRule="auto"/>
    </w:pPr>
  </w:style>
  <w:style w:type="paragraph" w:styleId="0000c7">
    <w:name w:val="heading 8"/>
    <w:basedOn w:val="0000b8"/>
    <w:next w:val="0000b8"/>
    <w:link w:val="0000c8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e7" w:customStyle="true">
    <w:name w:val="Macro Text Char"/>
    <w:basedOn w:val="0000cb"/>
    <w:link w:val="0000e6"/>
    <w:uiPriority w:val="99"/>
    <w:rsid w:val="0029639D"/>
    <w:rPr>
      <w:rFonts w:ascii="Courier" w:hAnsi="Courier"/>
      <w:sz w:val="20"/>
      <w:szCs w:val="20"/>
    </w:rPr>
  </w:style>
  <w:style w:type="paragraph" w:styleId="0000da">
    <w:name w:val="List"/>
    <w:basedOn w:val="0000b8"/>
    <w:uiPriority w:val="99"/>
    <w:unhideWhenUsed/>
    <w:rsid w:val="00AA1D8D"/>
    <w:pPr>
      <w:ind w:left="360" w:hanging="360"/>
      <w:contextualSpacing/>
    </w:pPr>
  </w:style>
  <w:style w:type="table" w:styleId="00013d">
    <w:name w:val="Dark List Accent 1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103">
    <w:name w:val="Light List Accent 6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/>
        <w:bCs/>
      </w:rPr>
    </w:tblStylePr>
  </w:style>
  <w:style w:type="character" w:styleId="0000d2" w:customStyle="true">
    <w:name w:val="Subtitle Char"/>
    <w:basedOn w:val="0000cb"/>
    <w:link w:val="0000d1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paragraph" w:styleId="000039">
    <w:name w:val="List Continue 3"/>
    <w:basedOn w:val="000002"/>
    <w:uiPriority w:val="99"/>
    <w:unhideWhenUsed/>
    <w:rsid w:val="0029639D"/>
    <w:pPr>
      <w:spacing w:after="120"/>
      <w:ind w:left="1080"/>
      <w:contextualSpacing/>
    </w:pPr>
  </w:style>
  <w:style w:type="character" w:styleId="000042" w:customStyle="true">
    <w:name w:val="Intense Quote Char"/>
    <w:basedOn w:val="000005"/>
    <w:link w:val="000041"/>
    <w:uiPriority w:val="30"/>
    <w:rsid w:val="00FC693F"/>
    <w:rPr>
      <w:b/>
      <w:bCs/>
      <w:i/>
      <w:iCs/>
      <w:color w:val="4F81BD" w:themeColor="accent1"/>
    </w:r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</w:style>
  <w:style w:type="paragraph" w:styleId="0000e2">
    <w:name w:val="List Number 3"/>
    <w:basedOn w:val="0000b8"/>
    <w:uiPriority w:val="99"/>
    <w:unhideWhenUsed/>
    <w:rsid w:val="0029639D"/>
    <w:pPr>
      <w:numPr>
        <w:numId w:val="6"/>
      </w:numPr>
      <w:contextualSpacing/>
    </w:pPr>
  </w:style>
  <w:style w:type="character" w:styleId="000017" w:customStyle="true">
    <w:name w:val="Heading 8 Char"/>
    <w:basedOn w:val="000005"/>
    <w:link w:val="000016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2d">
    <w:name w:val="Medium Grid 1 Accent 6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/>
        <w:bCs/>
      </w:r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104">
    <w:name w:val="Light Grid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</w:style>
  <w:style w:type="character" w:styleId="000023" w:customStyle="true">
    <w:name w:val="Body Text Char"/>
    <w:basedOn w:val="000005"/>
    <w:link w:val="000022"/>
    <w:uiPriority w:val="99"/>
    <w:rsid w:val="00AA1D8D"/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/>
        <w:bCs/>
      </w:rPr>
      <w:tblPr/>
      <w:tcPr>
        <w:shd w:val="clear" w:color="auto" w:fill="B6DDE8" w:themeFill="accent5" w:themeFillTint="66"/>
      </w:tcPr>
    </w:tblStylePr>
  </w:style>
  <w:style w:type="table" w:styleId="000130">
    <w:name w:val="Medium Grid 2 Accent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character" w:styleId="0000c2" w:customStyle="true">
    <w:name w:val="Heading 5 Char"/>
    <w:basedOn w:val="0000cb"/>
    <w:link w:val="0000c1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117">
    <w:name w:val="Medium Shading 2 Accent 5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e3">
    <w:name w:val="List Continue"/>
    <w:basedOn w:val="0000b8"/>
    <w:uiPriority w:val="99"/>
    <w:unhideWhenUsed/>
    <w:rsid w:val="0029639D"/>
    <w:pPr>
      <w:spacing w:after="120"/>
      <w:ind w:left="360"/>
      <w:contextualSpacing/>
    </w:pPr>
  </w:style>
  <w:style w:type="table" w:styleId="00010d">
    <w:name w:val="Medium Shading 1 Accent 2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/>
        <w:bCs/>
      </w:rPr>
    </w:tblStylePr>
  </w:style>
  <w:style w:type="table" w:styleId="00011f">
    <w:name w:val="Medium List 1 Accent 6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138">
    <w:name w:val="Medium Grid 3 Accent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paragraph" w:styleId="0000bd">
    <w:name w:val="heading 3"/>
    <w:basedOn w:val="0000b8"/>
    <w:next w:val="0000b8"/>
    <w:link w:val="0000b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000043">
    <w:name w:val="Subtle Emphasis"/>
    <w:basedOn w:val="000005"/>
    <w:uiPriority w:val="19"/>
    <w:qFormat/>
    <w:rsid w:val="00FC693F"/>
    <w:rPr>
      <w:i/>
      <w:iCs/>
      <w:color w:val="808080" w:themeColor="text1" w:themeTint="7F"/>
    </w:rPr>
  </w:style>
  <w:style w:type="character" w:styleId="000020" w:customStyle="true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00010e">
    <w:name w:val="Medium Shading 1 Accent 3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/>
        <w:bCs/>
      </w:rPr>
    </w:tblStylePr>
  </w:style>
  <w:style w:type="table" w:styleId="000105">
    <w:name w:val="Light Grid Accent 1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</w:style>
  <w:style w:type="table" w:styleId="000106">
    <w:name w:val="Light Grid Accent 2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2026-04-10T16:58:26Z</dcterms:created>
  <dcterms:modified xsi:type="dcterms:W3CDTF">2026-04-10T16:58:26Z</dcterms:modified>
</cp:coreProperties>
</file>