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A2330" w:val="clear"/>
            <w:tcMar>
              <w:left w:type="dxa" w:w="1200"/>
              <w:right w:type="dxa" w:w="1200"/>
            </w:tcMar>
            <w:vAlign w:val="top"/>
          </w:tcPr>
          <w:p>
            <w:pPr>
              <w:spacing w:before="4990"/>
            </w:pPr>
          </w:p>
          <w:p>
            <w:pPr>
              <w:spacing w:after="200" w:line="874" w:lineRule="atLeast"/>
            </w:pPr>
            <w:r>
              <w:rPr>
                <w:rFonts w:ascii="Calibri" w:eastAsia="SimHei"/>
                <w:b/>
                <w:bCs/>
                <w:color w:val="FFFFFF"/>
                <w:sz w:val="76"/>
                <w:szCs w:val="76"/>
              </w:rPr>
              <w:t xml:space="preserve">CSM客户运营驾驶舱业务</w:t>
            </w:r>
            <w:r>
              <w:br/>
              <w:t xml:space="preserve"/>
            </w:r>
            <w:r>
              <w:rPr>
                <w:rFonts w:ascii="Calibri" w:eastAsia="SimHei"/>
                <w:b/>
                <w:bCs/>
                <w:color w:val="FFFFFF"/>
                <w:sz w:val="76"/>
                <w:szCs w:val="76"/>
              </w:rPr>
              <w:t xml:space="preserve">逻辑文档</w:t>
            </w:r>
          </w:p>
          <w:p>
            <w:pPr>
              <w:spacing w:after="100" w:before="1663"/>
            </w:pPr>
            <w:r>
              <w:rPr>
                <w:rFonts w:ascii="Calibri" w:eastAsia="Microsoft YaHei"/>
                <w:i/>
                <w:iCs/>
                <w:color w:val="B0B8C0"/>
                <w:sz w:val="24"/>
                <w:szCs w:val="24"/>
              </w:rPr>
              <w:t xml:space="preserve">Customer Success Management Dashboard — Business Logic Specification</w:t>
            </w:r>
          </w:p>
          <w:p>
            <w:pPr>
              <w:spacing w:before="4436"/>
            </w:pPr>
          </w:p>
          <w:p>
            <w:pPr>
              <w:spacing w:after="60"/>
            </w:pPr>
            <w:r>
              <w:rPr>
                <w:rFonts w:ascii="Calibri" w:eastAsia="Microsoft YaHei"/>
                <w:color w:val="90989F"/>
                <w:sz w:val="20"/>
                <w:szCs w:val="20"/>
              </w:rPr>
              <w:t xml:space="preserve">产品定位: 客户运营驾驶舱 | 目标用户: CSM客户成功经理</w:t>
            </w:r>
          </w:p>
          <w:p>
            <w:pPr>
              <w:spacing w:after="60"/>
            </w:pPr>
            <w:r>
              <w:rPr>
                <w:rFonts w:ascii="Calibri" w:eastAsia="Microsoft YaHei"/>
                <w:color w:val="90989F"/>
                <w:sz w:val="20"/>
                <w:szCs w:val="20"/>
              </w:rPr>
              <w:t xml:space="preserve">版本: v0.2.0 | 产品线: AIMI / 广告 / 独立站</w:t>
            </w:r>
          </w:p>
          <w:p>
            <w:r>
              <w:rPr>
                <w:rFonts w:ascii="Calibri" w:eastAsia="Microsoft YaHei"/>
                <w:color w:val="90989F"/>
                <w:sz w:val="20"/>
                <w:szCs w:val="20"/>
              </w:rPr>
              <w:t xml:space="preserve">文档更新日期: 2026年3月</w:t>
            </w:r>
          </w:p>
        </w:tc>
      </w:tr>
    </w:tbl>
    <w:p>
      <w:pPr>
        <w:sectPr>
          <w:pgSz w:w="11906" w:h="16838" w:orient="portrait"/>
          <w:pgMar w:top="0" w:right="0" w:bottom="0" w:left="0" w:header="708" w:footer="708" w:gutter="0"/>
          <w:pgNumType/>
          <w:docGrid w:linePitch="360"/>
        </w:sectPr>
      </w:pPr>
    </w:p>
    <w:p>
      <w:pPr>
        <w:spacing w:after="300"/>
        <w:jc w:val="center"/>
      </w:pPr>
      <w:r>
        <w:rPr>
          <w:rFonts w:ascii="Calibri" w:eastAsia="SimHei"/>
          <w:b/>
          <w:bCs/>
          <w:color w:val="1A2330"/>
          <w:sz w:val="36"/>
          <w:szCs w:val="36"/>
        </w:rPr>
        <w:t xml:space="preserve">目  录</w:t>
      </w:r>
    </w:p>
    <w:sdt>
      <w:sdtPr>
        <w:alias w:val="目录"/>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一、产品定位</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二、核心业务模块</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增长与留存（emerald层）</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客户购买旅程（amber层）</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客户成效（indigo层）</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2.4 运营保障（slate层）</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三、AI钻取功能</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3.1 对话式交互</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3.2 调教规则与智能体约束</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四、报告生成</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4.1 报告结构与内容</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4.2 LLM调用与兆底机制</w:t>
            </w:r>
            <w:r>
              <w:tab/>
            </w:r>
            <w:r>
              <w:fldChar w:fldCharType="begin"/>
            </w:r>
            <w:r>
              <w:instrText xml:space="preserve"> PAGEREF _Toc100011 \h </w:instrText>
            </w:r>
            <w:r>
              <w:fldChar w:fldCharType="separate"/>
            </w:r>
            <w:r>
              <w:t>5</w:t>
            </w:r>
            <w:r>
              <w:fldChar w:fldCharType="end"/>
            </w:r>
          </w:hyperlink>
        </w:p>
        <w:p>
          <w:pPr>
            <w:pStyle w:val="9"/>
            <w:tabs>
              <w:tab w:val="right" w:leader="dot" w:pos="9026"/>
            </w:tabs>
            <w:spacing w:before="120" w:after="60"/>
          </w:pPr>
          <w:hyperlink w:anchor="_Toc100012" w:history="1">
            <w:r>
              <w:rPr>
                <w:rStyle w:val="Hyperlink"/>
              </w:rPr>
              <w:t>五、数据流</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5.1 数据上传与解析</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5.2 数据清洗流水线</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5.3 指标计算与展示</w:t>
            </w:r>
            <w:r>
              <w:tab/>
            </w:r>
            <w:r>
              <w:fldChar w:fldCharType="begin"/>
            </w:r>
            <w:r>
              <w:instrText xml:space="preserve"> PAGEREF _Toc100015 \h </w:instrText>
            </w:r>
            <w:r>
              <w:fldChar w:fldCharType="separate"/>
            </w:r>
            <w:r>
              <w:t>6</w:t>
            </w:r>
            <w:r>
              <w:fldChar w:fldCharType="end"/>
            </w:r>
          </w:hyperlink>
        </w:p>
        <w:p>
          <w:pPr>
            <w:pStyle w:val="9"/>
            <w:tabs>
              <w:tab w:val="right" w:leader="dot" w:pos="9026"/>
            </w:tabs>
            <w:spacing w:before="120" w:after="60"/>
          </w:pPr>
          <w:hyperlink w:anchor="_Toc100016" w:history="1">
            <w:r>
              <w:rPr>
                <w:rStyle w:val="Hyperlink"/>
              </w:rPr>
              <w:t>六、关键数据源</w:t>
            </w:r>
            <w:r>
              <w:tab/>
            </w:r>
            <w:r>
              <w:fldChar w:fldCharType="begin"/>
            </w:r>
            <w:r>
              <w:instrText xml:space="preserve"> PAGEREF _Toc100016 \h </w:instrText>
            </w:r>
            <w:r>
              <w:fldChar w:fldCharType="separate"/>
            </w:r>
            <w:r>
              <w:t>6</w:t>
            </w:r>
            <w:r>
              <w:fldChar w:fldCharType="end"/>
            </w:r>
          </w:hyperlink>
        </w:p>
        <w:p>
          <w:r>
            <w:fldChar w:fldCharType="end"/>
          </w:r>
        </w:p>
      </w:sdtContent>
    </w:sdt>
    <w:p>
      <w:pPr>
        <w:spacing w:before="200"/>
        <w:jc w:val="center"/>
      </w:pPr>
      <w:r>
        <w:rPr>
          <w:rFonts w:ascii="Calibri" w:eastAsia="Microsoft YaHei"/>
          <w:i/>
          <w:iCs/>
          <w:color w:val="607080"/>
          <w:sz w:val="18"/>
          <w:szCs w:val="18"/>
        </w:rPr>
        <w:t xml:space="preserve">（右键目录→“更新域”可刷新页码）</w:t>
      </w:r>
    </w:p>
    <w:p>
      <w:r>
        <w:br w:type="page"/>
      </w:r>
    </w:p>
    <w:p>
      <w:pPr>
        <w:sectPr>
          <w:headerReference w:type="default" r:id="rId7"/>
          <w:footerReference w:type="default" r:id="rId8"/>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Calibri" w:eastAsia="SimHei"/>
          <w:b/>
          <w:bCs/>
          <w:color w:val="1A2330"/>
          <w:sz w:val="32"/>
          <w:szCs w:val="32"/>
        </w:rPr>
        <w:t xml:space="preserve">一、产品定位</w:t>
      </w:r>
      <w:bookmarkEnd w:id="100000"/>
    </w:p>
    <w:p>
      <w:pPr>
        <w:spacing w:after="80" w:line="312"/>
        <w:ind w:firstLine="480"/>
        <w:jc w:val="both"/>
      </w:pPr>
      <w:r>
        <w:rPr>
          <w:rFonts w:ascii="Calibri" w:eastAsia="Microsoft YaHei"/>
          <w:color w:val="000000"/>
          <w:sz w:val="24"/>
          <w:szCs w:val="24"/>
        </w:rPr>
        <w:t xml:space="preserve">CSM客户运营驾驶舱是一套专门面向客户成功经理（CSM）的BI分析工具，核心目标是帮助CSM团队实现从“交付视角”到“客户价值视角”的转型。传统的客户服务管理往往关注服务交付过程本身，而客户运营驾驶舱则将重心转向客户是否真正从产品中获得了业务价值。系统通过多维度指标体系（产品侧、效果侧、商业侧）全面衡量客户健康度，让CSM能够从客户使用深度、效果达成、商业价值等角度全面评估客户状态。</w:t>
      </w:r>
    </w:p>
    <w:p>
      <w:pPr>
        <w:spacing w:after="80" w:line="312"/>
        <w:ind w:firstLine="480"/>
        <w:jc w:val="both"/>
      </w:pPr>
      <w:r>
        <w:rPr>
          <w:rFonts w:ascii="Calibri" w:eastAsia="Microsoft YaHei"/>
          <w:color w:val="000000"/>
          <w:sz w:val="24"/>
          <w:szCs w:val="24"/>
        </w:rPr>
        <w:t xml:space="preserve">产品的核心价值主张是：将分散在多个数据源中的客户信息整合为统一的仪表盘视图，通过AI智能分析能力提供深度洞察和行动建议，帮助团队从被动响应转向主动运营。系统的信息架构遵循“价值总览→增长与留存→客户购买旅程→客户成效→运营保障”的递进逻辑，从宏观到微观、从结果到过程，层层深入。这种架构设计使得管理层可以在30秒内把握核心商业结果，而CSM可以通过点击钻取获取详细分析。</w:t>
      </w:r>
    </w:p>
    <w:p>
      <w:pPr>
        <w:pStyle w:val="Heading1"/>
        <w:spacing w:after="160" w:before="360" w:line="312"/>
      </w:pPr>
      <w:bookmarkStart w:id="100001" w:name="_Toc100001"/>
      <w:r>
        <w:rPr>
          <w:rFonts w:ascii="Calibri" w:eastAsia="SimHei"/>
          <w:b/>
          <w:bCs/>
          <w:color w:val="1A2330"/>
          <w:sz w:val="32"/>
          <w:szCs w:val="32"/>
        </w:rPr>
        <w:t xml:space="preserve">二、核心业务模块</w:t>
      </w:r>
      <w:bookmarkEnd w:id="100001"/>
    </w:p>
    <w:p>
      <w:pPr>
        <w:spacing w:after="80" w:line="312"/>
        <w:ind w:firstLine="480"/>
        <w:jc w:val="both"/>
      </w:pPr>
      <w:r>
        <w:rPr>
          <w:rFonts w:ascii="Calibri" w:eastAsia="Microsoft YaHei"/>
          <w:color w:val="000000"/>
          <w:sz w:val="24"/>
          <w:szCs w:val="24"/>
        </w:rPr>
        <w:t xml:space="preserve">系统的核心业务架构由四个业务模块组成，每个模块对应仪表盘上的一个色块区域，形成了从商业结果到运营支撑的完整链路。这四个模块并非独立存在，而是形成了严密的逻辑链条：增长与留存是商业基础，客户购买旅程拓展价值边界，客户成效验证价值交付，运营保障持续支撑。每个模块都有明确的核心指标和分析维度，共同构成了客户成功价值分析的完整体系。</w:t>
      </w:r>
    </w:p>
    <w:p>
      <w:pPr>
        <w:pStyle w:val="Heading2"/>
        <w:spacing w:after="120" w:before="240" w:line="312"/>
      </w:pPr>
      <w:bookmarkStart w:id="100002" w:name="_Toc100002"/>
      <w:r>
        <w:rPr>
          <w:rFonts w:ascii="Calibri" w:eastAsia="SimHei"/>
          <w:b/>
          <w:bCs/>
          <w:color w:val="1A2330"/>
          <w:sz w:val="28"/>
          <w:szCs w:val="28"/>
        </w:rPr>
        <w:t xml:space="preserve">2.1 增长与留存（emerald层）</w:t>
      </w:r>
      <w:bookmarkEnd w:id="100002"/>
    </w:p>
    <w:p>
      <w:pPr>
        <w:spacing w:after="80" w:line="312"/>
        <w:ind w:firstLine="480"/>
        <w:jc w:val="both"/>
      </w:pPr>
      <w:r>
        <w:rPr>
          <w:rFonts w:ascii="Calibri" w:eastAsia="Microsoft YaHei"/>
          <w:color w:val="000000"/>
          <w:sz w:val="24"/>
          <w:szCs w:val="24"/>
        </w:rPr>
        <w:t xml:space="preserve">增长与留存模块是系统的第一层，采用翠绿色（emerald）作为主色调，象征生命力和成长。该模块的核心关注点是客户盘子的增减趋势和商业健康度。它回答的核心问题是：我们的客户盘子是在扩大还是在缩小？客户的续约率和贡献值是否健康？当前最大的商业风险是什么？</w:t>
      </w:r>
    </w:p>
    <w:p>
      <w:pPr>
        <w:spacing w:after="80" w:line="312"/>
        <w:ind w:firstLine="480"/>
        <w:jc w:val="both"/>
      </w:pPr>
      <w:r>
        <w:rPr>
          <w:rFonts w:ascii="Calibri" w:eastAsia="Microsoft YaHei"/>
          <w:color w:val="000000"/>
          <w:sz w:val="24"/>
          <w:szCs w:val="24"/>
        </w:rPr>
        <w:t xml:space="preserve">该模块的核心指标包括客户净增数（新增减流失）、各产品线客户数及增长趋势、ARPU（客户平均收入）、LTV（客户生命周期价值）、LTV/ARPU比值分析以及客户健康度分布（健康/关注/预警/危险四层）。其中，LTV/ARPU比值是衡量商业健康度的关键指标，大于3为健康，小于3则需预警，意味着客户获取成本回收周期较长。健康度分布则采用四层分类体系：健康（多产品+高活跃）、关注（使用活跃度下降）、预警（续费意愿弱+效果不佳）、危险（流失风险高+客诉）。</w:t>
      </w:r>
    </w:p>
    <w:p>
      <w:pPr>
        <w:pStyle w:val="Heading2"/>
        <w:spacing w:after="120" w:before="240" w:line="312"/>
      </w:pPr>
      <w:bookmarkStart w:id="100003" w:name="_Toc100003"/>
      <w:r>
        <w:rPr>
          <w:rFonts w:ascii="Calibri" w:eastAsia="SimHei"/>
          <w:b/>
          <w:bCs/>
          <w:color w:val="1A2330"/>
          <w:sz w:val="28"/>
          <w:szCs w:val="28"/>
        </w:rPr>
        <w:t xml:space="preserve">2.2 客户购买旅程（amber层）</w:t>
      </w:r>
      <w:bookmarkEnd w:id="100003"/>
    </w:p>
    <w:p>
      <w:pPr>
        <w:spacing w:after="80" w:line="312"/>
        <w:ind w:firstLine="480"/>
        <w:jc w:val="both"/>
      </w:pPr>
      <w:r>
        <w:rPr>
          <w:rFonts w:ascii="Calibri" w:eastAsia="Microsoft YaHei"/>
          <w:color w:val="000000"/>
          <w:sz w:val="24"/>
          <w:szCs w:val="24"/>
        </w:rPr>
        <w:t xml:space="preserve">客户购买旅程模块采用琥珀色（amber）作为主色调，象征旅程的中间状态和转化机会。该模块的核心关注点是交叉扩展的转化效率和商业增量。它回答的核心问题是：客户从单产品到多产品的转化路径如何？每一步跨越能带来多大的价值跃升？当前最大的商业增量在哪里？</w:t>
      </w:r>
    </w:p>
    <w:p>
      <w:pPr>
        <w:spacing w:after="80" w:line="312"/>
        <w:ind w:firstLine="480"/>
        <w:jc w:val="both"/>
      </w:pPr>
      <w:r>
        <w:rPr>
          <w:rFonts w:ascii="Calibri" w:eastAsia="Microsoft YaHei"/>
          <w:color w:val="000000"/>
          <w:sz w:val="24"/>
          <w:szCs w:val="24"/>
        </w:rPr>
        <w:t xml:space="preserve">该模块分析客户从单产品→双产品→全链路的转化路径、转化率和ARPU跃升。核心指标包括产品组合价值（7种客户组合的ARPU、LTV、续费率对比）、续费增购流失数据（按产品线拆分）以及TOP3流失原因分析。关键商业洞察包括：单产品→双产品转化率约35%，双产品→全链路转化率约22%，每一步跨越ARPU均有2-3倍跃升。AIMI是客户粘性的核心锚点，含AIMI的客户续费率比不含AIMI客户高12个百分点。</w:t>
      </w:r>
    </w:p>
    <w:p>
      <w:pPr>
        <w:pStyle w:val="Heading2"/>
        <w:spacing w:after="120" w:before="240" w:line="312"/>
      </w:pPr>
      <w:bookmarkStart w:id="100004" w:name="_Toc100004"/>
      <w:r>
        <w:rPr>
          <w:rFonts w:ascii="Calibri" w:eastAsia="SimHei"/>
          <w:b/>
          <w:bCs/>
          <w:color w:val="1A2330"/>
          <w:sz w:val="28"/>
          <w:szCs w:val="28"/>
        </w:rPr>
        <w:t xml:space="preserve">2.3 客户成效（indigo层）</w:t>
      </w:r>
      <w:bookmarkEnd w:id="100004"/>
    </w:p>
    <w:p>
      <w:pPr>
        <w:spacing w:after="80" w:line="312"/>
        <w:ind w:firstLine="480"/>
        <w:jc w:val="both"/>
      </w:pPr>
      <w:r>
        <w:rPr>
          <w:rFonts w:ascii="Calibri" w:eastAsia="Microsoft YaHei"/>
          <w:color w:val="000000"/>
          <w:sz w:val="24"/>
          <w:szCs w:val="24"/>
        </w:rPr>
        <w:t xml:space="preserve">客户成效模块采用鞍蓝色（indigo）作为主色调，象征深度和价值。该模块的核心关注点是客户是否真正从产品中获得了业务价值。它回答的核心问题是：客户使用产品后的实际业务效果如何？哪些维度达标、哪些不足？客户使用深度如何分布？</w:t>
      </w:r>
    </w:p>
    <w:p>
      <w:pPr>
        <w:spacing w:after="80" w:line="312"/>
        <w:ind w:firstLine="480"/>
        <w:jc w:val="both"/>
      </w:pPr>
      <w:r>
        <w:rPr>
          <w:rFonts w:ascii="Calibri" w:eastAsia="Microsoft YaHei"/>
          <w:color w:val="000000"/>
          <w:sz w:val="24"/>
          <w:szCs w:val="24"/>
        </w:rPr>
        <w:t xml:space="preserve">该模块的指标体系分为三个维度：产品侧指标（使用率、核心功能活跃度、使用深度）、效果侧指标（粉丝增长率、内容互动率、询盘率）和商业侧指标（NPS、续约率、增购率）。产品使用深度分为浅层（仅基础发帖，约28%）、中度（发帖+数据分析，约42%）、深度（全功能+AI发帖，约30%）三档。该模块还包含AIMI用户使用旅程分析，从签约Onboarding→账号绑定→首次发帖→持续发帖→高级功能使用的全链路转化漏斗，帮助识别关键卡点与流失环节。</w:t>
      </w:r>
    </w:p>
    <w:p>
      <w:pPr>
        <w:pStyle w:val="Heading2"/>
        <w:spacing w:after="120" w:before="240" w:line="312"/>
      </w:pPr>
      <w:bookmarkStart w:id="100005" w:name="_Toc100005"/>
      <w:r>
        <w:rPr>
          <w:rFonts w:ascii="Calibri" w:eastAsia="SimHei"/>
          <w:b/>
          <w:bCs/>
          <w:color w:val="1A2330"/>
          <w:sz w:val="28"/>
          <w:szCs w:val="28"/>
        </w:rPr>
        <w:t xml:space="preserve">2.4 运营保障（slate层）</w:t>
      </w:r>
      <w:bookmarkEnd w:id="100005"/>
    </w:p>
    <w:p>
      <w:pPr>
        <w:spacing w:after="80" w:line="312"/>
        <w:ind w:firstLine="480"/>
        <w:jc w:val="both"/>
      </w:pPr>
      <w:r>
        <w:rPr>
          <w:rFonts w:ascii="Calibri" w:eastAsia="Microsoft YaHei"/>
          <w:color w:val="000000"/>
          <w:sz w:val="24"/>
          <w:szCs w:val="24"/>
        </w:rPr>
        <w:t xml:space="preserve">运营保障模块采用石板灰（slate-500）作为主色调，象征基础和支撑。该模块的核心关注点是团队效能是否能支撑上述商业目标的达成。它回答的核心问题是：团队的人均服务量、覆盖率、响应时间是否达标？哪些环节是效能瓶颈？</w:t>
      </w:r>
    </w:p>
    <w:p>
      <w:pPr>
        <w:spacing w:after="80" w:line="312"/>
        <w:ind w:firstLine="480"/>
        <w:jc w:val="both"/>
      </w:pPr>
      <w:r>
        <w:rPr>
          <w:rFonts w:ascii="Calibri" w:eastAsia="Microsoft YaHei"/>
          <w:color w:val="000000"/>
          <w:sz w:val="24"/>
          <w:szCs w:val="24"/>
        </w:rPr>
        <w:t xml:space="preserve">该模块的核心指标包括客成经理人效（人均服务客户数、客户覆盖率、平均响应时间、续费目标达成率）、风险预警矩阵（按影响面×紧迫度排列）以及关键问题追踪（问题、根因、方案、责任人、截止日期）。当前团队的主要瓶颈包括人均服务59家超负荷（目标≤50家）、客户覆盖率72.5%低于80%目标、问题平均响应18.5小时超过目标的12小时。这些数据表明团队效能是制约商业目标达成的关键因素。</w:t>
      </w:r>
    </w:p>
    <w:p>
      <w:pPr>
        <w:pStyle w:val="Heading1"/>
        <w:spacing w:after="160" w:before="360" w:line="312"/>
      </w:pPr>
      <w:bookmarkStart w:id="100006" w:name="_Toc100006"/>
      <w:r>
        <w:rPr>
          <w:rFonts w:ascii="Calibri" w:eastAsia="SimHei"/>
          <w:b/>
          <w:bCs/>
          <w:color w:val="1A2330"/>
          <w:sz w:val="32"/>
          <w:szCs w:val="32"/>
        </w:rPr>
        <w:t xml:space="preserve">三、AI钻取功能</w:t>
      </w:r>
      <w:bookmarkEnd w:id="100006"/>
    </w:p>
    <w:p>
      <w:pPr>
        <w:spacing w:after="80" w:line="312"/>
        <w:ind w:firstLine="480"/>
        <w:jc w:val="both"/>
      </w:pPr>
      <w:r>
        <w:rPr>
          <w:rFonts w:ascii="Calibri" w:eastAsia="Microsoft YaHei"/>
          <w:color w:val="000000"/>
          <w:sz w:val="24"/>
          <w:szCs w:val="24"/>
        </w:rPr>
        <w:t xml:space="preserve">AI钻取功能是系统的核心差异化能力，允许用户在查看仪表盘时点击任意指标进行深度分析。这一功能通过/api/chat端点实现，底层使用z-ai-web-dev-sdk调用大语言模型进行智能分析。系统默认使用z-ai-web-dev-sdk作为LLM提供商，同时也支持通过/api/model-config端点配置其他模型提供商（如Minimax、OpenAI兼容接口等）。</w:t>
      </w:r>
    </w:p>
    <w:p>
      <w:pPr>
        <w:pStyle w:val="Heading2"/>
        <w:spacing w:after="120" w:before="240" w:line="312"/>
      </w:pPr>
      <w:bookmarkStart w:id="100007" w:name="_Toc100007"/>
      <w:r>
        <w:rPr>
          <w:rFonts w:ascii="Calibri" w:eastAsia="SimHei"/>
          <w:b/>
          <w:bCs/>
          <w:color w:val="1A2330"/>
          <w:sz w:val="28"/>
          <w:szCs w:val="28"/>
        </w:rPr>
        <w:t xml:space="preserve">3.1 对话式交互</w:t>
      </w:r>
      <w:bookmarkEnd w:id="100007"/>
    </w:p>
    <w:p>
      <w:pPr>
        <w:spacing w:after="80" w:line="312"/>
        <w:ind w:firstLine="480"/>
        <w:jc w:val="both"/>
      </w:pPr>
      <w:r>
        <w:rPr>
          <w:rFonts w:ascii="Calibri" w:eastAsia="Microsoft YaHei"/>
          <w:color w:val="000000"/>
          <w:sz w:val="24"/>
          <w:szCs w:val="24"/>
        </w:rPr>
        <w:t xml:space="preserve">AI钻取采用对话式交互模式，用户可以通过自然语言提问来获取深度分析。系统的AI智能体具备以下12项核心能力：数据清洗与处理、客户健康度分层分析、异常检测与归因、趋势预测、决策建议生成、客户价值分析、续费流失分析、多产品交叉分析、团队效能分析、AI效果对比分析、自然语言调教以及语义报告调整。每项能力都可以通过/api/skills端点独立启用或禁用，实现灵活的功能配置。</w:t>
      </w:r>
    </w:p>
    <w:p>
      <w:pPr>
        <w:pStyle w:val="Heading2"/>
        <w:spacing w:after="120" w:before="240" w:line="312"/>
      </w:pPr>
      <w:bookmarkStart w:id="100008" w:name="_Toc100008"/>
      <w:r>
        <w:rPr>
          <w:rFonts w:ascii="Calibri" w:eastAsia="SimHei"/>
          <w:b/>
          <w:bCs/>
          <w:color w:val="1A2330"/>
          <w:sz w:val="28"/>
          <w:szCs w:val="28"/>
        </w:rPr>
        <w:t xml:space="preserve">3.2 调教规则与智能体约束</w:t>
      </w:r>
      <w:bookmarkEnd w:id="100008"/>
    </w:p>
    <w:p>
      <w:pPr>
        <w:spacing w:after="80" w:line="312"/>
        <w:ind w:firstLine="480"/>
        <w:jc w:val="both"/>
      </w:pPr>
      <w:r>
        <w:rPr>
          <w:rFonts w:ascii="Calibri" w:eastAsia="Microsoft YaHei"/>
          <w:color w:val="000000"/>
          <w:sz w:val="24"/>
          <w:szCs w:val="24"/>
        </w:rPr>
        <w:t xml:space="preserve">系统支持通过调教规则（Agent Rules）来约束和定制AI智能体的行为。调教规则可以通过两种方式添加：一是通过与AI智能体的对话自动提取，当用户的话可以提取为规则时，AI会在回复末尾输出[规则]标记；二是通过/api/agent-rules端点手动添加。规则分为四个类别：general（通用）、analysis（分析）、report（报告）、format（格式）。这种调教机制使得AI智能体的行为可以随着业务需求的变化而不断迭代优化，确保生成的分析报告始终符合团队的业务规范和表达习惯。</w:t>
      </w:r>
    </w:p>
    <w:p>
      <w:pPr>
        <w:pStyle w:val="Heading1"/>
        <w:spacing w:after="160" w:before="360" w:line="312"/>
      </w:pPr>
      <w:bookmarkStart w:id="100009" w:name="_Toc100009"/>
      <w:r>
        <w:rPr>
          <w:rFonts w:ascii="Calibri" w:eastAsia="SimHei"/>
          <w:b/>
          <w:bCs/>
          <w:color w:val="1A2330"/>
          <w:sz w:val="32"/>
          <w:szCs w:val="32"/>
        </w:rPr>
        <w:t xml:space="preserve">四、报告生成</w:t>
      </w:r>
      <w:bookmarkEnd w:id="100009"/>
    </w:p>
    <w:p>
      <w:pPr>
        <w:spacing w:after="80" w:line="312"/>
        <w:ind w:firstLine="480"/>
        <w:jc w:val="both"/>
      </w:pPr>
      <w:r>
        <w:rPr>
          <w:rFonts w:ascii="Calibri" w:eastAsia="Microsoft YaHei"/>
          <w:color w:val="000000"/>
          <w:sz w:val="24"/>
          <w:szCs w:val="24"/>
        </w:rPr>
        <w:t xml:space="preserve">报告生成功能是系统的另一个核心能力，通过/api/generate-report端点实现。该端点设置了maxDuration=120秒，确保长时间的LLM调用能够完成。报告生成的核心逻辑是：优先从数据库加载真实数据，如果没有则尝试从已上传的数据源生成，最后使用示例数据作为兆底。生成的报告会自动保存到数据库的WeeklyReport表中，同时支持通过/api/notify端点发送企业微信通知。</w:t>
      </w:r>
    </w:p>
    <w:p>
      <w:pPr>
        <w:pStyle w:val="Heading2"/>
        <w:spacing w:after="120" w:before="240" w:line="312"/>
      </w:pPr>
      <w:bookmarkStart w:id="100010" w:name="_Toc100010"/>
      <w:r>
        <w:rPr>
          <w:rFonts w:ascii="Calibri" w:eastAsia="SimHei"/>
          <w:b/>
          <w:bCs/>
          <w:color w:val="1A2330"/>
          <w:sz w:val="28"/>
          <w:szCs w:val="28"/>
        </w:rPr>
        <w:t xml:space="preserve">4.1 报告结构与内容</w:t>
      </w:r>
      <w:bookmarkEnd w:id="100010"/>
    </w:p>
    <w:p>
      <w:pPr>
        <w:spacing w:after="80" w:line="312"/>
        <w:ind w:firstLine="480"/>
        <w:jc w:val="both"/>
      </w:pPr>
      <w:r>
        <w:rPr>
          <w:rFonts w:ascii="Calibri" w:eastAsia="Microsoft YaHei"/>
          <w:color w:val="000000"/>
          <w:sz w:val="24"/>
          <w:szCs w:val="24"/>
        </w:rPr>
        <w:t xml:space="preserve">自动生成的周报严格遵循“价值总览→增长与留存→客户购买旅程→客户成效→运营保障”的递进结构。第一部分“价值总览”是管理屆30秒速览区，用最精练的语言呈现核心商业结果，包括5-7个商业核心指标表格、三句核心结论和1-3个关键风险信号。后续四个部分分别对应仪表盘的四个色块层，每个部分遵循“结论先行→数据论证→行动建议”的倒金字塔写法。最后包含决策建议和行动项，分P0（立即行动）、P1（本周内）、P2（持续关注）三级。</w:t>
      </w:r>
    </w:p>
    <w:p>
      <w:pPr>
        <w:pStyle w:val="Heading2"/>
        <w:spacing w:after="120" w:before="240" w:line="312"/>
      </w:pPr>
      <w:bookmarkStart w:id="100011" w:name="_Toc100011"/>
      <w:r>
        <w:rPr>
          <w:rFonts w:ascii="Calibri" w:eastAsia="SimHei"/>
          <w:b/>
          <w:bCs/>
          <w:color w:val="1A2330"/>
          <w:sz w:val="28"/>
          <w:szCs w:val="28"/>
        </w:rPr>
        <w:t xml:space="preserve">4.2 LLM调用与兆底机制</w:t>
      </w:r>
      <w:bookmarkEnd w:id="100011"/>
    </w:p>
    <w:p>
      <w:pPr>
        <w:spacing w:after="80" w:line="312"/>
        <w:ind w:firstLine="480"/>
        <w:jc w:val="both"/>
      </w:pPr>
      <w:r>
        <w:rPr>
          <w:rFonts w:ascii="Calibri" w:eastAsia="Microsoft YaHei"/>
          <w:color w:val="000000"/>
          <w:sz w:val="24"/>
          <w:szCs w:val="24"/>
        </w:rPr>
        <w:t xml:space="preserve">报告生成采用LLM调用+兆底机制的双重保障。系统首先尝试调用LLM生成报告内容，如果LLM调用失败或返回空内容，则自动使用内置的模板报告作为兆底。兆底报告包含完整的结构和示例数据，确保即使LLM不可用时也能生成有价值的参考报告。LLM的系统提示词（System Prompt）经过精心设计，强调从客户价值和使用视角出发，而非交付视角，并要求引用具体数据、禁止空泛描述、给出具体可执行的决策建议。</w:t>
      </w:r>
    </w:p>
    <w:p>
      <w:pPr>
        <w:pStyle w:val="Heading1"/>
        <w:spacing w:after="160" w:before="360" w:line="312"/>
      </w:pPr>
      <w:bookmarkStart w:id="100012" w:name="_Toc100012"/>
      <w:r>
        <w:rPr>
          <w:rFonts w:ascii="Calibri" w:eastAsia="SimHei"/>
          <w:b/>
          <w:bCs/>
          <w:color w:val="1A2330"/>
          <w:sz w:val="32"/>
          <w:szCs w:val="32"/>
        </w:rPr>
        <w:t xml:space="preserve">五、数据流</w:t>
      </w:r>
      <w:bookmarkEnd w:id="100012"/>
    </w:p>
    <w:p>
      <w:pPr>
        <w:spacing w:after="80" w:line="312"/>
        <w:ind w:firstLine="480"/>
        <w:jc w:val="both"/>
      </w:pPr>
      <w:r>
        <w:rPr>
          <w:rFonts w:ascii="Calibri" w:eastAsia="Microsoft YaHei"/>
          <w:color w:val="000000"/>
          <w:sz w:val="24"/>
          <w:szCs w:val="24"/>
        </w:rPr>
        <w:t xml:space="preserve">系统的数据流遵循“上传→处理→计算→展示”的标准流程，每个环节都有明确的职责划分和数据转换逻辑。整个数据流从用户上传Excel文件开始，经过多步骤的数据清洗和转换，最终在前端仪表盘上呈现为可视化的指标卡片和图表。以下是各环节的详细说明。</w:t>
      </w:r>
    </w:p>
    <w:p>
      <w:pPr>
        <w:pStyle w:val="Heading2"/>
        <w:spacing w:after="120" w:before="240" w:line="312"/>
      </w:pPr>
      <w:bookmarkStart w:id="100013" w:name="_Toc100013"/>
      <w:r>
        <w:rPr>
          <w:rFonts w:ascii="Calibri" w:eastAsia="SimHei"/>
          <w:b/>
          <w:bCs/>
          <w:color w:val="1A2330"/>
          <w:sz w:val="28"/>
          <w:szCs w:val="28"/>
        </w:rPr>
        <w:t xml:space="preserve">5.1 数据上传与解析</w:t>
      </w:r>
      <w:bookmarkEnd w:id="100013"/>
    </w:p>
    <w:p>
      <w:pPr>
        <w:spacing w:after="80" w:line="312"/>
        <w:ind w:firstLine="480"/>
        <w:jc w:val="both"/>
      </w:pPr>
      <w:r>
        <w:rPr>
          <w:rFonts w:ascii="Calibri" w:eastAsia="Microsoft YaHei"/>
          <w:color w:val="000000"/>
          <w:sz w:val="24"/>
          <w:szCs w:val="24"/>
        </w:rPr>
        <w:t xml:space="preserve">用户通过前端界面上传Excel文件，系统支持4种类型的数据文件：CS实施数据（cs_implementation）、销售数据（sales）、用户活动数据（user_activity）和VOC客户反馈数据（voc）。上传的文件通过/api/process端点处理，端点使用xlsx库解析Excel文件，然后通过智能表头映射将实际表头字段映射到标准字段。表头映射采用两级策略：先尝试简单的模糊匹配，匹配不到的再调用LLM进行语义映射。这种设计使得系统能够容忍不同格式的Excel文件，降低了数据导入的门槛。</w:t>
      </w:r>
    </w:p>
    <w:p>
      <w:pPr>
        <w:pStyle w:val="Heading2"/>
        <w:spacing w:after="120" w:before="240" w:line="312"/>
      </w:pPr>
      <w:bookmarkStart w:id="100014" w:name="_Toc100014"/>
      <w:r>
        <w:rPr>
          <w:rFonts w:ascii="Calibri" w:eastAsia="SimHei"/>
          <w:b/>
          <w:bCs/>
          <w:color w:val="1A2330"/>
          <w:sz w:val="28"/>
          <w:szCs w:val="28"/>
        </w:rPr>
        <w:t xml:space="preserve">5.2 数据清洗流水线</w:t>
      </w:r>
      <w:bookmarkEnd w:id="100014"/>
    </w:p>
    <w:p>
      <w:pPr>
        <w:spacing w:after="80" w:line="312"/>
        <w:ind w:firstLine="480"/>
        <w:jc w:val="both"/>
      </w:pPr>
      <w:r>
        <w:rPr>
          <w:rFonts w:ascii="Calibri" w:eastAsia="Microsoft YaHei"/>
          <w:color w:val="000000"/>
          <w:sz w:val="24"/>
          <w:szCs w:val="24"/>
        </w:rPr>
        <w:t xml:space="preserve">数据清洗流程分为五个步骤（C1-C5），在data-processor.ts中实现。C1表头识别：将实际表头映射到标准字段，支持简单匹配和LLM语义映射两级策略。C2测试数据过滤：移除名称中包含“测试”的记录。C3去重：按客户名称去重，保留最新记录。C4日期标准化：统一日期格式为YYYY-MM-DD，支持多种日期格式和Excel序列号日期。C5空值与异常标注：标记缺失的必填字段和数值异常。整个流水线保证了数据的一致性和可靠性。</w:t>
      </w:r>
    </w:p>
    <w:p>
      <w:pPr>
        <w:pStyle w:val="Heading2"/>
        <w:spacing w:after="120" w:before="240" w:line="312"/>
      </w:pPr>
      <w:bookmarkStart w:id="100015" w:name="_Toc100015"/>
      <w:r>
        <w:rPr>
          <w:rFonts w:ascii="Calibri" w:eastAsia="SimHei"/>
          <w:b/>
          <w:bCs/>
          <w:color w:val="1A2330"/>
          <w:sz w:val="28"/>
          <w:szCs w:val="28"/>
        </w:rPr>
        <w:t xml:space="preserve">5.3 指标计算与展示</w:t>
      </w:r>
      <w:bookmarkEnd w:id="100015"/>
    </w:p>
    <w:p>
      <w:pPr>
        <w:spacing w:after="80" w:line="312"/>
        <w:ind w:firstLine="480"/>
        <w:jc w:val="both"/>
      </w:pPr>
      <w:r>
        <w:rPr>
          <w:rFonts w:ascii="Calibri" w:eastAsia="Microsoft YaHei"/>
          <w:color w:val="000000"/>
          <w:sz w:val="24"/>
          <w:szCs w:val="24"/>
        </w:rPr>
        <w:t xml:space="preserve">清洗后的数据进入指标计算阶段，在metrics.ts中实现。系统计算了多个维度的核心指标，包括产品使用率、粉丝增长率、内容互动率、询盘率、NPS满意度、续约率、增购率、客户覆盖率、产品使用深度、人均服务客户数等。每个指标都有明确的健康度阈值定义，例如产品使用率≥70%为健康（绿色）、50-69%为关注（黄色）、&lt;50%为危险（红色）。计算完成的指标数据通过/api/dashboard端点以JSON格式返回给前端，前端使用Recharts图表库进行可视化展示。同时，指标数据会保存到数据库的CSValueData表中，以便后续查询和历史对比。</w:t>
      </w:r>
    </w:p>
    <w:p>
      <w:pPr>
        <w:pStyle w:val="Heading1"/>
        <w:spacing w:after="160" w:before="360" w:line="312"/>
      </w:pPr>
      <w:bookmarkStart w:id="100016" w:name="_Toc100016"/>
      <w:r>
        <w:rPr>
          <w:rFonts w:ascii="Calibri" w:eastAsia="SimHei"/>
          <w:b/>
          <w:bCs/>
          <w:color w:val="1A2330"/>
          <w:sz w:val="32"/>
          <w:szCs w:val="32"/>
        </w:rPr>
        <w:t xml:space="preserve">六、关键数据源</w:t>
      </w:r>
      <w:bookmarkEnd w:id="100016"/>
    </w:p>
    <w:p>
      <w:pPr>
        <w:spacing w:after="80" w:line="312"/>
        <w:ind w:firstLine="480"/>
        <w:jc w:val="both"/>
      </w:pPr>
      <w:r>
        <w:rPr>
          <w:rFonts w:ascii="Calibri" w:eastAsia="Microsoft YaHei"/>
          <w:color w:val="000000"/>
          <w:sz w:val="24"/>
          <w:szCs w:val="24"/>
        </w:rPr>
        <w:t xml:space="preserve">系统的数据来源主要包括以下三个方面，每个数据源都对应一类业务场景和特定的数据结构。数据源的质量和完整性直接影响分析结果的准确性，因此在数据导入时需要特别注意数据格式的规范性。系统通过智能表头映射机制已经能够容忍一定程度的字段名变化，但保证数据内容的准确性仍然是用户的责任。</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33%"/>
            <w:shd w:fill="D4875A" w:val="clear"/>
            <w:tcMar>
              <w:top w:type="dxa" w:w="60"/>
              <w:left w:type="dxa" w:w="120"/>
              <w:bottom w:type="dxa" w:w="60"/>
              <w:right w:type="dxa" w:w="120"/>
            </w:tcMar>
          </w:tcPr>
          <w:p>
            <w:pPr>
              <w:jc w:val="center"/>
            </w:pPr>
            <w:r>
              <w:rPr>
                <w:rFonts w:ascii="Calibri" w:eastAsia="Microsoft YaHei"/>
                <w:b/>
                <w:bCs/>
                <w:color w:val="FFFFFF"/>
                <w:sz w:val="21"/>
                <w:szCs w:val="21"/>
              </w:rPr>
              <w:t xml:space="preserve">数据源</w:t>
            </w:r>
          </w:p>
        </w:tc>
        <w:tc>
          <w:tcPr>
            <w:tcW w:type="pct" w:w="33%"/>
            <w:shd w:fill="D4875A" w:val="clear"/>
            <w:tcMar>
              <w:top w:type="dxa" w:w="60"/>
              <w:left w:type="dxa" w:w="120"/>
              <w:bottom w:type="dxa" w:w="60"/>
              <w:right w:type="dxa" w:w="120"/>
            </w:tcMar>
          </w:tcPr>
          <w:p>
            <w:pPr>
              <w:jc w:val="center"/>
            </w:pPr>
            <w:r>
              <w:rPr>
                <w:rFonts w:ascii="Calibri" w:eastAsia="Microsoft YaHei"/>
                <w:b/>
                <w:bCs/>
                <w:color w:val="FFFFFF"/>
                <w:sz w:val="21"/>
                <w:szCs w:val="21"/>
              </w:rPr>
              <w:t xml:space="preserve">对应参数</w:t>
            </w:r>
          </w:p>
        </w:tc>
        <w:tc>
          <w:tcPr>
            <w:tcW w:type="pct" w:w="33%"/>
            <w:shd w:fill="D4875A" w:val="clear"/>
            <w:tcMar>
              <w:top w:type="dxa" w:w="60"/>
              <w:left w:type="dxa" w:w="120"/>
              <w:bottom w:type="dxa" w:w="60"/>
              <w:right w:type="dxa" w:w="120"/>
            </w:tcMar>
          </w:tcPr>
          <w:p>
            <w:pPr>
              <w:jc w:val="center"/>
            </w:pPr>
            <w:r>
              <w:rPr>
                <w:rFonts w:ascii="Calibri" w:eastAsia="Microsoft YaHei"/>
                <w:b/>
                <w:bCs/>
                <w:color w:val="FFFFFF"/>
                <w:sz w:val="21"/>
                <w:szCs w:val="21"/>
              </w:rPr>
              <w:t xml:space="preserve">内容说明</w:t>
            </w:r>
          </w:p>
        </w:tc>
      </w:tr>
      <w:tr>
        <w:trPr>
          <w:cantSplit/>
        </w:trPr>
        <w:tc>
          <w:tcPr>
            <w:tcW w:type="pct" w:w="33%"/>
            <w:shd w:fill="F8F0EB" w:val="clear"/>
            <w:tcMar>
              <w:top w:type="dxa" w:w="60"/>
              <w:left w:type="dxa" w:w="120"/>
              <w:bottom w:type="dxa" w:w="60"/>
              <w:right w:type="dxa" w:w="120"/>
            </w:tcMar>
          </w:tcPr>
          <w:p>
            <w:r>
              <w:rPr>
                <w:rFonts w:ascii="Calibri" w:eastAsia="Microsoft YaHei"/>
                <w:color w:val="000000"/>
                <w:sz w:val="21"/>
                <w:szCs w:val="21"/>
              </w:rPr>
              <w:t xml:space="preserve">跨境月度经营分析报告</w:t>
            </w:r>
          </w:p>
        </w:tc>
        <w:tc>
          <w:tcPr>
            <w:tcW w:type="pct" w:w="33%"/>
            <w:shd w:fill="F8F0EB" w:val="clear"/>
            <w:tcMar>
              <w:top w:type="dxa" w:w="60"/>
              <w:left w:type="dxa" w:w="120"/>
              <w:bottom w:type="dxa" w:w="60"/>
              <w:right w:type="dxa" w:w="120"/>
            </w:tcMar>
          </w:tcPr>
          <w:p>
            <w:r>
              <w:rPr>
                <w:rFonts w:ascii="Calibri" w:eastAsia="Microsoft YaHei"/>
                <w:color w:val="000000"/>
                <w:sz w:val="21"/>
                <w:szCs w:val="21"/>
              </w:rPr>
              <w:t xml:space="preserve">cs_implementation</w:t>
            </w:r>
          </w:p>
        </w:tc>
        <w:tc>
          <w:tcPr>
            <w:tcW w:type="pct" w:w="33%"/>
            <w:shd w:fill="F8F0EB" w:val="clear"/>
            <w:tcMar>
              <w:top w:type="dxa" w:w="60"/>
              <w:left w:type="dxa" w:w="120"/>
              <w:bottom w:type="dxa" w:w="60"/>
              <w:right w:type="dxa" w:w="120"/>
            </w:tcMar>
          </w:tcPr>
          <w:p>
            <w:r>
              <w:rPr>
                <w:rFonts w:ascii="Calibri" w:eastAsia="Microsoft YaHei"/>
                <w:color w:val="000000"/>
                <w:sz w:val="21"/>
                <w:szCs w:val="21"/>
              </w:rPr>
              <w:t xml:space="preserve">客户基本信息、产品类型、版本、培训状态、服务状态、客诉标记、赔偿标记等</w:t>
            </w:r>
          </w:p>
        </w:tc>
      </w:tr>
      <w:tr>
        <w:trPr>
          <w:cantSplit/>
        </w:trPr>
        <w:tc>
          <w:tcPr>
            <w:tcW w:type="pct" w:w="33%"/>
            <w:shd w:fill="FFFFFF" w:val="clear"/>
            <w:tcMar>
              <w:top w:type="dxa" w:w="60"/>
              <w:left w:type="dxa" w:w="120"/>
              <w:bottom w:type="dxa" w:w="60"/>
              <w:right w:type="dxa" w:w="120"/>
            </w:tcMar>
          </w:tcPr>
          <w:p>
            <w:r>
              <w:rPr>
                <w:rFonts w:ascii="Calibri" w:eastAsia="Microsoft YaHei"/>
                <w:color w:val="000000"/>
                <w:sz w:val="21"/>
                <w:szCs w:val="21"/>
              </w:rPr>
              <w:t xml:space="preserve">新社媒服务运营表</w:t>
            </w:r>
          </w:p>
        </w:tc>
        <w:tc>
          <w:tcPr>
            <w:tcW w:type="pct" w:w="33%"/>
            <w:shd w:fill="FFFFFF" w:val="clear"/>
            <w:tcMar>
              <w:top w:type="dxa" w:w="60"/>
              <w:left w:type="dxa" w:w="120"/>
              <w:bottom w:type="dxa" w:w="60"/>
              <w:right w:type="dxa" w:w="120"/>
            </w:tcMar>
          </w:tcPr>
          <w:p>
            <w:r>
              <w:rPr>
                <w:rFonts w:ascii="Calibri" w:eastAsia="Microsoft YaHei"/>
                <w:color w:val="000000"/>
                <w:sz w:val="21"/>
                <w:szCs w:val="21"/>
              </w:rPr>
              <w:t xml:space="preserve">user_activity</w:t>
            </w:r>
          </w:p>
        </w:tc>
        <w:tc>
          <w:tcPr>
            <w:tcW w:type="pct" w:w="33%"/>
            <w:shd w:fill="FFFFFF" w:val="clear"/>
            <w:tcMar>
              <w:top w:type="dxa" w:w="60"/>
              <w:left w:type="dxa" w:w="120"/>
              <w:bottom w:type="dxa" w:w="60"/>
              <w:right w:type="dxa" w:w="120"/>
            </w:tcMar>
          </w:tcPr>
          <w:p>
            <w:r>
              <w:rPr>
                <w:rFonts w:ascii="Calibri" w:eastAsia="Microsoft YaHei"/>
                <w:color w:val="000000"/>
                <w:sz w:val="21"/>
                <w:szCs w:val="21"/>
              </w:rPr>
              <w:t xml:space="preserve">用户发帖内容类型、社媒类型、AI生成标记、曝光数、互动数、点赞数、评论数等</w:t>
            </w:r>
          </w:p>
        </w:tc>
      </w:tr>
      <w:tr>
        <w:trPr>
          <w:cantSplit/>
        </w:trPr>
        <w:tc>
          <w:tcPr>
            <w:tcW w:type="pct" w:w="33%"/>
            <w:shd w:fill="F8F0EB" w:val="clear"/>
            <w:tcMar>
              <w:top w:type="dxa" w:w="60"/>
              <w:left w:type="dxa" w:w="120"/>
              <w:bottom w:type="dxa" w:w="60"/>
              <w:right w:type="dxa" w:w="120"/>
            </w:tcMar>
          </w:tcPr>
          <w:p>
            <w:r>
              <w:rPr>
                <w:rFonts w:ascii="Calibri" w:eastAsia="Microsoft YaHei"/>
                <w:color w:val="000000"/>
                <w:sz w:val="21"/>
                <w:szCs w:val="21"/>
              </w:rPr>
              <w:t xml:space="preserve">客户业绩数据</w:t>
            </w:r>
          </w:p>
        </w:tc>
        <w:tc>
          <w:tcPr>
            <w:tcW w:type="pct" w:w="33%"/>
            <w:shd w:fill="F8F0EB" w:val="clear"/>
            <w:tcMar>
              <w:top w:type="dxa" w:w="60"/>
              <w:left w:type="dxa" w:w="120"/>
              <w:bottom w:type="dxa" w:w="60"/>
              <w:right w:type="dxa" w:w="120"/>
            </w:tcMar>
          </w:tcPr>
          <w:p>
            <w:r>
              <w:rPr>
                <w:rFonts w:ascii="Calibri" w:eastAsia="Microsoft YaHei"/>
                <w:color w:val="000000"/>
                <w:sz w:val="21"/>
                <w:szCs w:val="21"/>
              </w:rPr>
              <w:t xml:space="preserve">sales</w:t>
            </w:r>
          </w:p>
        </w:tc>
        <w:tc>
          <w:tcPr>
            <w:tcW w:type="pct" w:w="33%"/>
            <w:shd w:fill="F8F0EB" w:val="clear"/>
            <w:tcMar>
              <w:top w:type="dxa" w:w="60"/>
              <w:left w:type="dxa" w:w="120"/>
              <w:bottom w:type="dxa" w:w="60"/>
              <w:right w:type="dxa" w:w="120"/>
            </w:tcMar>
          </w:tcPr>
          <w:p>
            <w:r>
              <w:rPr>
                <w:rFonts w:ascii="Calibri" w:eastAsia="Microsoft YaHei"/>
                <w:color w:val="000000"/>
                <w:sz w:val="21"/>
                <w:szCs w:val="21"/>
              </w:rPr>
              <w:t xml:space="preserve">订单编号、客户名称、订单来源、产品类型、订单金额、订单时长等</w:t>
            </w:r>
          </w:p>
        </w:tc>
      </w:tr>
    </w:tbl>
    <w:p>
      <w:pPr>
        <w:spacing w:after="80" w:line="312"/>
        <w:ind w:firstLine="480"/>
        <w:jc w:val="both"/>
      </w:pPr>
      <w:r>
        <w:rPr>
          <w:rFonts w:ascii="Calibri" w:eastAsia="Microsoft YaHei"/>
          <w:color w:val="000000"/>
          <w:sz w:val="24"/>
          <w:szCs w:val="24"/>
        </w:rPr>
        <w:t xml:space="preserve">以上三个数据源分别对应系统的三个核心分析维度：CS实施数据提供客户基本信息和服务状态，是健康度分层和运营保障分析的基础；新社媒服务运营表提供用户行为数据，是客户成效分析（产品侧+效果侧指标）的核心数据源；客户业绩数据提供商业数据，是增长与留存、客户购买旅程分析的基础。三个数据源通过客户名称字段进行关联，实现跨数据源的综合分析。此外，系统还支持VOC客户反馈数据，用于补充客户主观感受和反馈信息。</w:t>
      </w:r>
    </w:p>
    <w:sectPr>
      <w:headerReference w:type="default" r:id="rId9"/>
      <w:footerReference w:type="default" r:id="rId10"/>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7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7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eastAsia="Microsoft YaHei"/>
        <w:color w:val="607080"/>
        <w:sz w:val="18"/>
        <w:szCs w:val="18"/>
      </w:rPr>
      <w:t xml:space="preserve">CSM客户运营驾驶舱业务逻辑文档</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eastAsia="Microsoft YaHei"/>
        <w:color w:val="607080"/>
        <w:sz w:val="18"/>
        <w:szCs w:val="18"/>
      </w:rPr>
      <w:t xml:space="preserve">CSM客户运营驾驶舱业务逻辑文档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Calibri" w:eastAsia="SimHei"/>
      <w:b/>
      <w:bCs/>
      <w:color w:val="1A2330"/>
      <w:sz w:val="32"/>
      <w:szCs w:val="32"/>
    </w:rPr>
  </w:style>
  <w:style w:type="paragraph" w:styleId="Heading2">
    <w:pPr>
      <w:outlineLvl w:val="1"/>
    </w:pPr>
    <w:name w:val="Heading 2"/>
    <w:basedOn w:val="Normal"/>
    <w:next w:val="Normal"/>
    <w:qFormat/>
    <w:rPr>
      <w:rFonts w:ascii="Calibri" w:eastAsia="SimHei"/>
      <w:b/>
      <w:bCs/>
      <w:color w:val="1A2330"/>
      <w:sz w:val="28"/>
      <w:szCs w:val="28"/>
    </w:rPr>
  </w:style>
  <w:style w:type="paragraph" w:styleId="Heading3">
    <w:pPr>
      <w:outlineLvl w:val="2"/>
    </w:pPr>
    <w:name w:val="Heading 3"/>
    <w:basedOn w:val="Normal"/>
    <w:next w:val="Normal"/>
    <w:qFormat/>
    <w:rPr>
      <w:rFonts w:ascii="Calibri" w:eastAsia="SimHei"/>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2026-05-25T06:12:23.255Z</dcterms:created>
  <dcterms:modified xsi:type="dcterms:W3CDTF">2026-05-25T06:12:23.255Z</dcterms:modified>
</cp:coreProperties>
</file>

<file path=docProps/custom.xml><?xml version="1.0" encoding="utf-8"?>
<Properties xmlns="http://schemas.openxmlformats.org/officeDocument/2006/custom-properties" xmlns:vt="http://schemas.openxmlformats.org/officeDocument/2006/docPropsVTypes"/>
</file>