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03366"/>
          <w:sz w:val="40"/>
        </w:rPr>
        <w:t>DISEÑO DE ARQUITECTURA Y ESTRUCTURA TECNOLÓGICA</w:t>
      </w:r>
    </w:p>
    <w:p>
      <w:pPr>
        <w:spacing w:after="360"/>
      </w:pPr>
      <w:r>
        <w:rPr>
          <w:i/>
          <w:color w:val="4682B4"/>
          <w:sz w:val="24"/>
        </w:rPr>
        <w:t>Guía de Escalabilidad para App Móvil (Feature-Driven Clean Architecture) y Backend Asíncrono (FastAPI + PostGIS)</w:t>
      </w:r>
    </w:p>
    <w:p>
      <w:pPr>
        <w:keepNext/>
        <w:spacing w:before="320" w:after="120"/>
      </w:pPr>
      <w:r>
        <w:rPr>
          <w:b/>
          <w:color w:val="003366"/>
          <w:sz w:val="30"/>
        </w:rPr>
        <w:t>1. Arquitectura Móvil: Feature-Driven Clean Architecture</w:t>
      </w:r>
    </w:p>
    <w:p>
      <w:r>
        <w:t>Para garantizar que la aplicación móvil soporte múltiples versiones futuras (Transporte Público, Ciclovías, Tránsito Pesado) sin comprometer el código actual, se adopta la combinación de Clean Architecture con Modularización por Funcionalidades (Feature-First).</w:t>
      </w:r>
    </w:p>
    <w:p>
      <w:pPr>
        <w:keepNext/>
        <w:spacing w:before="240" w:after="80"/>
      </w:pPr>
      <w:r>
        <w:rPr>
          <w:b/>
          <w:color w:val="4682B4"/>
          <w:sz w:val="24"/>
        </w:rPr>
        <w:t>Estructura de Carpetas del Repositorio Móvil</w:t>
      </w:r>
    </w:p>
    <w:p>
      <w:r>
        <w:rPr>
          <w:rFonts w:ascii="Consolas" w:hAnsi="Consolas"/>
          <w:sz w:val="17"/>
        </w:rPr>
        <w:t>mi_app_movil/</w:t>
        <w:br/>
        <w:t>├── assets/                  # Modelos TFLite (.tflite), fuentes, iconos</w:t>
        <w:br/>
        <w:t>└── src/ (o lib/)</w:t>
        <w:br/>
        <w:t xml:space="preserve">    ├── core/                # Módulo Transversal / Compartido</w:t>
        <w:br/>
        <w:t xml:space="preserve">    │   ├── network/         # Cliente HTTP (Interceptores JWT)</w:t>
        <w:br/>
        <w:t xml:space="preserve">    │   ├── database/        # Persistencia local (Room/SQLite)</w:t>
        <w:br/>
        <w:t xml:space="preserve">    │   ├── location/        # Servicio global de GPS (Fused Location)</w:t>
        <w:br/>
        <w:t xml:space="preserve">    │   ├── ml/              # Motor ejecutor TFLite/ONNX local</w:t>
        <w:br/>
        <w:t xml:space="preserve">    │   ├── theme/           # Sistema de diseño, colores, componentes UI</w:t>
        <w:br/>
        <w:t xml:space="preserve">    │   └── utils/           # Text-To-Speech (TTS), formateadores</w:t>
        <w:br/>
        <w:t xml:space="preserve">    │</w:t>
        <w:br/>
        <w:t xml:space="preserve">    ├── features/            # MÓDULOS POR DOMINIO (Totalmente Independientes)</w:t>
        <w:br/>
        <w:t xml:space="preserve">    │   ├── potholes/        # Módulo 1: Baches y Reportes (MVP)</w:t>
        <w:br/>
        <w:t xml:space="preserve">    │   │   ├── data/        # Repositorios, DTOs, Mappers</w:t>
        <w:br/>
        <w:t xml:space="preserve">    │   │   ├── domain/      # Entidades, Casos de Uso (UC-01)</w:t>
        <w:br/>
        <w:t xml:space="preserve">    │   │   └── presentation/# Pantallas, ViewModels, Widgets</w:t>
        <w:br/>
        <w:t xml:space="preserve">    │   ├── map_navigation/  # Módulo 2: Mapa 3D/2D y Rutas Dinámicas</w:t>
        <w:br/>
        <w:t xml:space="preserve">    │   ├── chat/            # Módulo 3: Chat Regional Moderado</w:t>
        <w:br/>
        <w:t xml:space="preserve">    │   ├── public_transport/# Módulo Futuro: Monitoreo de camiones</w:t>
        <w:br/>
        <w:t xml:space="preserve">    │   └── ciclovias/       # Módulo Futuro: Red de ciclovías</w:t>
        <w:br/>
        <w:t xml:space="preserve">    └── main.dart (o MainActivity)</w:t>
      </w:r>
    </w:p>
    <w:p>
      <w:pPr>
        <w:keepNext/>
        <w:spacing w:before="320" w:after="120"/>
      </w:pPr>
      <w:r>
        <w:rPr>
          <w:b/>
          <w:color w:val="003366"/>
          <w:sz w:val="30"/>
        </w:rPr>
        <w:t>2. Arquitectura Backend: FastAPI + Python Asíncrono</w:t>
      </w:r>
    </w:p>
    <w:p>
      <w:r>
        <w:t>Python con FastAPI se selecciona por su rendimiento nativo con modelos de IA/ML, soporte maduro de librerías geoespaciales (GeoAlchemy2/Shapely) y procesamiento asíncrono sobre ASGI (uvicorn + Starlette).</w:t>
      </w:r>
    </w:p>
    <w:p>
      <w:pPr>
        <w:keepNext/>
        <w:spacing w:before="240" w:after="80"/>
      </w:pPr>
      <w:r>
        <w:rPr>
          <w:b/>
          <w:color w:val="4682B4"/>
          <w:sz w:val="24"/>
        </w:rPr>
        <w:t>Componentes de la Infraestructura Backend</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03366"/>
            <w:tcMar>
              <w:top w:w="100" w:type="dxa"/>
              <w:bottom w:w="100" w:type="dxa"/>
              <w:left w:w="150" w:type="dxa"/>
              <w:right w:w="150" w:type="dxa"/>
            </w:tcMar>
          </w:tcPr>
          <w:p>
            <w:r>
              <w:rPr>
                <w:b/>
                <w:color w:val="FFFFFF"/>
                <w:sz w:val="19"/>
              </w:rPr>
              <w:t>Tecnología / Capa</w:t>
            </w:r>
          </w:p>
        </w:tc>
        <w:tc>
          <w:tcPr>
            <w:tcW w:type="dxa" w:w="2592"/>
            <w:shd w:fill="003366"/>
            <w:tcMar>
              <w:top w:w="100" w:type="dxa"/>
              <w:bottom w:w="100" w:type="dxa"/>
              <w:left w:w="150" w:type="dxa"/>
              <w:right w:w="150" w:type="dxa"/>
            </w:tcMar>
          </w:tcPr>
          <w:p>
            <w:r>
              <w:rPr>
                <w:b/>
                <w:color w:val="FFFFFF"/>
                <w:sz w:val="19"/>
              </w:rPr>
              <w:t>Rol en el Sistema</w:t>
            </w:r>
          </w:p>
        </w:tc>
        <w:tc>
          <w:tcPr>
            <w:tcW w:type="dxa" w:w="4176"/>
            <w:shd w:fill="003366"/>
            <w:tcMar>
              <w:top w:w="100" w:type="dxa"/>
              <w:bottom w:w="100" w:type="dxa"/>
              <w:left w:w="150" w:type="dxa"/>
              <w:right w:w="150" w:type="dxa"/>
            </w:tcMar>
          </w:tcPr>
          <w:p>
            <w:r>
              <w:rPr>
                <w:b/>
                <w:color w:val="FFFFFF"/>
                <w:sz w:val="19"/>
              </w:rPr>
              <w:t>Justificación Técnica</w:t>
            </w:r>
          </w:p>
        </w:tc>
      </w:tr>
      <w:tr>
        <w:tc>
          <w:tcPr>
            <w:tcW w:type="dxa" w:w="2592"/>
            <w:shd w:fill="FFFFFF"/>
            <w:tcMar>
              <w:top w:w="100" w:type="dxa"/>
              <w:bottom w:w="100" w:type="dxa"/>
              <w:left w:w="150" w:type="dxa"/>
              <w:right w:w="150" w:type="dxa"/>
            </w:tcMar>
          </w:tcPr>
          <w:p>
            <w:r>
              <w:rPr>
                <w:b/>
                <w:sz w:val="19"/>
              </w:rPr>
              <w:t>FastAPI</w:t>
            </w:r>
          </w:p>
        </w:tc>
        <w:tc>
          <w:tcPr>
            <w:tcW w:type="dxa" w:w="2592"/>
            <w:shd w:fill="FFFFFF"/>
            <w:tcMar>
              <w:top w:w="100" w:type="dxa"/>
              <w:bottom w:w="100" w:type="dxa"/>
              <w:left w:w="150" w:type="dxa"/>
              <w:right w:w="150" w:type="dxa"/>
            </w:tcMar>
          </w:tcPr>
          <w:p>
            <w:r>
              <w:rPr>
                <w:sz w:val="19"/>
              </w:rPr>
              <w:t>API Gateway &amp; Router</w:t>
            </w:r>
          </w:p>
        </w:tc>
        <w:tc>
          <w:tcPr>
            <w:tcW w:type="dxa" w:w="4176"/>
            <w:shd w:fill="FFFFFF"/>
            <w:tcMar>
              <w:top w:w="100" w:type="dxa"/>
              <w:bottom w:w="100" w:type="dxa"/>
              <w:left w:w="150" w:type="dxa"/>
              <w:right w:w="150" w:type="dxa"/>
            </w:tcMar>
          </w:tcPr>
          <w:p>
            <w:r>
              <w:rPr>
                <w:sz w:val="19"/>
              </w:rPr>
              <w:t>Validación automática de tipos con Pydantic v2, documentación OpenAPI y soporte de WebSockets.</w:t>
            </w:r>
          </w:p>
        </w:tc>
      </w:tr>
      <w:tr>
        <w:tc>
          <w:tcPr>
            <w:tcW w:type="dxa" w:w="2592"/>
            <w:shd w:fill="F4F6F9"/>
            <w:tcMar>
              <w:top w:w="100" w:type="dxa"/>
              <w:bottom w:w="100" w:type="dxa"/>
              <w:left w:w="150" w:type="dxa"/>
              <w:right w:w="150" w:type="dxa"/>
            </w:tcMar>
          </w:tcPr>
          <w:p>
            <w:r>
              <w:rPr>
                <w:b/>
                <w:sz w:val="19"/>
              </w:rPr>
              <w:t>SQLAlchemy 2.0 (Async) + asyncpg</w:t>
            </w:r>
          </w:p>
        </w:tc>
        <w:tc>
          <w:tcPr>
            <w:tcW w:type="dxa" w:w="2592"/>
            <w:shd w:fill="F4F6F9"/>
            <w:tcMar>
              <w:top w:w="100" w:type="dxa"/>
              <w:bottom w:w="100" w:type="dxa"/>
              <w:left w:w="150" w:type="dxa"/>
              <w:right w:w="150" w:type="dxa"/>
            </w:tcMar>
          </w:tcPr>
          <w:p>
            <w:r>
              <w:rPr>
                <w:sz w:val="19"/>
              </w:rPr>
              <w:t>ORM y Persistencia</w:t>
            </w:r>
          </w:p>
        </w:tc>
        <w:tc>
          <w:tcPr>
            <w:tcW w:type="dxa" w:w="4176"/>
            <w:shd w:fill="F4F6F9"/>
            <w:tcMar>
              <w:top w:w="100" w:type="dxa"/>
              <w:bottom w:w="100" w:type="dxa"/>
              <w:left w:w="150" w:type="dxa"/>
              <w:right w:w="150" w:type="dxa"/>
            </w:tcMar>
          </w:tcPr>
          <w:p>
            <w:r>
              <w:rPr>
                <w:sz w:val="19"/>
              </w:rPr>
              <w:t>Manejo asíncrono de base de datos no bloqueante y mapeo de objetos sin acoplamiento.</w:t>
            </w:r>
          </w:p>
        </w:tc>
      </w:tr>
      <w:tr>
        <w:tc>
          <w:tcPr>
            <w:tcW w:type="dxa" w:w="2592"/>
            <w:shd w:fill="FFFFFF"/>
            <w:tcMar>
              <w:top w:w="100" w:type="dxa"/>
              <w:bottom w:w="100" w:type="dxa"/>
              <w:left w:w="150" w:type="dxa"/>
              <w:right w:w="150" w:type="dxa"/>
            </w:tcMar>
          </w:tcPr>
          <w:p>
            <w:r>
              <w:rPr>
                <w:b/>
                <w:sz w:val="19"/>
              </w:rPr>
              <w:t>PostgreSQL + PostGIS</w:t>
            </w:r>
          </w:p>
        </w:tc>
        <w:tc>
          <w:tcPr>
            <w:tcW w:type="dxa" w:w="2592"/>
            <w:shd w:fill="FFFFFF"/>
            <w:tcMar>
              <w:top w:w="100" w:type="dxa"/>
              <w:bottom w:w="100" w:type="dxa"/>
              <w:left w:w="150" w:type="dxa"/>
              <w:right w:w="150" w:type="dxa"/>
            </w:tcMar>
          </w:tcPr>
          <w:p>
            <w:r>
              <w:rPr>
                <w:sz w:val="19"/>
              </w:rPr>
              <w:t>Base de Datos Espacial</w:t>
            </w:r>
          </w:p>
        </w:tc>
        <w:tc>
          <w:tcPr>
            <w:tcW w:type="dxa" w:w="4176"/>
            <w:shd w:fill="FFFFFF"/>
            <w:tcMar>
              <w:top w:w="100" w:type="dxa"/>
              <w:bottom w:w="100" w:type="dxa"/>
              <w:left w:w="150" w:type="dxa"/>
              <w:right w:w="150" w:type="dxa"/>
            </w:tcMar>
          </w:tcPr>
          <w:p>
            <w:r>
              <w:rPr>
                <w:sz w:val="19"/>
              </w:rPr>
              <w:t>Almacenamiento nativo de puntos/polígonos (WGS84) e índices GiST para consultas en radio ultrarrápidas.</w:t>
            </w:r>
          </w:p>
        </w:tc>
      </w:tr>
      <w:tr>
        <w:tc>
          <w:tcPr>
            <w:tcW w:type="dxa" w:w="2592"/>
            <w:shd w:fill="F4F6F9"/>
            <w:tcMar>
              <w:top w:w="100" w:type="dxa"/>
              <w:bottom w:w="100" w:type="dxa"/>
              <w:left w:w="150" w:type="dxa"/>
              <w:right w:w="150" w:type="dxa"/>
            </w:tcMar>
          </w:tcPr>
          <w:p>
            <w:r>
              <w:rPr>
                <w:b/>
                <w:sz w:val="19"/>
              </w:rPr>
              <w:t>Redis</w:t>
            </w:r>
          </w:p>
        </w:tc>
        <w:tc>
          <w:tcPr>
            <w:tcW w:type="dxa" w:w="2592"/>
            <w:shd w:fill="F4F6F9"/>
            <w:tcMar>
              <w:top w:w="100" w:type="dxa"/>
              <w:bottom w:w="100" w:type="dxa"/>
              <w:left w:w="150" w:type="dxa"/>
              <w:right w:w="150" w:type="dxa"/>
            </w:tcMar>
          </w:tcPr>
          <w:p>
            <w:r>
              <w:rPr>
                <w:sz w:val="19"/>
              </w:rPr>
              <w:t>Cache &amp; Message Broker</w:t>
            </w:r>
          </w:p>
        </w:tc>
        <w:tc>
          <w:tcPr>
            <w:tcW w:type="dxa" w:w="4176"/>
            <w:shd w:fill="F4F6F9"/>
            <w:tcMar>
              <w:top w:w="100" w:type="dxa"/>
              <w:bottom w:w="100" w:type="dxa"/>
              <w:left w:w="150" w:type="dxa"/>
              <w:right w:w="150" w:type="dxa"/>
            </w:tcMar>
          </w:tcPr>
          <w:p>
            <w:r>
              <w:rPr>
                <w:sz w:val="19"/>
              </w:rPr>
              <w:t>Almacenamiento temporal de ubicaciones GPS dinámicas y Pub/Sub para WebSockets de Chat.</w:t>
            </w:r>
          </w:p>
        </w:tc>
      </w:tr>
      <w:tr>
        <w:tc>
          <w:tcPr>
            <w:tcW w:type="dxa" w:w="2592"/>
            <w:shd w:fill="FFFFFF"/>
            <w:tcMar>
              <w:top w:w="100" w:type="dxa"/>
              <w:bottom w:w="100" w:type="dxa"/>
              <w:left w:w="150" w:type="dxa"/>
              <w:right w:w="150" w:type="dxa"/>
            </w:tcMar>
          </w:tcPr>
          <w:p>
            <w:r>
              <w:rPr>
                <w:b/>
                <w:sz w:val="19"/>
              </w:rPr>
              <w:t>Celery / ARQ</w:t>
            </w:r>
          </w:p>
        </w:tc>
        <w:tc>
          <w:tcPr>
            <w:tcW w:type="dxa" w:w="2592"/>
            <w:shd w:fill="FFFFFF"/>
            <w:tcMar>
              <w:top w:w="100" w:type="dxa"/>
              <w:bottom w:w="100" w:type="dxa"/>
              <w:left w:w="150" w:type="dxa"/>
              <w:right w:w="150" w:type="dxa"/>
            </w:tcMar>
          </w:tcPr>
          <w:p>
            <w:r>
              <w:rPr>
                <w:sz w:val="19"/>
              </w:rPr>
              <w:t>Task Queue (Segundo Plano)</w:t>
            </w:r>
          </w:p>
        </w:tc>
        <w:tc>
          <w:tcPr>
            <w:tcW w:type="dxa" w:w="4176"/>
            <w:shd w:fill="FFFFFF"/>
            <w:tcMar>
              <w:top w:w="100" w:type="dxa"/>
              <w:bottom w:w="100" w:type="dxa"/>
              <w:left w:w="150" w:type="dxa"/>
              <w:right w:w="150" w:type="dxa"/>
            </w:tcMar>
          </w:tcPr>
          <w:p>
            <w:r>
              <w:rPr>
                <w:sz w:val="19"/>
              </w:rPr>
              <w:t>Procesamiento diferido de reportes presupuestales B2G y envío masivo de notificaciones push.</w:t>
            </w:r>
          </w:p>
        </w:tc>
      </w:tr>
      <w:tr>
        <w:tc>
          <w:tcPr>
            <w:tcW w:type="dxa" w:w="2592"/>
            <w:shd w:fill="F4F6F9"/>
            <w:tcMar>
              <w:top w:w="100" w:type="dxa"/>
              <w:bottom w:w="100" w:type="dxa"/>
              <w:left w:w="150" w:type="dxa"/>
              <w:right w:w="150" w:type="dxa"/>
            </w:tcMar>
          </w:tcPr>
          <w:p>
            <w:r>
              <w:rPr>
                <w:b/>
                <w:sz w:val="19"/>
              </w:rPr>
              <w:t>OSRM (Open Source Routing)</w:t>
            </w:r>
          </w:p>
        </w:tc>
        <w:tc>
          <w:tcPr>
            <w:tcW w:type="dxa" w:w="2592"/>
            <w:shd w:fill="F4F6F9"/>
            <w:tcMar>
              <w:top w:w="100" w:type="dxa"/>
              <w:bottom w:w="100" w:type="dxa"/>
              <w:left w:w="150" w:type="dxa"/>
              <w:right w:w="150" w:type="dxa"/>
            </w:tcMar>
          </w:tcPr>
          <w:p>
            <w:r>
              <w:rPr>
                <w:sz w:val="19"/>
              </w:rPr>
              <w:t>Motor de Enrutamiento</w:t>
            </w:r>
          </w:p>
        </w:tc>
        <w:tc>
          <w:tcPr>
            <w:tcW w:type="dxa" w:w="4176"/>
            <w:shd w:fill="F4F6F9"/>
            <w:tcMar>
              <w:top w:w="100" w:type="dxa"/>
              <w:bottom w:w="100" w:type="dxa"/>
              <w:left w:w="150" w:type="dxa"/>
              <w:right w:w="150" w:type="dxa"/>
            </w:tcMar>
          </w:tcPr>
          <w:p>
            <w:r>
              <w:rPr>
                <w:sz w:val="19"/>
              </w:rPr>
              <w:t>Cálculo en C++ de rutas óptimas y seguras evitando nodos con alta densidad de baches.</w:t>
            </w:r>
          </w:p>
        </w:tc>
      </w:tr>
    </w:tbl>
    <w:p>
      <w:pPr>
        <w:keepNext/>
        <w:spacing w:before="320" w:after="120"/>
      </w:pPr>
      <w:r>
        <w:rPr>
          <w:b/>
          <w:color w:val="003366"/>
          <w:sz w:val="30"/>
        </w:rPr>
        <w:t>3. Estrategia de IA/ML Local (Edge Inferencia a $0 USD)</w:t>
      </w:r>
    </w:p>
    <w:p>
      <w:r>
        <w:t>Para evitar costos recurrentes en servidores en la nube o consumo de APIs comerciales, la visión por computadora se ejecuta en el dispositivo móvil:</w:t>
      </w:r>
    </w:p>
    <w:p>
      <w:r>
        <w:t>1. Entrenamiento offline en Python utilizando YOLOv8-nano con datasets de baches públicos.</w:t>
        <w:br/>
        <w:t>2. Conversión del modelo a TensorFlow Lite (.tflite) o ONNX Runtime.</w:t>
        <w:br/>
        <w:t>3. Ejecución directa en la app móvil (Android/iOS) con respuesta en menos de 300 ms y costo cero por foto.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