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b w:val="0"/>
          <w:i w:val="0"/>
          <w:sz w:val="24"/>
        </w:rPr>
        <w:t>- 40 -</w:t>
      </w:r>
    </w:p>
    <w:p>
      <w:pPr>
        <w:spacing w:before="60" w:after="60" w:line="240" w:lineRule="auto"/>
        <w:jc w:val="center"/>
      </w:pPr>
      <w:r>
        <w:rPr>
          <w:rFonts w:ascii="Times New Roman" w:hAnsi="Times New Roman" w:cs="Times New Roman"/>
          <w:b/>
          <w:i w:val="0"/>
          <w:sz w:val="28"/>
        </w:rPr>
        <w:t>CHAPITRE III. CONCEPTION ET ARCHITECTURE DU SYSTÈME</w:t>
      </w:r>
    </w:p>
    <w:p>
      <w:pPr>
        <w:spacing w:before="120" w:after="60" w:line="240" w:lineRule="auto"/>
        <w:jc w:val="both"/>
      </w:pPr>
      <w:r>
        <w:rPr>
          <w:rFonts w:ascii="Times New Roman" w:hAnsi="Times New Roman" w:cs="Times New Roman"/>
          <w:b/>
          <w:i w:val="0"/>
          <w:sz w:val="24"/>
        </w:rPr>
        <w:t>III.1. Introduction</w:t>
      </w:r>
    </w:p>
    <w:p>
      <w:pPr>
        <w:spacing w:before="60" w:after="60" w:line="240" w:lineRule="auto"/>
        <w:jc w:val="both"/>
      </w:pPr>
      <w:r>
        <w:rPr>
          <w:rFonts w:ascii="Times New Roman" w:hAnsi="Times New Roman" w:cs="Times New Roman"/>
          <w:b w:val="0"/>
          <w:i w:val="0"/>
          <w:sz w:val="24"/>
        </w:rPr>
        <w:t>Le chapitre précédent a formalisé le diagnostic du système RH actuel de la CNSS, les besoins des acteurs et le cahier des charges des huit modules de SGRH Pro. Le présent chapitre traduit ces spécifications en conception logicielle : architecture globale, modélisation UML, schéma de données, organisation du backend Laravel, conception de l'interface web, sous-système biométrique et stratégie de déploiement.</w:t>
      </w:r>
    </w:p>
    <w:p>
      <w:pPr>
        <w:spacing w:before="60" w:after="60" w:line="240" w:lineRule="auto"/>
        <w:jc w:val="both"/>
      </w:pPr>
      <w:r>
        <w:rPr>
          <w:rFonts w:ascii="Times New Roman" w:hAnsi="Times New Roman" w:cs="Times New Roman"/>
          <w:b w:val="0"/>
          <w:i w:val="0"/>
          <w:sz w:val="24"/>
        </w:rPr>
        <w:t>Conformément aux exigences académiques du programme, la conception s'appuie sur UML (cas d'utilisation, classes, séquences, activités, déploiement) et sur une architecture en couches séparant présentation, métier et persistance. Les choix techniques retenus — Laravel 11, Sanctum, Eloquent, MySQL/SQLite, bridge C# Windows — découlent des contraintes d'hébergement mutualisé et de l'intégration du lecteur ZK-9500, déjà argumentées aux chapitres I et II.</w:t>
      </w:r>
    </w:p>
    <w:p>
      <w:pPr>
        <w:spacing w:before="60" w:after="60" w:line="240" w:lineRule="auto"/>
        <w:jc w:val="both"/>
      </w:pPr>
      <w:r>
        <w:rPr>
          <w:rFonts w:ascii="Times New Roman" w:hAnsi="Times New Roman" w:cs="Times New Roman"/>
          <w:b w:val="0"/>
          <w:i w:val="0"/>
          <w:sz w:val="24"/>
        </w:rPr>
        <w:t>Ce chapitre ne décrit pas encore le code ligne à ligne : il fixe le cadre que le chapitre IV implémentera et testera. Chaque section renvoie explicitement aux exigences fonctionnelles (EF) du cahier des charges lorsque cela est pertinent.</w:t>
      </w:r>
    </w:p>
    <w:p>
      <w:pPr>
        <w:spacing w:before="60" w:after="60" w:line="240" w:lineRule="auto"/>
        <w:jc w:val="both"/>
      </w:pPr>
      <w:r>
        <w:rPr>
          <w:rFonts w:ascii="Times New Roman" w:hAnsi="Times New Roman" w:cs="Times New Roman"/>
          <w:b w:val="0"/>
          <w:i w:val="0"/>
          <w:sz w:val="24"/>
        </w:rPr>
        <w:t>Les diagrammes UML et le modèle entité-relation présentés ci-après ont été établis par analyse directe du dépôt applicatif (RH_CNSS/sgrh-pro et RH_CNSS/fingerprint-service) : migration 2026_08_09_000001_create_sgrh_core_tables.php, routes/api.php, PresenceApiController, BiometricBridgeService, HeadlessBridge.cs et le module public/js/sgrh-vision.js. Ils ne constituent donc pas des schémas génériques, mais la traduction graphique de l'architecture réellement implémentée.</w:t>
      </w:r>
    </w:p>
    <w:p>
      <w:pPr>
        <w:spacing w:before="120" w:after="60" w:line="240" w:lineRule="auto"/>
        <w:jc w:val="both"/>
      </w:pPr>
      <w:r>
        <w:rPr>
          <w:rFonts w:ascii="Times New Roman" w:hAnsi="Times New Roman" w:cs="Times New Roman"/>
          <w:b/>
          <w:i w:val="0"/>
          <w:sz w:val="24"/>
        </w:rPr>
        <w:t>III.2. Architecture globale du système</w:t>
      </w:r>
    </w:p>
    <w:p>
      <w:pPr>
        <w:spacing w:before="80" w:after="60" w:line="240" w:lineRule="auto"/>
        <w:jc w:val="both"/>
      </w:pPr>
      <w:r>
        <w:rPr>
          <w:rFonts w:ascii="Times New Roman" w:hAnsi="Times New Roman" w:cs="Times New Roman"/>
          <w:b/>
          <w:i w:val="0"/>
          <w:sz w:val="24"/>
        </w:rPr>
        <w:t>III.2.1. Vue d'ensemble des composants</w:t>
      </w:r>
    </w:p>
    <w:p>
      <w:pPr>
        <w:spacing w:before="60" w:after="60" w:line="240" w:lineRule="auto"/>
        <w:jc w:val="both"/>
      </w:pPr>
      <w:r>
        <w:rPr>
          <w:rFonts w:ascii="Times New Roman" w:hAnsi="Times New Roman" w:cs="Times New Roman"/>
          <w:b w:val="0"/>
          <w:i w:val="0"/>
          <w:sz w:val="24"/>
        </w:rPr>
        <w:t>SGRH Pro s'organise en deux espaces physiques complémentaires. D'une part, un serveur applicatif (hébergement PHP) expose l'API REST Laravel et stocke les données dans MySQL (ou SQLite en développement). D'autre part, le poste Windows du terminal de pointage exécute le bridge biométrique C# en mode headless, relie le lecteur ZK-9500 et, le cas échéant, le lecteur RFID, puis dialogue avec l'API via HTTP local sécurisé par clé API.</w:t>
      </w:r>
    </w:p>
    <w:p>
      <w:pPr>
        <w:spacing w:before="60" w:after="60" w:line="240" w:lineRule="auto"/>
        <w:jc w:val="both"/>
      </w:pPr>
      <w:r>
        <w:rPr>
          <w:rFonts w:ascii="Times New Roman" w:hAnsi="Times New Roman" w:cs="Times New Roman"/>
          <w:b w:val="0"/>
          <w:i w:val="0"/>
          <w:sz w:val="24"/>
        </w:rPr>
        <w:t>L'interface utilisateur est une application web monopage (SPA) servie par Laravel et consommée dans le navigateur. Elle couvre le pilot de bord RH, le terminal de pointage, l'espace personnel de l'agent (« Mon espace ») et les modules métier. L'authentification repose sur des tokens Bearer Laravel Sanctum.</w:t>
      </w:r>
    </w:p>
    <w:p>
      <w:pPr>
        <w:spacing w:before="120" w:after="40"/>
        <w:jc w:val="center"/>
      </w:pPr>
      <w:r>
        <w:drawing>
          <wp:inline xmlns:a="http://schemas.openxmlformats.org/drawingml/2006/main" xmlns:pic="http://schemas.openxmlformats.org/drawingml/2006/picture">
            <wp:extent cx="5220000" cy="3323874"/>
            <wp:docPr id="1" name="Picture 1"/>
            <wp:cNvGraphicFramePr>
              <a:graphicFrameLocks noChangeAspect="1"/>
            </wp:cNvGraphicFramePr>
            <a:graphic>
              <a:graphicData uri="http://schemas.openxmlformats.org/drawingml/2006/picture">
                <pic:pic>
                  <pic:nvPicPr>
                    <pic:cNvPr id="0" name="fig_iii1_architecture_globale.png"/>
                    <pic:cNvPicPr/>
                  </pic:nvPicPr>
                  <pic:blipFill>
                    <a:blip r:embed="rId9"/>
                    <a:stretch>
                      <a:fillRect/>
                    </a:stretch>
                  </pic:blipFill>
                  <pic:spPr>
                    <a:xfrm>
                      <a:off x="0" y="0"/>
                      <a:ext cx="5220000" cy="3323874"/>
                    </a:xfrm>
                    <a:prstGeom prst="rect"/>
                  </pic:spPr>
                </pic:pic>
              </a:graphicData>
            </a:graphic>
          </wp:inline>
        </w:drawing>
      </w:r>
    </w:p>
    <w:p>
      <w:pPr>
        <w:spacing w:before="40" w:after="40"/>
        <w:jc w:val="center"/>
      </w:pPr>
      <w:r>
        <w:rPr>
          <w:rFonts w:ascii="Times New Roman" w:hAnsi="Times New Roman" w:cs="Times New Roman"/>
          <w:b/>
          <w:i/>
          <w:sz w:val="22"/>
        </w:rPr>
        <w:t>Figure III.1 — Architecture globale de SGRH Pro (applicatif + poste de pointage)</w:t>
      </w:r>
    </w:p>
    <w:p/>
    <w:p>
      <w:pPr>
        <w:spacing w:before="80" w:after="60" w:line="240" w:lineRule="auto"/>
        <w:jc w:val="both"/>
      </w:pPr>
      <w:r>
        <w:rPr>
          <w:rFonts w:ascii="Times New Roman" w:hAnsi="Times New Roman" w:cs="Times New Roman"/>
          <w:b/>
          <w:i w:val="0"/>
          <w:sz w:val="24"/>
        </w:rPr>
        <w:t>III.2.2. Architecture logique et physique</w:t>
      </w:r>
    </w:p>
    <w:p>
      <w:pPr>
        <w:spacing w:before="120" w:after="40"/>
        <w:jc w:val="center"/>
      </w:pPr>
      <w:r>
        <w:rPr>
          <w:rFonts w:ascii="Times New Roman" w:hAnsi="Times New Roman" w:cs="Times New Roman"/>
          <w:b/>
          <w:i/>
          <w:sz w:val="22"/>
        </w:rPr>
        <w:t>Tableau III.1 — Répartition logique des responsabilités</w:t>
      </w:r>
    </w:p>
    <w:tbl>
      <w:tblPr>
        <w:tblStyle w:val="TableGrid"/>
        <w:tblW w:type="dxa" w:w="9072"/>
        <w:jc w:val="center"/>
        <w:tblLook w:firstColumn="1" w:firstRow="1" w:lastColumn="0" w:lastRow="0" w:noHBand="0" w:noVBand="1" w:val="04A0"/>
        <w:tblLayout w:type="fixed"/>
      </w:tblPr>
      <w:tblGrid>
        <w:gridCol w:w="1701"/>
        <w:gridCol w:w="2551"/>
        <w:gridCol w:w="4819"/>
      </w:tblGrid>
      <w:tr>
        <w:tc>
          <w:tcPr>
            <w:tcW w:type="dxa" w:w="170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Couche</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Composant</w:t>
            </w:r>
          </w:p>
        </w:tc>
        <w:tc>
          <w:tcPr>
            <w:tcW w:type="dxa" w:w="4819"/>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Responsabilité</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Présentation</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SPA HTML/CSS/JS</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Écrans RH, pointage, espace agent</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Métier</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API Laravel 11</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Règles RH, RBAC, présence, exports</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Persistance</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MySQL / SQLite</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Dossiers, pointages, templates</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Acquisition</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Bridge C# + ZK/RFID</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Scan, match 1:N, badges</w:t>
            </w:r>
          </w:p>
        </w:tc>
      </w:tr>
    </w:tbl>
    <w:p/>
    <w:p>
      <w:pPr>
        <w:spacing w:before="60" w:after="60" w:line="240" w:lineRule="auto"/>
        <w:jc w:val="both"/>
      </w:pPr>
      <w:r>
        <w:rPr>
          <w:rFonts w:ascii="Times New Roman" w:hAnsi="Times New Roman" w:cs="Times New Roman"/>
          <w:b w:val="0"/>
          <w:i w:val="0"/>
          <w:sz w:val="24"/>
        </w:rPr>
        <w:t>Physiquement, le bridge reste volontairement sur le poste Windows : le SDK ZKFinger est conçu pour cet environnement et le capteur USB ne peut pas être piloté depuis un hébergement distant. Cette séparation évite de coupler le serveur applicatif au système d'exploitation du terminal (EF-04, EF-06, contrainte C-01).</w:t>
      </w:r>
    </w:p>
    <w:p>
      <w:pPr>
        <w:spacing w:before="80" w:after="60" w:line="240" w:lineRule="auto"/>
        <w:jc w:val="both"/>
      </w:pPr>
      <w:r>
        <w:rPr>
          <w:rFonts w:ascii="Times New Roman" w:hAnsi="Times New Roman" w:cs="Times New Roman"/>
          <w:b/>
          <w:i w:val="0"/>
          <w:sz w:val="24"/>
        </w:rPr>
        <w:t>III.2.3. Flux de données entre composants</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l'utilisateur s'authentifie auprès de l'API ; un token Sanctum est stocké côté navigateur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les opérations métier (CRUD employés, congés, KPI) transitent par l'API authentifiée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pour un pointage empreinte, l'API demande un scan au bridge (POST /scan), puis une identification 1:N (POST /match) ;</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le contrôleur de présence enregistre l'entrée ou la sortie dans la table attendances et met à jour le tableau du jour ;</w:t>
      </w:r>
    </w:p>
    <w:p>
      <w:pPr>
        <w:spacing w:before="0" w:after="0" w:line="240" w:lineRule="auto"/>
        <w:ind w:left="425"/>
        <w:jc w:val="both"/>
      </w:pPr>
      <w:r>
        <w:rPr>
          <w:rFonts w:ascii="Times New Roman" w:hAnsi="Times New Roman" w:cs="Times New Roman"/>
          <w:b/>
          <w:i w:val="0"/>
          <w:sz w:val="24"/>
        </w:rPr>
        <w:t xml:space="preserve">5. </w:t>
      </w:r>
      <w:r>
        <w:rPr>
          <w:rFonts w:ascii="Times New Roman" w:hAnsi="Times New Roman" w:cs="Times New Roman"/>
          <w:b w:val="0"/>
          <w:i w:val="0"/>
          <w:sz w:val="24"/>
        </w:rPr>
        <w:t xml:space="preserve"> l'espace agent lit les mêmes données filtrées sur employee_id du compte connecté.</w:t>
      </w:r>
    </w:p>
    <w:p>
      <w:pPr>
        <w:spacing w:before="120" w:after="60" w:line="240" w:lineRule="auto"/>
        <w:jc w:val="both"/>
      </w:pPr>
      <w:r>
        <w:rPr>
          <w:rFonts w:ascii="Times New Roman" w:hAnsi="Times New Roman" w:cs="Times New Roman"/>
          <w:b/>
          <w:i w:val="0"/>
          <w:sz w:val="24"/>
        </w:rPr>
        <w:t>III.3. Modélisation UML</w:t>
      </w:r>
    </w:p>
    <w:p>
      <w:pPr>
        <w:spacing w:before="80" w:after="60" w:line="240" w:lineRule="auto"/>
        <w:jc w:val="both"/>
      </w:pPr>
      <w:r>
        <w:rPr>
          <w:rFonts w:ascii="Times New Roman" w:hAnsi="Times New Roman" w:cs="Times New Roman"/>
          <w:b/>
          <w:i w:val="0"/>
          <w:sz w:val="24"/>
        </w:rPr>
        <w:t>III.3.1. Diagramme de cas d'utilisation</w:t>
      </w:r>
    </w:p>
    <w:p>
      <w:pPr>
        <w:spacing w:before="60" w:after="60" w:line="240" w:lineRule="auto"/>
        <w:jc w:val="both"/>
      </w:pPr>
      <w:r>
        <w:rPr>
          <w:rFonts w:ascii="Times New Roman" w:hAnsi="Times New Roman" w:cs="Times New Roman"/>
          <w:b w:val="0"/>
          <w:i w:val="0"/>
          <w:sz w:val="24"/>
        </w:rPr>
        <w:t>Les acteurs principaux sont l'Admin RH, le Manager (responsable d'équipe), l'Agent et le Bridge biométrique (système externe). La figure III.2 synthétise les cas d'utilisation prioritaires alignés sur les scénarios du chapitre II.</w:t>
      </w:r>
    </w:p>
    <w:p>
      <w:pPr>
        <w:spacing w:before="120" w:after="40"/>
        <w:jc w:val="center"/>
      </w:pPr>
      <w:r>
        <w:drawing>
          <wp:inline xmlns:a="http://schemas.openxmlformats.org/drawingml/2006/main" xmlns:pic="http://schemas.openxmlformats.org/drawingml/2006/picture">
            <wp:extent cx="4860000" cy="3708180"/>
            <wp:docPr id="2" name="Picture 2"/>
            <wp:cNvGraphicFramePr>
              <a:graphicFrameLocks noChangeAspect="1"/>
            </wp:cNvGraphicFramePr>
            <a:graphic>
              <a:graphicData uri="http://schemas.openxmlformats.org/drawingml/2006/picture">
                <pic:pic>
                  <pic:nvPicPr>
                    <pic:cNvPr id="0" name="fig_iii2_cas_utilisation.png"/>
                    <pic:cNvPicPr/>
                  </pic:nvPicPr>
                  <pic:blipFill>
                    <a:blip r:embed="rId10"/>
                    <a:stretch>
                      <a:fillRect/>
                    </a:stretch>
                  </pic:blipFill>
                  <pic:spPr>
                    <a:xfrm>
                      <a:off x="0" y="0"/>
                      <a:ext cx="4860000" cy="3708180"/>
                    </a:xfrm>
                    <a:prstGeom prst="rect"/>
                  </pic:spPr>
                </pic:pic>
              </a:graphicData>
            </a:graphic>
          </wp:inline>
        </w:drawing>
      </w:r>
    </w:p>
    <w:p>
      <w:pPr>
        <w:spacing w:before="40" w:after="40"/>
        <w:jc w:val="center"/>
      </w:pPr>
      <w:r>
        <w:rPr>
          <w:rFonts w:ascii="Times New Roman" w:hAnsi="Times New Roman" w:cs="Times New Roman"/>
          <w:b/>
          <w:i/>
          <w:sz w:val="22"/>
        </w:rPr>
        <w:t>Figure III.2 — Diagramme de cas d'utilisation de SGRH Pro</w:t>
      </w:r>
    </w:p>
    <w:p/>
    <w:p>
      <w:pPr>
        <w:spacing w:before="120" w:after="40"/>
        <w:jc w:val="center"/>
      </w:pPr>
      <w:r>
        <w:rPr>
          <w:rFonts w:ascii="Times New Roman" w:hAnsi="Times New Roman" w:cs="Times New Roman"/>
          <w:b/>
          <w:i/>
          <w:sz w:val="22"/>
        </w:rPr>
        <w:t>Tableau III.2 — Acteurs et cas d'utilisation prioritaires</w:t>
      </w:r>
    </w:p>
    <w:tbl>
      <w:tblPr>
        <w:tblStyle w:val="TableGrid"/>
        <w:tblW w:type="dxa" w:w="9072"/>
        <w:jc w:val="center"/>
        <w:tblLook w:firstColumn="1" w:firstRow="1" w:lastColumn="0" w:lastRow="0" w:noHBand="0" w:noVBand="1" w:val="04A0"/>
        <w:tblLayout w:type="fixed"/>
      </w:tblPr>
      <w:tblGrid>
        <w:gridCol w:w="1587"/>
        <w:gridCol w:w="4649"/>
        <w:gridCol w:w="2835"/>
      </w:tblGrid>
      <w:tr>
        <w:tc>
          <w:tcPr>
            <w:tcW w:type="dxa" w:w="1587"/>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Acteur</w:t>
            </w:r>
          </w:p>
        </w:tc>
        <w:tc>
          <w:tcPr>
            <w:tcW w:type="dxa" w:w="4649"/>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Cas d'utilisation principaux</w:t>
            </w:r>
          </w:p>
        </w:tc>
        <w:tc>
          <w:tcPr>
            <w:tcW w:type="dxa" w:w="283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Exigences</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Admin RH</w:t>
            </w:r>
          </w:p>
        </w:tc>
        <w:tc>
          <w:tcPr>
            <w:tcW w:type="dxa" w:w="464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Employés, enrôlement, KPI, décision congés</w:t>
            </w:r>
          </w:p>
        </w:tc>
        <w:tc>
          <w:tcPr>
            <w:tcW w:type="dxa" w:w="28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EF-01 à EF-13</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Manager</w:t>
            </w:r>
          </w:p>
        </w:tc>
        <w:tc>
          <w:tcPr>
            <w:tcW w:type="dxa" w:w="464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Avis congés, suivi équipe, évaluations</w:t>
            </w:r>
          </w:p>
        </w:tc>
        <w:tc>
          <w:tcPr>
            <w:tcW w:type="dxa" w:w="28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EF-08, EF-13</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Agent</w:t>
            </w:r>
          </w:p>
        </w:tc>
        <w:tc>
          <w:tcPr>
            <w:tcW w:type="dxa" w:w="464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Pointage, Mon espace, demande congé</w:t>
            </w:r>
          </w:p>
        </w:tc>
        <w:tc>
          <w:tcPr>
            <w:tcW w:type="dxa" w:w="28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EF-06, EF-14</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Bridge</w:t>
            </w:r>
          </w:p>
        </w:tc>
        <w:tc>
          <w:tcPr>
            <w:tcW w:type="dxa" w:w="464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Scan et match ZK-9500</w:t>
            </w:r>
          </w:p>
        </w:tc>
        <w:tc>
          <w:tcPr>
            <w:tcW w:type="dxa" w:w="28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EF-04, EF-06</w:t>
            </w:r>
          </w:p>
        </w:tc>
      </w:tr>
    </w:tbl>
    <w:p/>
    <w:p>
      <w:pPr>
        <w:spacing w:before="80" w:after="60" w:line="240" w:lineRule="auto"/>
        <w:jc w:val="both"/>
      </w:pPr>
      <w:r>
        <w:rPr>
          <w:rFonts w:ascii="Times New Roman" w:hAnsi="Times New Roman" w:cs="Times New Roman"/>
          <w:b/>
          <w:i w:val="0"/>
          <w:sz w:val="24"/>
        </w:rPr>
        <w:t>III.3.2. Diagramme de classes</w:t>
      </w:r>
    </w:p>
    <w:p>
      <w:pPr>
        <w:spacing w:before="60" w:after="60" w:line="240" w:lineRule="auto"/>
        <w:jc w:val="both"/>
      </w:pPr>
      <w:r>
        <w:rPr>
          <w:rFonts w:ascii="Times New Roman" w:hAnsi="Times New Roman" w:cs="Times New Roman"/>
          <w:b w:val="0"/>
          <w:i w:val="0"/>
          <w:sz w:val="24"/>
        </w:rPr>
        <w:t>Le modèle de classes retenu reprend les entités du schéma relationnel Laravel : User, Employee, Department, Role, Attendance, Leave, RemunerationElement, PerformanceEvaluation, ainsi que le bridge comme composant externe. La figure III.3 en présente un extrait centré sur le pointage et le dossier agent.</w:t>
      </w:r>
    </w:p>
    <w:p>
      <w:pPr>
        <w:spacing w:before="120" w:after="40"/>
        <w:jc w:val="center"/>
      </w:pPr>
      <w:r>
        <w:drawing>
          <wp:inline xmlns:a="http://schemas.openxmlformats.org/drawingml/2006/main" xmlns:pic="http://schemas.openxmlformats.org/drawingml/2006/picture">
            <wp:extent cx="5220000" cy="3696962"/>
            <wp:docPr id="3" name="Picture 3"/>
            <wp:cNvGraphicFramePr>
              <a:graphicFrameLocks noChangeAspect="1"/>
            </wp:cNvGraphicFramePr>
            <a:graphic>
              <a:graphicData uri="http://schemas.openxmlformats.org/drawingml/2006/picture">
                <pic:pic>
                  <pic:nvPicPr>
                    <pic:cNvPr id="0" name="fig_iii3_diagramme_classes.png"/>
                    <pic:cNvPicPr/>
                  </pic:nvPicPr>
                  <pic:blipFill>
                    <a:blip r:embed="rId11"/>
                    <a:stretch>
                      <a:fillRect/>
                    </a:stretch>
                  </pic:blipFill>
                  <pic:spPr>
                    <a:xfrm>
                      <a:off x="0" y="0"/>
                      <a:ext cx="5220000" cy="3696962"/>
                    </a:xfrm>
                    <a:prstGeom prst="rect"/>
                  </pic:spPr>
                </pic:pic>
              </a:graphicData>
            </a:graphic>
          </wp:inline>
        </w:drawing>
      </w:r>
    </w:p>
    <w:p>
      <w:pPr>
        <w:spacing w:before="40" w:after="40"/>
        <w:jc w:val="center"/>
      </w:pPr>
      <w:r>
        <w:rPr>
          <w:rFonts w:ascii="Times New Roman" w:hAnsi="Times New Roman" w:cs="Times New Roman"/>
          <w:b/>
          <w:i/>
          <w:sz w:val="22"/>
        </w:rPr>
        <w:t>Figure III.3 — Extrait du diagramme de classes métier</w:t>
      </w:r>
    </w:p>
    <w:p/>
    <w:p>
      <w:pPr>
        <w:spacing w:before="80" w:after="60" w:line="240" w:lineRule="auto"/>
        <w:jc w:val="both"/>
      </w:pPr>
      <w:r>
        <w:rPr>
          <w:rFonts w:ascii="Times New Roman" w:hAnsi="Times New Roman" w:cs="Times New Roman"/>
          <w:b/>
          <w:i w:val="0"/>
          <w:sz w:val="24"/>
        </w:rPr>
        <w:t>III.3.3. Diagramme de séquence — pointage biométrique</w:t>
      </w:r>
    </w:p>
    <w:p>
      <w:pPr>
        <w:spacing w:before="60" w:after="60" w:line="240" w:lineRule="auto"/>
        <w:jc w:val="both"/>
      </w:pPr>
      <w:r>
        <w:rPr>
          <w:rFonts w:ascii="Times New Roman" w:hAnsi="Times New Roman" w:cs="Times New Roman"/>
          <w:b w:val="0"/>
          <w:i w:val="0"/>
          <w:sz w:val="24"/>
        </w:rPr>
        <w:t>Le scénario critique du mémoire est le pointage quotidien. La séquence suivante reproduit le flux réel implémenté dans sgrh-vision.js : la fonction punchFingerprint() appelle d'abord POST /api/biometric/scan (BiometricApiController → BiometricBridgeService → POST localhost:5002/scan), puis POST /api/presence/punch avec {method: fingerprint, template}. PresenceApiController::identifyByFingerprint() construit la galerie des agents enrôlés et invoque bridge.match() ; le score retourné est comparé au seuil system_parameters fingerprint_match_threshold (40 par défaut). Elle couvre EF-06 et EF-07.</w:t>
      </w:r>
    </w:p>
    <w:p>
      <w:pPr>
        <w:spacing w:before="120" w:after="40"/>
        <w:jc w:val="center"/>
      </w:pPr>
      <w:r>
        <w:drawing>
          <wp:inline xmlns:a="http://schemas.openxmlformats.org/drawingml/2006/main" xmlns:pic="http://schemas.openxmlformats.org/drawingml/2006/picture">
            <wp:extent cx="5040000" cy="3873453"/>
            <wp:docPr id="4" name="Picture 4"/>
            <wp:cNvGraphicFramePr>
              <a:graphicFrameLocks noChangeAspect="1"/>
            </wp:cNvGraphicFramePr>
            <a:graphic>
              <a:graphicData uri="http://schemas.openxmlformats.org/drawingml/2006/picture">
                <pic:pic>
                  <pic:nvPicPr>
                    <pic:cNvPr id="0" name="fig_iii4_sequence_pointage.png"/>
                    <pic:cNvPicPr/>
                  </pic:nvPicPr>
                  <pic:blipFill>
                    <a:blip r:embed="rId12"/>
                    <a:stretch>
                      <a:fillRect/>
                    </a:stretch>
                  </pic:blipFill>
                  <pic:spPr>
                    <a:xfrm>
                      <a:off x="0" y="0"/>
                      <a:ext cx="5040000" cy="3873453"/>
                    </a:xfrm>
                    <a:prstGeom prst="rect"/>
                  </pic:spPr>
                </pic:pic>
              </a:graphicData>
            </a:graphic>
          </wp:inline>
        </w:drawing>
      </w:r>
    </w:p>
    <w:p>
      <w:pPr>
        <w:spacing w:before="40" w:after="40"/>
        <w:jc w:val="center"/>
      </w:pPr>
      <w:r>
        <w:rPr>
          <w:rFonts w:ascii="Times New Roman" w:hAnsi="Times New Roman" w:cs="Times New Roman"/>
          <w:b/>
          <w:i/>
          <w:sz w:val="22"/>
        </w:rPr>
        <w:t>Figure III.4 — Diagramme de séquence du pointage biométrique</w:t>
      </w:r>
    </w:p>
    <w:p/>
    <w:p>
      <w:pPr>
        <w:spacing w:before="60" w:after="60" w:line="240" w:lineRule="auto"/>
        <w:jc w:val="both"/>
      </w:pPr>
      <w:r>
        <w:rPr>
          <w:rFonts w:ascii="Times New Roman" w:hAnsi="Times New Roman" w:cs="Times New Roman"/>
          <w:b w:val="0"/>
          <w:i w:val="0"/>
          <w:sz w:val="24"/>
        </w:rPr>
        <w:t>La règle métier est codée dans registerPunch() : absence de check_out ouvert → INSERT attendances (action checkin, source fingerprint ou rfid) ; présence ouverte → UPDATE check_out et worked_hours (action checkout) ; journée déjà clôturée → HTTP 409 avec action blocked. Le retard late_minutes est calculé via computeLateMinutes() à partir de work_start_time (08:00) et late_threshold_minutes (15 min de tolérance) — EF-16.</w:t>
      </w:r>
    </w:p>
    <w:p>
      <w:pPr>
        <w:spacing w:before="80" w:after="60" w:line="240" w:lineRule="auto"/>
        <w:jc w:val="both"/>
      </w:pPr>
      <w:r>
        <w:rPr>
          <w:rFonts w:ascii="Times New Roman" w:hAnsi="Times New Roman" w:cs="Times New Roman"/>
          <w:b/>
          <w:i w:val="0"/>
          <w:sz w:val="24"/>
        </w:rPr>
        <w:t>III.3.4. Diagramme d'activités — workflow de congé</w:t>
      </w:r>
    </w:p>
    <w:p>
      <w:pPr>
        <w:spacing w:before="120" w:after="40"/>
        <w:jc w:val="center"/>
      </w:pPr>
      <w:r>
        <w:drawing>
          <wp:inline xmlns:a="http://schemas.openxmlformats.org/drawingml/2006/main" xmlns:pic="http://schemas.openxmlformats.org/drawingml/2006/picture">
            <wp:extent cx="3960000" cy="4532841"/>
            <wp:docPr id="5" name="Picture 5"/>
            <wp:cNvGraphicFramePr>
              <a:graphicFrameLocks noChangeAspect="1"/>
            </wp:cNvGraphicFramePr>
            <a:graphic>
              <a:graphicData uri="http://schemas.openxmlformats.org/drawingml/2006/picture">
                <pic:pic>
                  <pic:nvPicPr>
                    <pic:cNvPr id="0" name="fig_iii5_activite_conge.png"/>
                    <pic:cNvPicPr/>
                  </pic:nvPicPr>
                  <pic:blipFill>
                    <a:blip r:embed="rId13"/>
                    <a:stretch>
                      <a:fillRect/>
                    </a:stretch>
                  </pic:blipFill>
                  <pic:spPr>
                    <a:xfrm>
                      <a:off x="0" y="0"/>
                      <a:ext cx="3960000" cy="4532841"/>
                    </a:xfrm>
                    <a:prstGeom prst="rect"/>
                  </pic:spPr>
                </pic:pic>
              </a:graphicData>
            </a:graphic>
          </wp:inline>
        </w:drawing>
      </w:r>
    </w:p>
    <w:p>
      <w:pPr>
        <w:spacing w:before="40" w:after="40"/>
        <w:jc w:val="center"/>
      </w:pPr>
      <w:r>
        <w:rPr>
          <w:rFonts w:ascii="Times New Roman" w:hAnsi="Times New Roman" w:cs="Times New Roman"/>
          <w:b/>
          <w:i/>
          <w:sz w:val="22"/>
        </w:rPr>
        <w:t>Figure III.5 — Diagramme d'activités du workflow de congé</w:t>
      </w:r>
    </w:p>
    <w:p/>
    <w:p>
      <w:pPr>
        <w:spacing w:before="60" w:after="60" w:line="240" w:lineRule="auto"/>
        <w:jc w:val="both"/>
      </w:pPr>
      <w:r>
        <w:rPr>
          <w:rFonts w:ascii="Times New Roman" w:hAnsi="Times New Roman" w:cs="Times New Roman"/>
          <w:b w:val="0"/>
          <w:i w:val="0"/>
          <w:sz w:val="24"/>
        </w:rPr>
        <w:t>Le circuit Agent → Manager → Admin RH matérialise la séparation des tâches observée à la CNSS et répond à EF-08. Le statut de la demande (En attente, Approuvé, Refusé) et le commentaire de décision sont persistés pour traçabilité.</w:t>
      </w:r>
    </w:p>
    <w:p>
      <w:pPr>
        <w:spacing w:before="80" w:after="60" w:line="240" w:lineRule="auto"/>
        <w:jc w:val="both"/>
      </w:pPr>
      <w:r>
        <w:rPr>
          <w:rFonts w:ascii="Times New Roman" w:hAnsi="Times New Roman" w:cs="Times New Roman"/>
          <w:b/>
          <w:i w:val="0"/>
          <w:sz w:val="24"/>
        </w:rPr>
        <w:t>III.3.5. Diagramme de déploiement</w:t>
      </w:r>
    </w:p>
    <w:p>
      <w:pPr>
        <w:spacing w:before="120" w:after="40"/>
        <w:jc w:val="center"/>
      </w:pPr>
      <w:r>
        <w:drawing>
          <wp:inline xmlns:a="http://schemas.openxmlformats.org/drawingml/2006/main" xmlns:pic="http://schemas.openxmlformats.org/drawingml/2006/picture">
            <wp:extent cx="5040000" cy="3069360"/>
            <wp:docPr id="6" name="Picture 6"/>
            <wp:cNvGraphicFramePr>
              <a:graphicFrameLocks noChangeAspect="1"/>
            </wp:cNvGraphicFramePr>
            <a:graphic>
              <a:graphicData uri="http://schemas.openxmlformats.org/drawingml/2006/picture">
                <pic:pic>
                  <pic:nvPicPr>
                    <pic:cNvPr id="0" name="fig_iii6_deploiement.png"/>
                    <pic:cNvPicPr/>
                  </pic:nvPicPr>
                  <pic:blipFill>
                    <a:blip r:embed="rId14"/>
                    <a:stretch>
                      <a:fillRect/>
                    </a:stretch>
                  </pic:blipFill>
                  <pic:spPr>
                    <a:xfrm>
                      <a:off x="0" y="0"/>
                      <a:ext cx="5040000" cy="3069360"/>
                    </a:xfrm>
                    <a:prstGeom prst="rect"/>
                  </pic:spPr>
                </pic:pic>
              </a:graphicData>
            </a:graphic>
          </wp:inline>
        </w:drawing>
      </w:r>
    </w:p>
    <w:p>
      <w:pPr>
        <w:spacing w:before="40" w:after="40"/>
        <w:jc w:val="center"/>
      </w:pPr>
      <w:r>
        <w:rPr>
          <w:rFonts w:ascii="Times New Roman" w:hAnsi="Times New Roman" w:cs="Times New Roman"/>
          <w:b/>
          <w:i/>
          <w:sz w:val="22"/>
        </w:rPr>
        <w:t>Figure III.6 — Diagramme de déploiement de SGRH Pro</w:t>
      </w:r>
    </w:p>
    <w:p/>
    <w:p>
      <w:pPr>
        <w:spacing w:before="60" w:after="60" w:line="240" w:lineRule="auto"/>
        <w:jc w:val="both"/>
      </w:pPr>
      <w:r>
        <w:rPr>
          <w:rFonts w:ascii="Times New Roman" w:hAnsi="Times New Roman" w:cs="Times New Roman"/>
          <w:b w:val="0"/>
          <w:i w:val="0"/>
          <w:sz w:val="24"/>
        </w:rPr>
        <w:t>Deux nœuds suffisent au prototype : le serveur applicatif (artefacts API Laravel et base MySQL) et le poste terminal (navigateur SPA, bridge C#, ZK-9500, lecteur RFID). L'installateur Windows one-touch configure le démarrage automatique du bridge et la clé API alignée sur la configuration Laravel.</w:t>
      </w:r>
    </w:p>
    <w:p>
      <w:pPr>
        <w:spacing w:before="120" w:after="60" w:line="240" w:lineRule="auto"/>
        <w:jc w:val="both"/>
      </w:pPr>
      <w:r>
        <w:rPr>
          <w:rFonts w:ascii="Times New Roman" w:hAnsi="Times New Roman" w:cs="Times New Roman"/>
          <w:b/>
          <w:i w:val="0"/>
          <w:sz w:val="24"/>
        </w:rPr>
        <w:t>III.4. Conception de la base de données</w:t>
      </w:r>
    </w:p>
    <w:p>
      <w:pPr>
        <w:spacing w:before="80" w:after="60" w:line="240" w:lineRule="auto"/>
        <w:jc w:val="both"/>
      </w:pPr>
      <w:r>
        <w:rPr>
          <w:rFonts w:ascii="Times New Roman" w:hAnsi="Times New Roman" w:cs="Times New Roman"/>
          <w:b/>
          <w:i w:val="0"/>
          <w:sz w:val="24"/>
        </w:rPr>
        <w:t>III.4.1. Modèle entité-relation</w:t>
      </w:r>
    </w:p>
    <w:p>
      <w:pPr>
        <w:spacing w:before="60" w:after="60" w:line="240" w:lineRule="auto"/>
        <w:jc w:val="both"/>
      </w:pPr>
      <w:r>
        <w:rPr>
          <w:rFonts w:ascii="Times New Roman" w:hAnsi="Times New Roman" w:cs="Times New Roman"/>
          <w:b w:val="0"/>
          <w:i w:val="0"/>
          <w:sz w:val="24"/>
        </w:rPr>
        <w:t>Le modèle de données est relationnel. L'entité Employee occupe le centre du schéma : elle porte l'identité administrative, le template d'empreinte et l'identifiant RFID. User référence Employee et Role pour l'authentification. Attendance, Leave, RemunerationElement et PerformanceEvaluation dépendent de Employee.</w:t>
      </w:r>
    </w:p>
    <w:p>
      <w:pPr>
        <w:spacing w:before="120" w:after="40"/>
        <w:jc w:val="center"/>
      </w:pPr>
      <w:r>
        <w:drawing>
          <wp:inline xmlns:a="http://schemas.openxmlformats.org/drawingml/2006/main" xmlns:pic="http://schemas.openxmlformats.org/drawingml/2006/picture">
            <wp:extent cx="5220000" cy="3621610"/>
            <wp:docPr id="7" name="Picture 7"/>
            <wp:cNvGraphicFramePr>
              <a:graphicFrameLocks noChangeAspect="1"/>
            </wp:cNvGraphicFramePr>
            <a:graphic>
              <a:graphicData uri="http://schemas.openxmlformats.org/drawingml/2006/picture">
                <pic:pic>
                  <pic:nvPicPr>
                    <pic:cNvPr id="0" name="fig_iii7_mer.png"/>
                    <pic:cNvPicPr/>
                  </pic:nvPicPr>
                  <pic:blipFill>
                    <a:blip r:embed="rId15"/>
                    <a:stretch>
                      <a:fillRect/>
                    </a:stretch>
                  </pic:blipFill>
                  <pic:spPr>
                    <a:xfrm>
                      <a:off x="0" y="0"/>
                      <a:ext cx="5220000" cy="3621610"/>
                    </a:xfrm>
                    <a:prstGeom prst="rect"/>
                  </pic:spPr>
                </pic:pic>
              </a:graphicData>
            </a:graphic>
          </wp:inline>
        </w:drawing>
      </w:r>
    </w:p>
    <w:p>
      <w:pPr>
        <w:spacing w:before="40" w:after="40"/>
        <w:jc w:val="center"/>
      </w:pPr>
      <w:r>
        <w:rPr>
          <w:rFonts w:ascii="Times New Roman" w:hAnsi="Times New Roman" w:cs="Times New Roman"/>
          <w:b/>
          <w:i/>
          <w:sz w:val="22"/>
        </w:rPr>
        <w:t>Figure III.7 — Modèle entité-relation (extrait) de SGRH Pro</w:t>
      </w:r>
    </w:p>
    <w:p/>
    <w:p>
      <w:pPr>
        <w:spacing w:before="80" w:after="60" w:line="240" w:lineRule="auto"/>
        <w:jc w:val="both"/>
      </w:pPr>
      <w:r>
        <w:rPr>
          <w:rFonts w:ascii="Times New Roman" w:hAnsi="Times New Roman" w:cs="Times New Roman"/>
          <w:b/>
          <w:i w:val="0"/>
          <w:sz w:val="24"/>
        </w:rPr>
        <w:t>III.4.2. Tables principales</w:t>
      </w:r>
    </w:p>
    <w:p>
      <w:pPr>
        <w:spacing w:before="120" w:after="40"/>
        <w:jc w:val="center"/>
      </w:pPr>
      <w:r>
        <w:rPr>
          <w:rFonts w:ascii="Times New Roman" w:hAnsi="Times New Roman" w:cs="Times New Roman"/>
          <w:b/>
          <w:i/>
          <w:sz w:val="22"/>
        </w:rPr>
        <w:t>Tableau III.3 — Tables principales du schéma SGRH Pro</w:t>
      </w:r>
    </w:p>
    <w:tbl>
      <w:tblPr>
        <w:tblStyle w:val="TableGrid"/>
        <w:tblW w:type="dxa" w:w="9072"/>
        <w:jc w:val="center"/>
        <w:tblLook w:firstColumn="1" w:firstRow="1" w:lastColumn="0" w:lastRow="0" w:noHBand="0" w:noVBand="1" w:val="04A0"/>
        <w:tblLayout w:type="fixed"/>
      </w:tblPr>
      <w:tblGrid>
        <w:gridCol w:w="2381"/>
        <w:gridCol w:w="2551"/>
        <w:gridCol w:w="4139"/>
      </w:tblGrid>
      <w:tr>
        <w:tc>
          <w:tcPr>
            <w:tcW w:type="dxa" w:w="238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Table</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Rôle</w:t>
            </w:r>
          </w:p>
        </w:tc>
        <w:tc>
          <w:tcPr>
            <w:tcW w:type="dxa" w:w="4139"/>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Champs clés</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users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Comptes applicatifs</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username, password, role_id, employee_id</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employees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Dossiers agents</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matricule, fingerprint_template, rfid_card_id</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attendances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Présences</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check_in, check_out, late_minutes, source</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leaves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Congés</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start_date, end_date, status</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remuneration_elements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États pour la finance</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period, total_indicative, status</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performance_evaluations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Évaluations</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score, period, evaluator_id</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roles / permissions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RBAC</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name, role_permission</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activity_logs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Audit</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username, action</w:t>
            </w:r>
          </w:p>
        </w:tc>
      </w:tr>
    </w:tbl>
    <w:p/>
    <w:p>
      <w:pPr>
        <w:spacing w:before="80" w:after="60" w:line="240" w:lineRule="auto"/>
        <w:jc w:val="both"/>
      </w:pPr>
      <w:r>
        <w:rPr>
          <w:rFonts w:ascii="Times New Roman" w:hAnsi="Times New Roman" w:cs="Times New Roman"/>
          <w:b/>
          <w:i w:val="0"/>
          <w:sz w:val="24"/>
        </w:rPr>
        <w:t>III.4.3. Intégrité et données biométriques</w:t>
      </w:r>
    </w:p>
    <w:p>
      <w:pPr>
        <w:pStyle w:val="ListBullet"/>
        <w:spacing w:before="0" w:after="0" w:line="240" w:lineRule="auto"/>
        <w:jc w:val="both"/>
      </w:pPr>
      <w:r>
        <w:rPr>
          <w:rFonts w:ascii="Times New Roman" w:hAnsi="Times New Roman" w:cs="Times New Roman"/>
          <w:b w:val="0"/>
          <w:i w:val="0"/>
          <w:sz w:val="24"/>
        </w:rPr>
        <w:t xml:space="preserve"> clés étrangères avec suppression contrôlée (cascade sur les présences liées à un agent) ;</w:t>
      </w:r>
    </w:p>
    <w:p>
      <w:pPr>
        <w:pStyle w:val="ListBullet"/>
        <w:spacing w:before="0" w:after="0" w:line="240" w:lineRule="auto"/>
        <w:jc w:val="both"/>
      </w:pPr>
      <w:r>
        <w:rPr>
          <w:rFonts w:ascii="Times New Roman" w:hAnsi="Times New Roman" w:cs="Times New Roman"/>
          <w:b w:val="0"/>
          <w:i w:val="0"/>
          <w:sz w:val="24"/>
        </w:rPr>
        <w:t xml:space="preserve"> unicité de matricule, email et rfid_card_id ;</w:t>
      </w:r>
    </w:p>
    <w:p>
      <w:pPr>
        <w:pStyle w:val="ListBullet"/>
        <w:spacing w:before="0" w:after="0" w:line="240" w:lineRule="auto"/>
        <w:jc w:val="both"/>
      </w:pPr>
      <w:r>
        <w:rPr>
          <w:rFonts w:ascii="Times New Roman" w:hAnsi="Times New Roman" w:cs="Times New Roman"/>
          <w:b w:val="0"/>
          <w:i w:val="0"/>
          <w:sz w:val="24"/>
        </w:rPr>
        <w:t xml:space="preserve"> stockage du template d'empreinte (longText) et non de l'image brute — principe déjà posé au chapitre I ;</w:t>
      </w:r>
    </w:p>
    <w:p>
      <w:pPr>
        <w:pStyle w:val="ListBullet"/>
        <w:spacing w:before="0" w:after="0" w:line="240" w:lineRule="auto"/>
        <w:jc w:val="both"/>
      </w:pPr>
      <w:r>
        <w:rPr>
          <w:rFonts w:ascii="Times New Roman" w:hAnsi="Times New Roman" w:cs="Times New Roman"/>
          <w:b w:val="0"/>
          <w:i w:val="0"/>
          <w:sz w:val="24"/>
        </w:rPr>
        <w:t xml:space="preserve"> drapeau rfid_card_active pour révoquer une carte sans supprimer l'historique des pointages ;</w:t>
      </w:r>
    </w:p>
    <w:p>
      <w:pPr>
        <w:pStyle w:val="ListBullet"/>
        <w:spacing w:before="0" w:after="0" w:line="240" w:lineRule="auto"/>
        <w:jc w:val="both"/>
      </w:pPr>
      <w:r>
        <w:rPr>
          <w:rFonts w:ascii="Times New Roman" w:hAnsi="Times New Roman" w:cs="Times New Roman"/>
          <w:b w:val="0"/>
          <w:i w:val="0"/>
          <w:sz w:val="24"/>
        </w:rPr>
        <w:t xml:space="preserve"> source du pointage (fingerprint, rfid, manual) pour traçabilité.</w:t>
      </w:r>
    </w:p>
    <w:p>
      <w:pPr>
        <w:spacing w:before="60" w:after="60" w:line="240" w:lineRule="auto"/>
        <w:jc w:val="both"/>
      </w:pPr>
      <w:r>
        <w:rPr>
          <w:rFonts w:ascii="Times New Roman" w:hAnsi="Times New Roman" w:cs="Times New Roman"/>
          <w:b w:val="0"/>
          <w:i w:val="0"/>
          <w:sz w:val="24"/>
        </w:rPr>
        <w:t>Les migrations Laravel matérialisent ce schéma et permettent de reproduire la base en environnement de développement (SQLite) puis de basculer vers MySQL en production sans réécrire le modèle Eloquent.</w:t>
      </w:r>
    </w:p>
    <w:p>
      <w:pPr>
        <w:spacing w:before="120" w:after="60" w:line="240" w:lineRule="auto"/>
        <w:jc w:val="both"/>
      </w:pPr>
      <w:r>
        <w:rPr>
          <w:rFonts w:ascii="Times New Roman" w:hAnsi="Times New Roman" w:cs="Times New Roman"/>
          <w:b/>
          <w:i w:val="0"/>
          <w:sz w:val="24"/>
        </w:rPr>
        <w:t>III.5. Conception du backend (API REST)</w:t>
      </w:r>
    </w:p>
    <w:p>
      <w:pPr>
        <w:spacing w:before="80" w:after="60" w:line="240" w:lineRule="auto"/>
        <w:jc w:val="both"/>
      </w:pPr>
      <w:r>
        <w:rPr>
          <w:rFonts w:ascii="Times New Roman" w:hAnsi="Times New Roman" w:cs="Times New Roman"/>
          <w:b/>
          <w:i w:val="0"/>
          <w:sz w:val="24"/>
        </w:rPr>
        <w:t>III.5.1. Organisation en couches</w:t>
      </w:r>
    </w:p>
    <w:p>
      <w:pPr>
        <w:spacing w:before="120" w:after="40"/>
        <w:jc w:val="center"/>
      </w:pPr>
      <w:r>
        <w:drawing>
          <wp:inline xmlns:a="http://schemas.openxmlformats.org/drawingml/2006/main" xmlns:pic="http://schemas.openxmlformats.org/drawingml/2006/picture">
            <wp:extent cx="3780000" cy="3568175"/>
            <wp:docPr id="8" name="Picture 8"/>
            <wp:cNvGraphicFramePr>
              <a:graphicFrameLocks noChangeAspect="1"/>
            </wp:cNvGraphicFramePr>
            <a:graphic>
              <a:graphicData uri="http://schemas.openxmlformats.org/drawingml/2006/picture">
                <pic:pic>
                  <pic:nvPicPr>
                    <pic:cNvPr id="0" name="fig_iii8_couches_backend.png"/>
                    <pic:cNvPicPr/>
                  </pic:nvPicPr>
                  <pic:blipFill>
                    <a:blip r:embed="rId16"/>
                    <a:stretch>
                      <a:fillRect/>
                    </a:stretch>
                  </pic:blipFill>
                  <pic:spPr>
                    <a:xfrm>
                      <a:off x="0" y="0"/>
                      <a:ext cx="3780000" cy="3568175"/>
                    </a:xfrm>
                    <a:prstGeom prst="rect"/>
                  </pic:spPr>
                </pic:pic>
              </a:graphicData>
            </a:graphic>
          </wp:inline>
        </w:drawing>
      </w:r>
    </w:p>
    <w:p>
      <w:pPr>
        <w:spacing w:before="40" w:after="40"/>
        <w:jc w:val="center"/>
      </w:pPr>
      <w:r>
        <w:rPr>
          <w:rFonts w:ascii="Times New Roman" w:hAnsi="Times New Roman" w:cs="Times New Roman"/>
          <w:b/>
          <w:i/>
          <w:sz w:val="22"/>
        </w:rPr>
        <w:t>Figure III.8 — Architecture en couches du backend Laravel</w:t>
      </w:r>
    </w:p>
    <w:p/>
    <w:p>
      <w:pPr>
        <w:spacing w:before="60" w:after="60" w:line="240" w:lineRule="auto"/>
        <w:jc w:val="both"/>
      </w:pPr>
      <w:r>
        <w:rPr>
          <w:rFonts w:ascii="Times New Roman" w:hAnsi="Times New Roman" w:cs="Times New Roman"/>
          <w:b w:val="0"/>
          <w:i w:val="0"/>
          <w:sz w:val="24"/>
        </w:rPr>
        <w:t>Les routes déclarées dans api.php délèguent aux contrôleurs (PresenceApiController, BiometricApiController, SpaAuthController, etc.). Les services encapsulent les appels au bridge et la journalisation. Les modèles Eloquent isolent la persistance. Cette structuration facilite les tests et limite le couplage.</w:t>
      </w:r>
    </w:p>
    <w:p>
      <w:pPr>
        <w:spacing w:before="80" w:after="60" w:line="240" w:lineRule="auto"/>
        <w:jc w:val="both"/>
      </w:pPr>
      <w:r>
        <w:rPr>
          <w:rFonts w:ascii="Times New Roman" w:hAnsi="Times New Roman" w:cs="Times New Roman"/>
          <w:b/>
          <w:i w:val="0"/>
          <w:sz w:val="24"/>
        </w:rPr>
        <w:t>III.5.2. Endpoints structurants</w:t>
      </w:r>
    </w:p>
    <w:p>
      <w:pPr>
        <w:spacing w:before="120" w:after="40"/>
        <w:jc w:val="center"/>
      </w:pPr>
      <w:r>
        <w:rPr>
          <w:rFonts w:ascii="Times New Roman" w:hAnsi="Times New Roman" w:cs="Times New Roman"/>
          <w:b/>
          <w:i/>
          <w:sz w:val="22"/>
        </w:rPr>
        <w:t>Tableau III.4 — Principaux groupes d'endpoints de l'API</w:t>
      </w:r>
    </w:p>
    <w:tbl>
      <w:tblPr>
        <w:tblStyle w:val="TableGrid"/>
        <w:tblW w:type="dxa" w:w="9072"/>
        <w:jc w:val="center"/>
        <w:tblLook w:firstColumn="1" w:firstRow="1" w:lastColumn="0" w:lastRow="0" w:noHBand="0" w:noVBand="1" w:val="04A0"/>
        <w:tblLayout w:type="fixed"/>
      </w:tblPr>
      <w:tblGrid>
        <w:gridCol w:w="1587"/>
        <w:gridCol w:w="5216"/>
        <w:gridCol w:w="2268"/>
      </w:tblGrid>
      <w:tr>
        <w:tc>
          <w:tcPr>
            <w:tcW w:type="dxa" w:w="1587"/>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Groupe</w:t>
            </w:r>
          </w:p>
        </w:tc>
        <w:tc>
          <w:tcPr>
            <w:tcW w:type="dxa" w:w="5216"/>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Exemples d'endpoints</w:t>
            </w:r>
          </w:p>
        </w:tc>
        <w:tc>
          <w:tcPr>
            <w:tcW w:type="dxa" w:w="226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Auth</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Auth</w:t>
            </w:r>
          </w:p>
        </w:tc>
        <w:tc>
          <w:tcPr>
            <w:tcW w:type="dxa" w:w="5216"/>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POST /auth/login, GET /auth/me</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Public / Sanctum</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Présences</w:t>
            </w:r>
          </w:p>
        </w:tc>
        <w:tc>
          <w:tcPr>
            <w:tcW w:type="dxa" w:w="5216"/>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GET /presence/today, POST /presence/punch, GET /presence/me</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Sanctum</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Biométrie</w:t>
            </w:r>
          </w:p>
        </w:tc>
        <w:tc>
          <w:tcPr>
            <w:tcW w:type="dxa" w:w="5216"/>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POST /biometric/scan, POST /biometric/enroll/{id}</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Sanctum</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RH</w:t>
            </w:r>
          </w:p>
        </w:tc>
        <w:tc>
          <w:tcPr>
            <w:tcW w:type="dxa" w:w="5216"/>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CRUD /employees, /leaves, /departments</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Sanctum + RBAC</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Pilotage</w:t>
            </w:r>
          </w:p>
        </w:tc>
        <w:tc>
          <w:tcPr>
            <w:tcW w:type="dxa" w:w="5216"/>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GET /reports/dashboard</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Sanctum</w:t>
            </w:r>
          </w:p>
        </w:tc>
      </w:tr>
    </w:tbl>
    <w:p/>
    <w:p>
      <w:pPr>
        <w:spacing w:before="80" w:after="60" w:line="240" w:lineRule="auto"/>
        <w:jc w:val="both"/>
      </w:pPr>
      <w:r>
        <w:rPr>
          <w:rFonts w:ascii="Times New Roman" w:hAnsi="Times New Roman" w:cs="Times New Roman"/>
          <w:b/>
          <w:i w:val="0"/>
          <w:sz w:val="24"/>
        </w:rPr>
        <w:t>III.5.3. Sécurité applicative</w:t>
      </w:r>
    </w:p>
    <w:p>
      <w:pPr>
        <w:pStyle w:val="ListBullet"/>
        <w:spacing w:before="0" w:after="0" w:line="240" w:lineRule="auto"/>
        <w:jc w:val="both"/>
      </w:pPr>
      <w:r>
        <w:rPr>
          <w:rFonts w:ascii="Times New Roman" w:hAnsi="Times New Roman" w:cs="Times New Roman"/>
          <w:b w:val="0"/>
          <w:i w:val="0"/>
          <w:sz w:val="24"/>
        </w:rPr>
        <w:t xml:space="preserve"> Sanctum : token Bearer après login, révocation à la déconnexion ;</w:t>
      </w:r>
    </w:p>
    <w:p>
      <w:pPr>
        <w:pStyle w:val="ListBullet"/>
        <w:spacing w:before="0" w:after="0" w:line="240" w:lineRule="auto"/>
        <w:jc w:val="both"/>
      </w:pPr>
      <w:r>
        <w:rPr>
          <w:rFonts w:ascii="Times New Roman" w:hAnsi="Times New Roman" w:cs="Times New Roman"/>
          <w:b w:val="0"/>
          <w:i w:val="0"/>
          <w:sz w:val="24"/>
        </w:rPr>
        <w:t xml:space="preserve"> bcrypt pour le hash des mots de passe ;</w:t>
      </w:r>
    </w:p>
    <w:p>
      <w:pPr>
        <w:pStyle w:val="ListBullet"/>
        <w:spacing w:before="0" w:after="0" w:line="240" w:lineRule="auto"/>
        <w:jc w:val="both"/>
      </w:pPr>
      <w:r>
        <w:rPr>
          <w:rFonts w:ascii="Times New Roman" w:hAnsi="Times New Roman" w:cs="Times New Roman"/>
          <w:b w:val="0"/>
          <w:i w:val="0"/>
          <w:sz w:val="24"/>
        </w:rPr>
        <w:t xml:space="preserve"> RBAC : permissions françaises (Voir employés, Valider congés, etc.) vérifiées côté serveur ;</w:t>
      </w:r>
    </w:p>
    <w:p>
      <w:pPr>
        <w:pStyle w:val="ListBullet"/>
        <w:spacing w:before="0" w:after="0" w:line="240" w:lineRule="auto"/>
        <w:jc w:val="both"/>
      </w:pPr>
      <w:r>
        <w:rPr>
          <w:rFonts w:ascii="Times New Roman" w:hAnsi="Times New Roman" w:cs="Times New Roman"/>
          <w:b w:val="0"/>
          <w:i w:val="0"/>
          <w:sz w:val="24"/>
        </w:rPr>
        <w:t xml:space="preserve"> journal d'activité pour les opérations sensibles (enrôlement, pointage, reset mot de passe) ;</w:t>
      </w:r>
    </w:p>
    <w:p>
      <w:pPr>
        <w:pStyle w:val="ListBullet"/>
        <w:spacing w:before="0" w:after="0" w:line="240" w:lineRule="auto"/>
        <w:jc w:val="both"/>
      </w:pPr>
      <w:r>
        <w:rPr>
          <w:rFonts w:ascii="Times New Roman" w:hAnsi="Times New Roman" w:cs="Times New Roman"/>
          <w:b w:val="0"/>
          <w:i w:val="0"/>
          <w:sz w:val="24"/>
        </w:rPr>
        <w:t xml:space="preserve"> validation des entrées au niveau des contrôleurs ;</w:t>
      </w:r>
    </w:p>
    <w:p>
      <w:pPr>
        <w:pStyle w:val="ListBullet"/>
        <w:spacing w:before="0" w:after="0" w:line="240" w:lineRule="auto"/>
        <w:jc w:val="both"/>
      </w:pPr>
      <w:r>
        <w:rPr>
          <w:rFonts w:ascii="Times New Roman" w:hAnsi="Times New Roman" w:cs="Times New Roman"/>
          <w:b w:val="0"/>
          <w:i w:val="0"/>
          <w:sz w:val="24"/>
        </w:rPr>
        <w:t xml:space="preserve"> clé API du bridge distincte des tokens utilisateurs.</w:t>
      </w:r>
    </w:p>
    <w:p>
      <w:pPr>
        <w:spacing w:before="60" w:after="60" w:line="240" w:lineRule="auto"/>
        <w:jc w:val="both"/>
      </w:pPr>
      <w:r>
        <w:rPr>
          <w:rFonts w:ascii="Times New Roman" w:hAnsi="Times New Roman" w:cs="Times New Roman"/>
          <w:b w:val="0"/>
          <w:i w:val="0"/>
          <w:sz w:val="24"/>
        </w:rPr>
        <w:t>Ces mécanismes couvrent EF-01, EF-02 et EF-15, et prolongent les principes de sécurité exposés au chapitre I.</w:t>
      </w:r>
    </w:p>
    <w:p>
      <w:pPr>
        <w:spacing w:before="120" w:after="60" w:line="240" w:lineRule="auto"/>
        <w:jc w:val="both"/>
      </w:pPr>
      <w:r>
        <w:rPr>
          <w:rFonts w:ascii="Times New Roman" w:hAnsi="Times New Roman" w:cs="Times New Roman"/>
          <w:b/>
          <w:i w:val="0"/>
          <w:sz w:val="24"/>
        </w:rPr>
        <w:t>III.6. Conception du frontend (interface web)</w:t>
      </w:r>
    </w:p>
    <w:p>
      <w:pPr>
        <w:spacing w:before="80" w:after="60" w:line="240" w:lineRule="auto"/>
        <w:jc w:val="both"/>
      </w:pPr>
      <w:r>
        <w:rPr>
          <w:rFonts w:ascii="Times New Roman" w:hAnsi="Times New Roman" w:cs="Times New Roman"/>
          <w:b/>
          <w:i w:val="0"/>
          <w:sz w:val="24"/>
        </w:rPr>
        <w:t>III.6.1. Structure des écrans</w:t>
      </w:r>
    </w:p>
    <w:p>
      <w:pPr>
        <w:spacing w:before="60" w:after="60" w:line="240" w:lineRule="auto"/>
        <w:jc w:val="both"/>
      </w:pPr>
      <w:r>
        <w:rPr>
          <w:rFonts w:ascii="Times New Roman" w:hAnsi="Times New Roman" w:cs="Times New Roman"/>
          <w:b w:val="0"/>
          <w:i w:val="0"/>
          <w:sz w:val="24"/>
        </w:rPr>
        <w:t>L'interface est organisée autour d'une barre latérale de navigation et d'un contenu central. Les entrées prioritaires du menu sont : Pilot de bord, Pointage, Mon espace, Présences (registre), Enrôlement biométrique, puis les modules RH (employés, congés, évaluations, rapports). Sur tablette et mobile, un tiroir de menu remplace la barre fixe.</w:t>
      </w:r>
    </w:p>
    <w:p>
      <w:pPr>
        <w:spacing w:before="120" w:after="40"/>
        <w:jc w:val="center"/>
      </w:pPr>
      <w:r>
        <w:rPr>
          <w:rFonts w:ascii="Times New Roman" w:hAnsi="Times New Roman" w:cs="Times New Roman"/>
          <w:b/>
          <w:i/>
          <w:sz w:val="22"/>
        </w:rPr>
        <w:t>Tableau III.5 — Cartographie des écrans prioritaires</w:t>
      </w:r>
    </w:p>
    <w:tbl>
      <w:tblPr>
        <w:tblStyle w:val="TableGrid"/>
        <w:tblW w:type="dxa" w:w="9072"/>
        <w:jc w:val="center"/>
        <w:tblLook w:firstColumn="1" w:firstRow="1" w:lastColumn="0" w:lastRow="0" w:noHBand="0" w:noVBand="1" w:val="04A0"/>
        <w:tblLayout w:type="fixed"/>
      </w:tblPr>
      <w:tblGrid>
        <w:gridCol w:w="1814"/>
        <w:gridCol w:w="2268"/>
        <w:gridCol w:w="4989"/>
      </w:tblGrid>
      <w:tr>
        <w:tc>
          <w:tcPr>
            <w:tcW w:type="dxa" w:w="181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Écran</w:t>
            </w:r>
          </w:p>
        </w:tc>
        <w:tc>
          <w:tcPr>
            <w:tcW w:type="dxa" w:w="226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Public cible</w:t>
            </w:r>
          </w:p>
        </w:tc>
        <w:tc>
          <w:tcPr>
            <w:tcW w:type="dxa" w:w="4989"/>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Fonctions</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Pilot de bord</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Admin RH / Manager</w:t>
            </w:r>
          </w:p>
        </w:tc>
        <w:tc>
          <w:tcPr>
            <w:tcW w:type="dxa" w:w="498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KPI, présence du jour, graphiques filtrables</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Pointage</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Accueil / RH</w:t>
            </w:r>
          </w:p>
        </w:tc>
        <w:tc>
          <w:tcPr>
            <w:tcW w:type="dxa" w:w="498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Horloge, empreinte, RFID, feed live, tableau du jour</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Mon espace</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Agent</w:t>
            </w:r>
          </w:p>
        </w:tc>
        <w:tc>
          <w:tcPr>
            <w:tcW w:type="dxa" w:w="498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Statut du jour, heures, retards, congés, évaluations</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Enrôlement</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Admin RH</w:t>
            </w:r>
          </w:p>
        </w:tc>
        <w:tc>
          <w:tcPr>
            <w:tcW w:type="dxa" w:w="498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Scan template, attribution RFID, liste enrôlés</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Congés / Employés</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RH / Manager</w:t>
            </w:r>
          </w:p>
        </w:tc>
        <w:tc>
          <w:tcPr>
            <w:tcW w:type="dxa" w:w="498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CRUD et workflows</w:t>
            </w:r>
          </w:p>
        </w:tc>
      </w:tr>
    </w:tbl>
    <w:p/>
    <w:p>
      <w:pPr>
        <w:spacing w:before="80" w:after="60" w:line="240" w:lineRule="auto"/>
        <w:jc w:val="both"/>
      </w:pPr>
      <w:r>
        <w:rPr>
          <w:rFonts w:ascii="Times New Roman" w:hAnsi="Times New Roman" w:cs="Times New Roman"/>
          <w:b/>
          <w:i w:val="0"/>
          <w:sz w:val="24"/>
        </w:rPr>
        <w:t>III.6.2. Terminal de pointage et espace agent</w:t>
      </w:r>
    </w:p>
    <w:p>
      <w:pPr>
        <w:spacing w:before="60" w:after="60" w:line="240" w:lineRule="auto"/>
        <w:jc w:val="both"/>
      </w:pPr>
      <w:r>
        <w:rPr>
          <w:rFonts w:ascii="Times New Roman" w:hAnsi="Times New Roman" w:cs="Times New Roman"/>
          <w:b w:val="0"/>
          <w:i w:val="0"/>
          <w:sz w:val="24"/>
        </w:rPr>
        <w:t>Le terminal de pointage est conçu comme un poste opérationnel : horloge temps réel, actions Empreinte / RFID, résultat immédiat, flux live et tableau filtrable (présents, sortis, non arrivés, absents). Il matérialise M3/M4 au centre de l'expérience utilisateur.</w:t>
      </w:r>
    </w:p>
    <w:p>
      <w:pPr>
        <w:spacing w:before="60" w:after="60" w:line="240" w:lineRule="auto"/>
        <w:jc w:val="both"/>
      </w:pPr>
      <w:r>
        <w:rPr>
          <w:rFonts w:ascii="Times New Roman" w:hAnsi="Times New Roman" w:cs="Times New Roman"/>
          <w:b w:val="0"/>
          <w:i w:val="0"/>
          <w:sz w:val="24"/>
        </w:rPr>
        <w:t>Mon espace répond à EF-14 : l'agent voit uniquement ses données (statut du jour, série d'heures et de retards, évaluations, congés). Cette limitation est appliquée côté API via le rattachement user.employee_id, et non seulement par masquage d'écran.</w:t>
      </w:r>
    </w:p>
    <w:p>
      <w:pPr>
        <w:spacing w:before="80" w:after="60" w:line="240" w:lineRule="auto"/>
        <w:jc w:val="both"/>
      </w:pPr>
      <w:r>
        <w:rPr>
          <w:rFonts w:ascii="Times New Roman" w:hAnsi="Times New Roman" w:cs="Times New Roman"/>
          <w:b/>
          <w:i w:val="0"/>
          <w:sz w:val="24"/>
        </w:rPr>
        <w:t>III.6.3. Ergonomie et personnalisation du dashboard</w:t>
      </w:r>
    </w:p>
    <w:p>
      <w:pPr>
        <w:spacing w:before="60" w:after="60" w:line="240" w:lineRule="auto"/>
        <w:jc w:val="both"/>
      </w:pPr>
      <w:r>
        <w:rPr>
          <w:rFonts w:ascii="Times New Roman" w:hAnsi="Times New Roman" w:cs="Times New Roman"/>
          <w:b w:val="0"/>
          <w:i w:val="0"/>
          <w:sz w:val="24"/>
        </w:rPr>
        <w:t>Le tableau de bord expose de nombreux indicateurs. Pour éviter la surcharge visuelle, la conception prévoit un panneau « Personnaliser l'affichage » : l'utilisateur choisit les blocs et graphiques visibles ; le choix est mémorisé localement. Par défaut, seuls les essentiels (KPI, présence du jour, masse salariale, départements, présences/absences, activité) sont affichés.</w:t>
      </w:r>
    </w:p>
    <w:p>
      <w:pPr>
        <w:spacing w:before="120" w:after="60" w:line="240" w:lineRule="auto"/>
        <w:jc w:val="both"/>
      </w:pPr>
      <w:r>
        <w:rPr>
          <w:rFonts w:ascii="Times New Roman" w:hAnsi="Times New Roman" w:cs="Times New Roman"/>
          <w:b/>
          <w:i w:val="0"/>
          <w:sz w:val="24"/>
        </w:rPr>
        <w:t>III.7. Conception du sous-système biométrique</w:t>
      </w:r>
    </w:p>
    <w:p>
      <w:pPr>
        <w:spacing w:before="80" w:after="60" w:line="240" w:lineRule="auto"/>
        <w:jc w:val="both"/>
      </w:pPr>
      <w:r>
        <w:rPr>
          <w:rFonts w:ascii="Times New Roman" w:hAnsi="Times New Roman" w:cs="Times New Roman"/>
          <w:b/>
          <w:i w:val="0"/>
          <w:sz w:val="24"/>
        </w:rPr>
        <w:t>III.7.1. Architecture du Fingerprint Bridge</w:t>
      </w:r>
    </w:p>
    <w:p>
      <w:pPr>
        <w:spacing w:before="60" w:after="60" w:line="240" w:lineRule="auto"/>
        <w:jc w:val="both"/>
      </w:pPr>
      <w:r>
        <w:rPr>
          <w:rFonts w:ascii="Times New Roman" w:hAnsi="Times New Roman" w:cs="Times New Roman"/>
          <w:b w:val="0"/>
          <w:i w:val="0"/>
          <w:sz w:val="24"/>
        </w:rPr>
        <w:t>Le bridge est une application .NET Windows publiée en mode self-contained (win-x86) pour cohabiter avec le SDK ZKFinger. En production, il s'exécute en mode --headless : pas d'interface obligatoire, écoute HTTP sur le port 5002, journalisation dans le profil applicatif. Les endpoints structurants sont GET /status, POST /scan et POST /match.</w:t>
      </w:r>
    </w:p>
    <w:p>
      <w:pPr>
        <w:spacing w:before="80" w:after="60" w:line="240" w:lineRule="auto"/>
        <w:jc w:val="both"/>
      </w:pPr>
      <w:r>
        <w:rPr>
          <w:rFonts w:ascii="Times New Roman" w:hAnsi="Times New Roman" w:cs="Times New Roman"/>
          <w:b/>
          <w:i w:val="0"/>
          <w:sz w:val="24"/>
        </w:rPr>
        <w:t>III.7.2. Protocole bridge ↔ backend</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Laravel appelle le bridge avec l'en-tête X-API-KEY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/scan renvoie un template Base64 issu du ZK-9500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/match compare ce template à la galerie des agents enrôlés (id, template_b64) et renvoie le meilleur score ;</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PresenceApiController n'enregistre le pointage que si le score dépasse le seuil paramétré (fingerprint_match_threshold).</w:t>
      </w:r>
    </w:p>
    <w:p>
      <w:pPr>
        <w:spacing w:before="60" w:after="60" w:line="240" w:lineRule="auto"/>
        <w:jc w:val="both"/>
      </w:pPr>
      <w:r>
        <w:rPr>
          <w:rFonts w:ascii="Times New Roman" w:hAnsi="Times New Roman" w:cs="Times New Roman"/>
          <w:b w:val="0"/>
          <w:i w:val="0"/>
          <w:sz w:val="24"/>
        </w:rPr>
        <w:t>Pour le RFID, l'identification est directe en base (rfid_card_id + rfid_card_active). La même règle entrée/sortie s'applique, indépendamment de la modalité (EF-05, EF-06).</w:t>
      </w:r>
    </w:p>
    <w:p>
      <w:pPr>
        <w:spacing w:before="80" w:after="60" w:line="240" w:lineRule="auto"/>
        <w:jc w:val="both"/>
      </w:pPr>
      <w:r>
        <w:rPr>
          <w:rFonts w:ascii="Times New Roman" w:hAnsi="Times New Roman" w:cs="Times New Roman"/>
          <w:b/>
          <w:i w:val="0"/>
          <w:sz w:val="24"/>
        </w:rPr>
        <w:t>III.7.3. Installateur one-touch et sécurisation</w:t>
      </w:r>
    </w:p>
    <w:p>
      <w:pPr>
        <w:spacing w:before="60" w:after="60" w:line="240" w:lineRule="auto"/>
        <w:jc w:val="both"/>
      </w:pPr>
      <w:r>
        <w:rPr>
          <w:rFonts w:ascii="Times New Roman" w:hAnsi="Times New Roman" w:cs="Times New Roman"/>
          <w:b w:val="0"/>
          <w:i w:val="0"/>
          <w:sz w:val="24"/>
        </w:rPr>
        <w:t>Le kit d'installation Windows (INSTALLER.bat) copie le payload, intègre les DLL ZK disponibles, fixe la clé API machine, crée une tâche de démarrage à l'ouverture de session, ouvre le port 5002 en pare-feu et lance immédiatement le service. La clé peut également être stockée via DPAPI LocalMachine côté bridge. Cette conception répond à la contrainte C-06 (prototype démontrable sur un poste unique) tout en préparant la duplication sur plusieurs terminaux.</w:t>
      </w:r>
    </w:p>
    <w:p>
      <w:pPr>
        <w:spacing w:before="120" w:after="60" w:line="240" w:lineRule="auto"/>
        <w:jc w:val="both"/>
      </w:pPr>
      <w:r>
        <w:rPr>
          <w:rFonts w:ascii="Times New Roman" w:hAnsi="Times New Roman" w:cs="Times New Roman"/>
          <w:b/>
          <w:i w:val="0"/>
          <w:sz w:val="24"/>
        </w:rPr>
        <w:t>III.8. Conception des modules métier RH</w:t>
      </w:r>
    </w:p>
    <w:p>
      <w:pPr>
        <w:spacing w:before="60" w:after="60" w:line="240" w:lineRule="auto"/>
        <w:jc w:val="both"/>
      </w:pPr>
      <w:r>
        <w:rPr>
          <w:rFonts w:ascii="Times New Roman" w:hAnsi="Times New Roman" w:cs="Times New Roman"/>
          <w:b w:val="0"/>
          <w:i w:val="0"/>
          <w:sz w:val="24"/>
        </w:rPr>
        <w:t>Les huit modules du cahier des charges sont conçus comme des périmètres fonctionnels partageant le même socle technique. Le tableau III.6 en rappelle la conception cible.</w:t>
      </w:r>
    </w:p>
    <w:p>
      <w:pPr>
        <w:spacing w:before="120" w:after="40"/>
        <w:jc w:val="center"/>
      </w:pPr>
      <w:r>
        <w:rPr>
          <w:rFonts w:ascii="Times New Roman" w:hAnsi="Times New Roman" w:cs="Times New Roman"/>
          <w:b/>
          <w:i/>
          <w:sz w:val="22"/>
        </w:rPr>
        <w:t>Tableau III.6 — Conception synthétique des huit modules</w:t>
      </w:r>
    </w:p>
    <w:tbl>
      <w:tblPr>
        <w:tblStyle w:val="TableGrid"/>
        <w:tblW w:type="dxa" w:w="9072"/>
        <w:jc w:val="center"/>
        <w:tblLook w:firstColumn="1" w:firstRow="1" w:lastColumn="0" w:lastRow="0" w:noHBand="0" w:noVBand="1" w:val="04A0"/>
        <w:tblLayout w:type="fixed"/>
      </w:tblPr>
      <w:tblGrid>
        <w:gridCol w:w="1701"/>
        <w:gridCol w:w="3685"/>
        <w:gridCol w:w="3685"/>
      </w:tblGrid>
      <w:tr>
        <w:tc>
          <w:tcPr>
            <w:tcW w:type="dxa" w:w="170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Module</w:t>
            </w:r>
          </w:p>
        </w:tc>
        <w:tc>
          <w:tcPr>
            <w:tcW w:type="dxa" w:w="368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Conception clé</w:t>
            </w:r>
          </w:p>
        </w:tc>
        <w:tc>
          <w:tcPr>
            <w:tcW w:type="dxa" w:w="368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Artefacts</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M1 Accès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Login Sanctum, rôles, audit</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SpaAuth, Role, ActivityLog</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M2 Employés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Dossier unique, affectation</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Employee, Department</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M3 Biométrie</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Enrôlement ZK/RFID</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BiometricApi, Bridge</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M4 Présences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Entrée/sortie, retard, feed</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PresenceApi, Attendance</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M5 Congés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Workflow Agent→Manager→RH</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LeaveApi</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M6 Rémunération</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États indicatifs exportables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RemunerationElement</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M7 Évaluation</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Grille, score, historique</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PerformanceEvaluation</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M8 Rapports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KPI et graphiques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ReportApi, dashboard</w:t>
            </w:r>
          </w:p>
        </w:tc>
      </w:tr>
    </w:tbl>
    <w:p/>
    <w:p>
      <w:pPr>
        <w:spacing w:before="60" w:after="60" w:line="240" w:lineRule="auto"/>
        <w:jc w:val="both"/>
      </w:pPr>
      <w:r>
        <w:rPr>
          <w:rFonts w:ascii="Times New Roman" w:hAnsi="Times New Roman" w:cs="Times New Roman"/>
          <w:b w:val="0"/>
          <w:i w:val="0"/>
          <w:sz w:val="24"/>
        </w:rPr>
        <w:t>M6 respecte la règle institutionnelle rappelée dès l'introduction : SGRH Pro produit des états administratifs ; la direction financière exécute les virements bancaires. Aucun module de virement n'est conçu dans le périmètre du mémoire.</w:t>
      </w:r>
    </w:p>
    <w:p>
      <w:pPr>
        <w:spacing w:before="60" w:after="60" w:line="240" w:lineRule="auto"/>
        <w:jc w:val="both"/>
      </w:pPr>
      <w:r>
        <w:rPr>
          <w:rFonts w:ascii="Times New Roman" w:hAnsi="Times New Roman" w:cs="Times New Roman"/>
          <w:b w:val="0"/>
          <w:i w:val="0"/>
          <w:sz w:val="24"/>
        </w:rPr>
        <w:t>Les domaines secondaires éventuellement présents dans le code (contrats, formation, recrutement) restent hors du cœur de conception du chapitre III, conformément au recentrage décidé au chapitre II.</w:t>
      </w:r>
    </w:p>
    <w:p>
      <w:pPr>
        <w:spacing w:before="120" w:after="60" w:line="240" w:lineRule="auto"/>
        <w:jc w:val="both"/>
      </w:pPr>
      <w:r>
        <w:rPr>
          <w:rFonts w:ascii="Times New Roman" w:hAnsi="Times New Roman" w:cs="Times New Roman"/>
          <w:b/>
          <w:i w:val="0"/>
          <w:sz w:val="24"/>
        </w:rPr>
        <w:t>III.9. Conception de la dimension intelligente</w:t>
      </w:r>
    </w:p>
    <w:p>
      <w:pPr>
        <w:spacing w:before="80" w:after="60" w:line="240" w:lineRule="auto"/>
        <w:jc w:val="both"/>
      </w:pPr>
      <w:r>
        <w:rPr>
          <w:rFonts w:ascii="Times New Roman" w:hAnsi="Times New Roman" w:cs="Times New Roman"/>
          <w:b/>
          <w:i w:val="0"/>
          <w:sz w:val="24"/>
        </w:rPr>
        <w:t>III.9.1. Indicateurs KPI</w:t>
      </w:r>
    </w:p>
    <w:p>
      <w:pPr>
        <w:spacing w:before="60" w:after="60" w:line="240" w:lineRule="auto"/>
        <w:jc w:val="both"/>
      </w:pPr>
      <w:r>
        <w:rPr>
          <w:rFonts w:ascii="Times New Roman" w:hAnsi="Times New Roman" w:cs="Times New Roman"/>
          <w:b w:val="0"/>
          <w:i w:val="0"/>
          <w:sz w:val="24"/>
        </w:rPr>
        <w:t>La dimension « intelligente » retenue est celle de l'aide à la décision opérationnelle, non celle du machine learning. Les KPI calculés automatiquement incluent notamment : effectif actif, taux d'absence, retards du jour, inscriptions/évaluations, congés en attente, taux de présence journalier.</w:t>
      </w:r>
    </w:p>
    <w:p>
      <w:pPr>
        <w:spacing w:before="80" w:after="60" w:line="240" w:lineRule="auto"/>
        <w:jc w:val="both"/>
      </w:pPr>
      <w:r>
        <w:rPr>
          <w:rFonts w:ascii="Times New Roman" w:hAnsi="Times New Roman" w:cs="Times New Roman"/>
          <w:b/>
          <w:i w:val="0"/>
          <w:sz w:val="24"/>
        </w:rPr>
        <w:t>III.9.2. Alertes et tableaux de bord</w:t>
      </w:r>
    </w:p>
    <w:p>
      <w:pPr>
        <w:pStyle w:val="ListBullet"/>
        <w:spacing w:before="0" w:after="0" w:line="240" w:lineRule="auto"/>
        <w:jc w:val="both"/>
      </w:pPr>
      <w:r>
        <w:rPr>
          <w:rFonts w:ascii="Times New Roman" w:hAnsi="Times New Roman" w:cs="Times New Roman"/>
          <w:b w:val="0"/>
          <w:i w:val="0"/>
          <w:sz w:val="24"/>
        </w:rPr>
        <w:t xml:space="preserve"> alertes de retard et d'absence après l'heure limite ;</w:t>
      </w:r>
    </w:p>
    <w:p>
      <w:pPr>
        <w:pStyle w:val="ListBullet"/>
        <w:spacing w:before="0" w:after="0" w:line="240" w:lineRule="auto"/>
        <w:jc w:val="both"/>
      </w:pPr>
      <w:r>
        <w:rPr>
          <w:rFonts w:ascii="Times New Roman" w:hAnsi="Times New Roman" w:cs="Times New Roman"/>
          <w:b w:val="0"/>
          <w:i w:val="0"/>
          <w:sz w:val="24"/>
        </w:rPr>
        <w:t xml:space="preserve"> congés en attente de validation ;</w:t>
      </w:r>
    </w:p>
    <w:p>
      <w:pPr>
        <w:pStyle w:val="ListBullet"/>
        <w:spacing w:before="0" w:after="0" w:line="240" w:lineRule="auto"/>
        <w:jc w:val="both"/>
      </w:pPr>
      <w:r>
        <w:rPr>
          <w:rFonts w:ascii="Times New Roman" w:hAnsi="Times New Roman" w:cs="Times New Roman"/>
          <w:b w:val="0"/>
          <w:i w:val="0"/>
          <w:sz w:val="24"/>
        </w:rPr>
        <w:t xml:space="preserve"> notifications métier consultables dans l'interface ;</w:t>
      </w:r>
    </w:p>
    <w:p>
      <w:pPr>
        <w:pStyle w:val="ListBullet"/>
        <w:spacing w:before="0" w:after="0" w:line="240" w:lineRule="auto"/>
        <w:jc w:val="both"/>
      </w:pPr>
      <w:r>
        <w:rPr>
          <w:rFonts w:ascii="Times New Roman" w:hAnsi="Times New Roman" w:cs="Times New Roman"/>
          <w:b w:val="0"/>
          <w:i w:val="0"/>
          <w:sz w:val="24"/>
        </w:rPr>
        <w:t xml:space="preserve"> dashboards différenciés : vue institutionnelle (RH), vue équipe (Manager), vue personnelle (Agent).</w:t>
      </w:r>
    </w:p>
    <w:p>
      <w:pPr>
        <w:spacing w:before="60" w:after="60" w:line="240" w:lineRule="auto"/>
        <w:jc w:val="both"/>
      </w:pPr>
      <w:r>
        <w:rPr>
          <w:rFonts w:ascii="Times New Roman" w:hAnsi="Times New Roman" w:cs="Times New Roman"/>
          <w:b w:val="0"/>
          <w:i w:val="0"/>
          <w:sz w:val="24"/>
        </w:rPr>
        <w:t>La personnalisation des graphiques du pilot de bord fait partie de la conception UX : elle réduit le bruit informationnel tout en conservant la richesse analytique pour la soutenance et l'exploitation quotidienne.</w:t>
      </w:r>
    </w:p>
    <w:p>
      <w:pPr>
        <w:spacing w:before="120" w:after="60" w:line="240" w:lineRule="auto"/>
        <w:jc w:val="both"/>
      </w:pPr>
      <w:r>
        <w:rPr>
          <w:rFonts w:ascii="Times New Roman" w:hAnsi="Times New Roman" w:cs="Times New Roman"/>
          <w:b/>
          <w:i w:val="0"/>
          <w:sz w:val="24"/>
        </w:rPr>
        <w:t>III.10. Stratégie d'hébergement et déploiement</w:t>
      </w:r>
    </w:p>
    <w:p>
      <w:pPr>
        <w:spacing w:before="80" w:after="60" w:line="240" w:lineRule="auto"/>
        <w:jc w:val="both"/>
      </w:pPr>
      <w:r>
        <w:rPr>
          <w:rFonts w:ascii="Times New Roman" w:hAnsi="Times New Roman" w:cs="Times New Roman"/>
          <w:b/>
          <w:i w:val="0"/>
          <w:sz w:val="24"/>
        </w:rPr>
        <w:t>III.10.1. Options retenues</w:t>
      </w:r>
    </w:p>
    <w:p>
      <w:pPr>
        <w:spacing w:before="60" w:after="60" w:line="240" w:lineRule="auto"/>
        <w:jc w:val="both"/>
      </w:pPr>
      <w:r>
        <w:rPr>
          <w:rFonts w:ascii="Times New Roman" w:hAnsi="Times New Roman" w:cs="Times New Roman"/>
          <w:b w:val="0"/>
          <w:i w:val="0"/>
          <w:sz w:val="24"/>
        </w:rPr>
        <w:t>Pour le prototype institutionnel, l'hébergement mutualisé PHP/MySQL est retenu comme cible de production légère : il correspond aux offres courantes (Hostinger et équivalents) et justifie Laravel. Le bridge, lui, ne peut pas y résider : il s'installe sur chaque PC de pointage Windows.</w:t>
      </w:r>
    </w:p>
    <w:p>
      <w:pPr>
        <w:spacing w:before="120" w:after="40"/>
        <w:jc w:val="center"/>
      </w:pPr>
      <w:r>
        <w:rPr>
          <w:rFonts w:ascii="Times New Roman" w:hAnsi="Times New Roman" w:cs="Times New Roman"/>
          <w:b/>
          <w:i/>
          <w:sz w:val="22"/>
        </w:rPr>
        <w:t>Tableau III.7 — Environnements de déploiement</w:t>
      </w:r>
    </w:p>
    <w:tbl>
      <w:tblPr>
        <w:tblStyle w:val="TableGrid"/>
        <w:tblW w:type="dxa" w:w="9072"/>
        <w:jc w:val="center"/>
        <w:tblLook w:firstColumn="1" w:firstRow="1" w:lastColumn="0" w:lastRow="0" w:noHBand="0" w:noVBand="1" w:val="04A0"/>
        <w:tblLayout w:type="fixed"/>
      </w:tblPr>
      <w:tblGrid>
        <w:gridCol w:w="2268"/>
        <w:gridCol w:w="2551"/>
        <w:gridCol w:w="1984"/>
        <w:gridCol w:w="2268"/>
      </w:tblGrid>
      <w:tr>
        <w:tc>
          <w:tcPr>
            <w:tcW w:type="dxa" w:w="226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Environnement</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Backend</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Base</w:t>
            </w:r>
          </w:p>
        </w:tc>
        <w:tc>
          <w:tcPr>
            <w:tcW w:type="dxa" w:w="226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Bridge</w:t>
            </w:r>
          </w:p>
        </w:tc>
      </w:tr>
      <w:tr>
        <w:tc>
          <w:tcPr>
            <w:tcW w:type="dxa" w:w="226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Développement</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php artisan serve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SQLite</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localhost:5002</w:t>
            </w:r>
          </w:p>
        </w:tc>
      </w:tr>
      <w:tr>
        <w:tc>
          <w:tcPr>
            <w:tcW w:type="dxa" w:w="226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Démonstration poste RH</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Laravel local/serveur</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SQLite/MySQL</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Installateur one-touch</w:t>
            </w:r>
          </w:p>
        </w:tc>
      </w:tr>
      <w:tr>
        <w:tc>
          <w:tcPr>
            <w:tcW w:type="dxa" w:w="226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Production cible</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Hébergement PHP</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MySQL</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PC terminal(s) Windows</w:t>
            </w:r>
          </w:p>
        </w:tc>
      </w:tr>
    </w:tbl>
    <w:p/>
    <w:p>
      <w:pPr>
        <w:spacing w:before="80" w:after="60" w:line="240" w:lineRule="auto"/>
        <w:jc w:val="both"/>
      </w:pPr>
      <w:r>
        <w:rPr>
          <w:rFonts w:ascii="Times New Roman" w:hAnsi="Times New Roman" w:cs="Times New Roman"/>
          <w:b/>
          <w:i w:val="0"/>
          <w:sz w:val="24"/>
        </w:rPr>
        <w:t>III.10.2. Démonstration sur poste unique</w:t>
      </w:r>
    </w:p>
    <w:p>
      <w:pPr>
        <w:spacing w:before="60" w:after="60" w:line="240" w:lineRule="auto"/>
        <w:jc w:val="both"/>
      </w:pPr>
      <w:r>
        <w:rPr>
          <w:rFonts w:ascii="Times New Roman" w:hAnsi="Times New Roman" w:cs="Times New Roman"/>
          <w:b w:val="0"/>
          <w:i w:val="0"/>
          <w:sz w:val="24"/>
        </w:rPr>
        <w:t>Le scénario de soutenance et de validation (critères d'acceptation du chapitre II) suppose un poste unique : navigateur + API + bridge + ZK-9500. Cette configuration couvre C-06 et permet d'enchaîner enrôlement, pointage réel, consultation KPI et espace agent sans infrastructure complexe.</w:t>
      </w:r>
    </w:p>
    <w:p>
      <w:pPr>
        <w:spacing w:before="120" w:after="60" w:line="240" w:lineRule="auto"/>
        <w:jc w:val="both"/>
      </w:pPr>
      <w:r>
        <w:rPr>
          <w:rFonts w:ascii="Times New Roman" w:hAnsi="Times New Roman" w:cs="Times New Roman"/>
          <w:b/>
          <w:i w:val="0"/>
          <w:sz w:val="24"/>
        </w:rPr>
        <w:t>III.11. Conclusion du chapitre</w:t>
      </w:r>
    </w:p>
    <w:p>
      <w:pPr>
        <w:spacing w:before="60" w:after="60" w:line="240" w:lineRule="auto"/>
        <w:jc w:val="both"/>
      </w:pPr>
      <w:r>
        <w:rPr>
          <w:rFonts w:ascii="Times New Roman" w:hAnsi="Times New Roman" w:cs="Times New Roman"/>
          <w:b w:val="0"/>
          <w:i w:val="0"/>
          <w:sz w:val="24"/>
        </w:rPr>
        <w:t>Ce chapitre a transformé le cahier des charges en architecture opérationnelle. L'organisation en couches Laravel, le schéma de données centré sur Employee/Attendance, les diagrammes UML et la conception du bridge biométrique constituent le référentiel de construction du prototype.</w:t>
      </w:r>
    </w:p>
    <w:p>
      <w:pPr>
        <w:spacing w:before="60" w:after="60" w:line="240" w:lineRule="auto"/>
        <w:jc w:val="both"/>
      </w:pPr>
      <w:r>
        <w:rPr>
          <w:rFonts w:ascii="Times New Roman" w:hAnsi="Times New Roman" w:cs="Times New Roman"/>
          <w:b w:val="0"/>
          <w:i w:val="0"/>
          <w:sz w:val="24"/>
        </w:rPr>
        <w:t>Le pointage — entrée le matin, sortie en fin de journée, identification empreinte ou RFID — y apparaît comme le fil conducteur technique et fonctionnel, en cohérence avec la problématique du mémoire et avec l'application réalisée. Le chapitre IV décrira l'implémentation effective, les tests et la validation de ces choix de conception.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