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  <w:shd w:val="clear" w:color="auto" w:fill="EFEFEF"/>
          </w:tcPr>
          <w:p>
            <w:pPr>
              <w:jc w:val="center"/>
            </w:pPr>
            <w:r>
              <w:rPr>
                <w:b/>
              </w:rPr>
              <w:t>Descrição do Mapa Conceitual – Domínio de problema: Colesterol Alto</w:t>
            </w:r>
          </w:p>
        </w:tc>
      </w:tr>
      <w:tr>
        <w:tc>
          <w:tcPr>
            <w:tcW w:type="dxa" w:w="8640"/>
            <w:gridSpan w:val="3"/>
            <w:shd w:val="clear" w:color="auto" w:fill="EFEFEF"/>
          </w:tcPr>
          <w:p>
            <w:pPr>
              <w:jc w:val="center"/>
            </w:pPr>
            <w:r>
              <w:rPr>
                <w:b/>
              </w:rPr>
              <w:t>Dimensão: Demografia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Aspectos (conhecimento explícito e estudo científico vinculado)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Atributos associados ao aspecto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Atributos vinculados com as fontes de dados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Características do Indivíduo:</w:t>
            </w:r>
            <w:r>
              <w:t xml:space="preserve"> Fatores sociodemográficos básicos como idade, sexo e etnia são primordiais no rastreamento de riscos cardiovasculares e perfil lipídico (Gale e Gillespie 2001).</w:t>
            </w:r>
          </w:p>
        </w:tc>
        <w:tc>
          <w:tcPr>
            <w:tcW w:type="dxa" w:w="2160"/>
          </w:tcPr>
          <w:p>
            <w:r>
              <w:t>- Idade</w:t>
              <w:br/>
              <w:t>- Sexo</w:t>
              <w:br/>
              <w:t>- Raça/Etnia</w:t>
            </w:r>
          </w:p>
        </w:tc>
        <w:tc>
          <w:tcPr>
            <w:tcW w:type="dxa" w:w="2880"/>
          </w:tcPr>
          <w:p>
            <w:r>
              <w:t>Módulo C – Características Gerais dos Moradores: C006, C008, C009;</w:t>
              <w:br/>
              <w:t>Fonte: BD-PNS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Antropometria:</w:t>
            </w:r>
            <w:r>
              <w:t xml:space="preserve"> Medidas como peso e altura determinam o IMC, que é o principal indicador de sobrepeso e obesidade, fortemente associados à dislipidemia e doenças crônicas (Leong e Wilding, 1999).</w:t>
            </w:r>
          </w:p>
        </w:tc>
        <w:tc>
          <w:tcPr>
            <w:tcW w:type="dxa" w:w="2160"/>
          </w:tcPr>
          <w:p>
            <w:r>
              <w:t>- Peso</w:t>
              <w:br/>
              <w:t>- Altura</w:t>
              <w:br/>
              <w:t>- IMC</w:t>
              <w:br/>
              <w:t>- Sobrepeso</w:t>
              <w:br/>
              <w:t>- Obesidade</w:t>
            </w:r>
          </w:p>
        </w:tc>
        <w:tc>
          <w:tcPr>
            <w:tcW w:type="dxa" w:w="2880"/>
          </w:tcPr>
          <w:p>
            <w:r>
              <w:t>Módulo W – Antropometria: W00101, W00201;</w:t>
              <w:br/>
              <w:t>Módulo P – Estilos de Vida (Peso/Altura referidos): P00104, P00404;</w:t>
              <w:br/>
              <w:t>Fonte: BD-PNS</w:t>
            </w:r>
          </w:p>
        </w:tc>
      </w:tr>
      <w:tr>
        <w:tc>
          <w:tcPr>
            <w:tcW w:type="dxa" w:w="8640"/>
            <w:gridSpan w:val="3"/>
            <w:shd w:val="clear" w:color="auto" w:fill="EFEFEF"/>
          </w:tcPr>
          <w:p>
            <w:pPr>
              <w:jc w:val="center"/>
            </w:pPr>
            <w:r>
              <w:rPr>
                <w:b/>
              </w:rPr>
              <w:t>Dimensão: Condições de Saúde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Aspectos (conhecimento explícito e estudo científico vinculado)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Atributos associados ao aspecto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Atributos vinculados com as fontes de dados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Doenças Crônicas Não Transmissíveis:</w:t>
            </w:r>
            <w:r>
              <w:t xml:space="preserve"> Comorbidades como hipertensão arterial e diabetes mellitus frequentemente coexistem com o colesterol alto, configurando a síndrome metabólica que agrava o risco cardiovascular (Grundy et al. 2004).</w:t>
            </w:r>
          </w:p>
        </w:tc>
        <w:tc>
          <w:tcPr>
            <w:tcW w:type="dxa" w:w="2160"/>
          </w:tcPr>
          <w:p>
            <w:r>
              <w:t>- Hipertensão arterial</w:t>
              <w:br/>
              <w:t>- Diabetes mellitus</w:t>
              <w:br/>
              <w:t>- Anemia</w:t>
            </w:r>
          </w:p>
        </w:tc>
        <w:tc>
          <w:tcPr>
            <w:tcW w:type="dxa" w:w="2880"/>
          </w:tcPr>
          <w:p>
            <w:r>
              <w:t>Módulo Q – Doenças Crônicas: Q002 (Hipertensão), Q030 (Diabetes);</w:t>
              <w:br/>
              <w:t>Fonte: BD-PNS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Autoavaliação de Saúde:</w:t>
            </w:r>
            <w:r>
              <w:t xml:space="preserve"> A percepção do estado de saúde geral é um indicador confiável da qualidade de vida do indivíduo e do risco de morbidade geral.</w:t>
            </w:r>
          </w:p>
        </w:tc>
        <w:tc>
          <w:tcPr>
            <w:tcW w:type="dxa" w:w="2160"/>
          </w:tcPr>
          <w:p>
            <w:r>
              <w:t>- Percepção do estado de saúde</w:t>
            </w:r>
          </w:p>
        </w:tc>
        <w:tc>
          <w:tcPr>
            <w:tcW w:type="dxa" w:w="2880"/>
          </w:tcPr>
          <w:p>
            <w:r>
              <w:t>Módulo N – Percepção do Estado de Saúde: N001;</w:t>
              <w:br/>
              <w:t>Fonte: BD-PNS</w:t>
            </w:r>
          </w:p>
        </w:tc>
      </w:tr>
      <w:tr>
        <w:tc>
          <w:tcPr>
            <w:tcW w:type="dxa" w:w="8640"/>
            <w:gridSpan w:val="3"/>
            <w:shd w:val="clear" w:color="auto" w:fill="EFEFEF"/>
          </w:tcPr>
          <w:p>
            <w:pPr>
              <w:jc w:val="center"/>
            </w:pPr>
            <w:r>
              <w:rPr>
                <w:b/>
              </w:rPr>
              <w:t>Dimensão: Característica Socioeconômica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Aspectos (conhecimento explícito e estudo científico vinculado)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Atributos associados ao aspecto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Atributos vinculados com as fontes de dados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Aspecto Social:</w:t>
            </w:r>
            <w:r>
              <w:t xml:space="preserve"> O nível de escolaridade e o local de residência impactam a alfabetização em saúde, além da disponibilidade de opções alimentares saudáveis e serviços de rastreamento (Zhang et al 2012).</w:t>
            </w:r>
          </w:p>
        </w:tc>
        <w:tc>
          <w:tcPr>
            <w:tcW w:type="dxa" w:w="2160"/>
          </w:tcPr>
          <w:p>
            <w:r>
              <w:t>- Escolaridade</w:t>
              <w:br/>
              <w:t>- Local de Residência (Região, Urbano/Rural)</w:t>
              <w:br/>
              <w:t>- Acesso a serviço de saúde</w:t>
            </w:r>
          </w:p>
        </w:tc>
        <w:tc>
          <w:tcPr>
            <w:tcW w:type="dxa" w:w="2880"/>
          </w:tcPr>
          <w:p>
            <w:r>
              <w:t>Módulo D – Educação: D009;</w:t>
              <w:br/>
              <w:t>Módulo V – Identificação: V0026;</w:t>
              <w:br/>
              <w:t>Módulo J – Utilização de Serviços de Saúde: J001, J01101;</w:t>
              <w:br/>
              <w:t>Fonte: BD-PNS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Aspecto Econômico:</w:t>
            </w:r>
            <w:r>
              <w:t xml:space="preserve"> A renda familiar e a condição de trabalho determinam o poder aquisitivo para dietas equilibradas e o acesso contínuo a tratamentos médicos (Bird 2015).</w:t>
            </w:r>
          </w:p>
        </w:tc>
        <w:tc>
          <w:tcPr>
            <w:tcW w:type="dxa" w:w="2160"/>
          </w:tcPr>
          <w:p>
            <w:r>
              <w:t>- Renda Familiar</w:t>
              <w:br/>
              <w:t>- Condição de Trabalho</w:t>
            </w:r>
          </w:p>
        </w:tc>
        <w:tc>
          <w:tcPr>
            <w:tcW w:type="dxa" w:w="2880"/>
          </w:tcPr>
          <w:p>
            <w:r>
              <w:t>Módulo E – Trabalho: E001, E01602;</w:t>
              <w:br/>
              <w:t>Módulo V – Rendimento: VDF002, VDF003;</w:t>
              <w:br/>
              <w:t>Fonte: BD-PNS</w:t>
            </w:r>
          </w:p>
        </w:tc>
      </w:tr>
      <w:tr>
        <w:tc>
          <w:tcPr>
            <w:tcW w:type="dxa" w:w="8640"/>
            <w:gridSpan w:val="3"/>
            <w:shd w:val="clear" w:color="auto" w:fill="EFEFEF"/>
          </w:tcPr>
          <w:p>
            <w:pPr>
              <w:jc w:val="center"/>
            </w:pPr>
            <w:r>
              <w:rPr>
                <w:b/>
              </w:rPr>
              <w:t>Dimensão: Hábitos alimentares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Aspectos (conhecimento explícito e estudo científico vinculado)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Atributos associados ao aspecto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Atributos vinculados com as fontes de dados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Consumo de Alimentos:</w:t>
            </w:r>
            <w:r>
              <w:t xml:space="preserve"> A ingestão elevada de alimentos ultraprocessados e gorduras saturadas altera o perfil lipídico (aumento do LDL), enquanto o consumo de fibras auxilia no seu controle (Barsaglini e Canesqui, 2010).</w:t>
            </w:r>
          </w:p>
        </w:tc>
        <w:tc>
          <w:tcPr>
            <w:tcW w:type="dxa" w:w="2160"/>
          </w:tcPr>
          <w:p>
            <w:r>
              <w:t>- Alimentos ultraprocessados (Frequência, Quantidade)</w:t>
              <w:br/>
              <w:t>- Fibras (Frequência, Quantidade)</w:t>
              <w:br/>
              <w:t>- Gorduras saturadas/trans (Quantidade, Frequência)</w:t>
            </w:r>
          </w:p>
        </w:tc>
        <w:tc>
          <w:tcPr>
            <w:tcW w:type="dxa" w:w="2880"/>
          </w:tcPr>
          <w:p>
            <w:r>
              <w:t>Módulo P – Estilos de Vida: P02001 (Fibras/Hortaliças), P023 (Gorduras), P02501 (Doces/Ultraprocessados);</w:t>
              <w:br/>
              <w:t>Fonte: BD-PNS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Consumo de Bebidas:</w:t>
            </w:r>
            <w:r>
              <w:t xml:space="preserve"> O consumo excessivo de bebidas açucaradas e álcool eleva os níveis de triglicerídeos e promove o acúmulo de gordura hepática (Polsky e Akturk, 2017).</w:t>
            </w:r>
          </w:p>
        </w:tc>
        <w:tc>
          <w:tcPr>
            <w:tcW w:type="dxa" w:w="2160"/>
          </w:tcPr>
          <w:p>
            <w:r>
              <w:t>- Bebidas Açucaradas/Energéticas (Frequência, Tipo)</w:t>
              <w:br/>
              <w:t>- Bebidas Alcoólicas (Frequência, Quantidade)</w:t>
            </w:r>
          </w:p>
        </w:tc>
        <w:tc>
          <w:tcPr>
            <w:tcW w:type="dxa" w:w="2880"/>
          </w:tcPr>
          <w:p>
            <w:r>
              <w:t>Módulo P – Estilos de Vida: P01101 (Refrigerantes/Açucaradas), P027, P02801 (Álcool);</w:t>
              <w:br/>
              <w:t>Fonte: BD-PNS</w:t>
            </w:r>
          </w:p>
        </w:tc>
      </w:tr>
      <w:tr>
        <w:tc>
          <w:tcPr>
            <w:tcW w:type="dxa" w:w="8640"/>
            <w:gridSpan w:val="3"/>
            <w:shd w:val="clear" w:color="auto" w:fill="EFEFEF"/>
          </w:tcPr>
          <w:p>
            <w:pPr>
              <w:jc w:val="center"/>
            </w:pPr>
            <w:r>
              <w:rPr>
                <w:b/>
              </w:rPr>
              <w:t>Dimensão: Estilo de Vida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Aspectos (conhecimento explícito e estudo científico vinculado)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Atributos associados ao aspecto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Atributos vinculados com as fontes de dados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Atividades Físicas:</w:t>
            </w:r>
            <w:r>
              <w:t xml:space="preserve"> O sedentarismo é um fator de risco modificável; exercícios regulares ajudam a elevar o HDL e reduzir o LDL, tornando o metabolismo mais eficiente (LaMonte et al. 2005).</w:t>
            </w:r>
          </w:p>
        </w:tc>
        <w:tc>
          <w:tcPr>
            <w:tcW w:type="dxa" w:w="2160"/>
          </w:tcPr>
          <w:p>
            <w:r>
              <w:t>- Frequência</w:t>
              <w:br/>
              <w:t>- Tipo</w:t>
              <w:br/>
              <w:t>- Nível de sedentarismo</w:t>
            </w:r>
          </w:p>
        </w:tc>
        <w:tc>
          <w:tcPr>
            <w:tcW w:type="dxa" w:w="2880"/>
          </w:tcPr>
          <w:p>
            <w:r>
              <w:t>Módulo P – Estilos de Vida: P034, P035, P037, P038;</w:t>
              <w:br/>
              <w:t>Fonte: BD-PNS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Tabagismo:</w:t>
            </w:r>
            <w:r>
              <w:t xml:space="preserve"> O fumo prejudica a função endotelial e agrava exponencialmente os riscos cardiovasculares associados à dislipidemia (Pastor et al 2020).</w:t>
            </w:r>
          </w:p>
        </w:tc>
        <w:tc>
          <w:tcPr>
            <w:tcW w:type="dxa" w:w="2160"/>
          </w:tcPr>
          <w:p>
            <w:r>
              <w:t>- Frequência</w:t>
              <w:br/>
              <w:t>- Quantidade</w:t>
            </w:r>
          </w:p>
        </w:tc>
        <w:tc>
          <w:tcPr>
            <w:tcW w:type="dxa" w:w="2880"/>
          </w:tcPr>
          <w:p>
            <w:r>
              <w:t>Módulo P – Estilos de Vida: P050, P054;</w:t>
              <w:br/>
              <w:t>Fonte: BD-PNS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Consumo de Álcool:</w:t>
            </w:r>
            <w:r>
              <w:t xml:space="preserve"> Relaciona-se diretamente com alterações no metabolismo hepático de lipídios, influenciando triglicerídeos e risco de diabetes.</w:t>
            </w:r>
          </w:p>
        </w:tc>
        <w:tc>
          <w:tcPr>
            <w:tcW w:type="dxa" w:w="2160"/>
          </w:tcPr>
          <w:p>
            <w:r>
              <w:t>- Frequência</w:t>
              <w:br/>
              <w:t>- Quantidade</w:t>
            </w:r>
          </w:p>
        </w:tc>
        <w:tc>
          <w:tcPr>
            <w:tcW w:type="dxa" w:w="2880"/>
          </w:tcPr>
          <w:p>
            <w:r>
              <w:t>Módulo P – Estilos de Vida: P027, P02801, P029;</w:t>
              <w:br/>
              <w:t>Fonte: BD-PNS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Anabolisante:</w:t>
            </w:r>
            <w:r>
              <w:t xml:space="preserve"> O uso indevido de esteroides anabolizantes afeta severamente o perfil lipídico, diminuindo drasticamente os níveis do colesterol bom (HDL).</w:t>
            </w:r>
          </w:p>
        </w:tc>
        <w:tc>
          <w:tcPr>
            <w:tcW w:type="dxa" w:w="2160"/>
          </w:tcPr>
          <w:p>
            <w:r>
              <w:t>- Período de uso</w:t>
            </w:r>
          </w:p>
        </w:tc>
        <w:tc>
          <w:tcPr>
            <w:tcW w:type="dxa" w:w="2880"/>
          </w:tcPr>
          <w:p>
            <w:r>
              <w:t>Módulo P – Estilos de Vida (Outras Substâncias);</w:t>
              <w:br/>
              <w:t>Fonte: BD-PNS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Cuidados em Saúde:</w:t>
            </w:r>
            <w:r>
              <w:t xml:space="preserve"> O acompanhamento contínuo por profissionais, a realização de exames clínicos de rotina e o uso de medicação (ex: estatinas) são fundamentais para o controle do colesterol (Freitas et al 2018).</w:t>
            </w:r>
          </w:p>
        </w:tc>
        <w:tc>
          <w:tcPr>
            <w:tcW w:type="dxa" w:w="2160"/>
          </w:tcPr>
          <w:p>
            <w:r>
              <w:t>- Acompanhamento médico</w:t>
              <w:br/>
              <w:t>- Exames preventivos regulares</w:t>
            </w:r>
          </w:p>
        </w:tc>
        <w:tc>
          <w:tcPr>
            <w:tcW w:type="dxa" w:w="2880"/>
          </w:tcPr>
          <w:p>
            <w:r>
              <w:t>Módulo Q – Doenças Crônicas (Colesterol): Q060, Q061, Q062, Q06306;</w:t>
              <w:br/>
              <w:t>Fonte: BD-PNS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