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A2339"/>
          <w:sz w:val="36"/>
          <w:szCs w:val="36"/>
        </w:rPr>
        <w:t xml:space="preserve">APEX Developer Implementation Guide</w:t>
      </w:r>
    </w:p>
    <w:p>
      <w:pPr>
        <w:spacing w:after="140"/>
      </w:pPr>
      <w:r>
        <w:rPr>
          <w:b/>
          <w:bCs/>
        </w:rPr>
        <w:t xml:space="preserve">APEX Core v1.2 · Developer Guide v1.0 · 2026-04-18</w:t>
      </w:r>
    </w:p>
    <w:p>
      <w:pPr>
        <w:pBdr>
          <w:left w:val="single" w:color="2DD4BF" w:sz="20" w:space="12"/>
        </w:pBdr>
        <w:spacing w:after="140"/>
        <w:ind w:left="360"/>
      </w:pPr>
      <w:r>
        <w:rPr>
          <w:b/>
          <w:bCs/>
        </w:rPr>
        <w:t xml:space="preserve">Audience:</w:t>
      </w:r>
      <w:r>
        <w:t xml:space="preserve"> mixed — executives, architects, and developers. This spine is the one-stop overview. When you need depth, jump to the companion that covers your topic.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1. Executive TL;DR</w:t>
      </w:r>
    </w:p>
    <w:p>
      <w:pPr>
        <w:spacing w:after="140"/>
      </w:pPr>
      <w:r>
        <w:rPr>
          <w:b/>
          <w:bCs/>
        </w:rPr>
        <w:t xml:space="preserve">APEX is a manifest-driven, agentic framework for enterprise decision automation.</w:t>
      </w:r>
      <w:r>
        <w:t xml:space="preserve"> It lives on top of </w:t>
      </w:r>
      <w:r>
        <w:rPr>
          <w:b/>
          <w:bCs/>
        </w:rPr>
        <w:t xml:space="preserve">Microsoft Fabric SaaS</w:t>
      </w:r>
      <w:r>
        <w:t xml:space="preserve"> (the data plane) and </w:t>
      </w:r>
      <w:r>
        <w:rPr>
          <w:b/>
          <w:bCs/>
        </w:rPr>
        <w:t xml:space="preserve">Azure AI Agent Service</w:t>
      </w:r>
      <w:r>
        <w:t xml:space="preserve"> (the intelligence plane), and it turns lines-of-business events into resolved decisions through a versioned contract between schemas, agents, MCP tools, orchestrations, and human-in-the-loop (HITL) gates.</w:t>
      </w:r>
    </w:p>
    <w:p>
      <w:pPr>
        <w:spacing w:after="140"/>
      </w:pPr>
      <w:r>
        <w:t xml:space="preserve">Where traditional analytics answers </w:t>
      </w:r>
      <w:r>
        <w:rPr>
          <w:i/>
          <w:iCs/>
        </w:rPr>
        <w:t xml:space="preserve">"what happened?"</w:t>
      </w:r>
      <w:r>
        <w:t xml:space="preserve">, APEX answers </w:t>
      </w:r>
      <w:r>
        <w:rPr>
          <w:i/>
          <w:iCs/>
        </w:rPr>
        <w:t xml:space="preserve">"what should happen next, who should approve it, and under what rules?"</w:t>
      </w:r>
      <w:r>
        <w:t xml:space="preserve"> — reliably, repeatedly, and auditable.</w:t>
      </w:r>
    </w:p>
    <w:p>
      <w:pPr>
        <w:spacing w:after="140"/>
      </w:pPr>
      <w:r>
        <w:t xml:space="preserve">This guide shows a development team how to build with APEX on a client's Fabric tenant. It is organised as a </w:t>
      </w:r>
      <w:r>
        <w:rPr>
          <w:b/>
          <w:bCs/>
        </w:rPr>
        <w:t xml:space="preserve">spine</w:t>
      </w:r>
      <w:r>
        <w:t xml:space="preserve"> (this document) plus </w:t>
      </w:r>
      <w:r>
        <w:rPr>
          <w:b/>
          <w:bCs/>
        </w:rPr>
        <w:t xml:space="preserve">seven companion deep-dives</w:t>
      </w:r>
      <w:r>
        <w:t xml:space="preserve">, one per major topic. Read the spine end-to-end. Open the companion that matches your task.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What you get from APEX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 four-layer manifest model</w:t>
      </w:r>
      <w:r>
        <w:t xml:space="preserve"> (Contract → Edition → Practice → Tenant) that makes every deployment reproducible and every change reviewable.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SemVer bump classification</w:t>
      </w:r>
      <w:r>
        <w:t xml:space="preserve"> that maps every schema or agent change to a HITL gate (HITL / ACK_ONLY / ZERO_TOUCH / ESCALATION) — so governance is a code property, not a meeting.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Canonical Silver-layer schemas</w:t>
      </w:r>
      <w:r>
        <w:t xml:space="preserve"> across domains (SCML supply chain, MERML merchandising, CXML customer experience, plus industry-specific families for HLS, ER, and AXLE) that decouple agents from the thousand shapes of the source-of-record systems.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 service catalogue</w:t>
      </w:r>
      <w:r>
        <w:t xml:space="preserve"> of subscribable SKUs — scenario-driven, persona-targeted, KPI-measured — so a client doesn't buy "agents" or "schemas"; they buy </w:t>
      </w:r>
      <w:r>
        <w:rPr>
          <w:i/>
          <w:iCs/>
        </w:rPr>
        <w:t xml:space="preserve">"Cold Chain Excursion Response, Pro tier, for 412 stores."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Continuous observability</w:t>
      </w:r>
      <w:r>
        <w:t xml:space="preserve"> with trace IDs from the triggering event all the way through the DAG, the HITL gate, the decision, and the downstream effects.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The 60-second picture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MERMAID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flowchart LR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subgraph SOR["Systems of Record"]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direction TB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s1[POS · WMS · EHR · ERP · MES · IoT · CRM]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subgraph Fabric["Microsoft Fabric SaaS (data plane)"]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direction TB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b[Bronze]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s[Silver · canonical schemas · PII tokenised]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g[Gold · agent-read feature views]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b --&gt; s --&gt; 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subgraph Intel["Azure AI · Logic Apps · Durable Functions (intelligence plane)"]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direction TB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mcp[MCP Servers · tool contracts]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ag[Agents · reasoning]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orch[Orchestrations · DAGs]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hitl[HITL Gates · Teams / Approvals]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ag --&gt; orch --&gt; hitl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ag &lt;-. tool call .-&gt; mcp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mcp -. reads .-&gt; 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SOR --&gt; Fabric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Fabric --&gt; Intel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hitl --&gt; Audit[Decision Audit · Silver + App Insights]</w:t>
            </w:r>
          </w:p>
          <w:p>
            <w:pPr>
              <w:spacing w:before="40"/>
            </w:pPr>
            <w:r>
              <w:rPr>
                <w:i/>
                <w:iCs/>
                <w:color w:val="64748B"/>
                <w:sz w:val="16"/>
                <w:szCs w:val="16"/>
              </w:rPr>
              <w:t xml:space="preserve">(Mermaid diagram — see markdown source for rendered version)</w:t>
            </w:r>
          </w:p>
        </w:tc>
      </w:tr>
    </w:tbl>
    <w:p>
      <w:pPr>
        <w:spacing w:after="140"/>
      </w:pPr>
      <w:r>
        <w:t xml:space="preserve">Three things to notice:</w:t>
      </w:r>
    </w:p>
    <w:p>
      <w:pPr>
        <w:spacing w:after="140"/>
      </w:pPr>
      <w:r>
        <w:t xml:space="preserve">1. </w:t>
      </w:r>
      <w:r>
        <w:rPr>
          <w:b/>
          <w:bCs/>
        </w:rPr>
        <w:t xml:space="preserve">APEX agents never touch the SOR directly.</w:t>
      </w:r>
      <w:r>
        <w:t xml:space="preserve"> They read from </w:t>
      </w:r>
      <w:r>
        <w:rPr>
          <w:b/>
          <w:bCs/>
        </w:rPr>
        <w:t xml:space="preserve">Gold feature views</w:t>
      </w:r>
      <w:r>
        <w:t xml:space="preserve"> via </w:t>
      </w:r>
      <w:r>
        <w:rPr>
          <w:b/>
          <w:bCs/>
        </w:rPr>
        <w:t xml:space="preserve">MCP tools</w:t>
      </w:r>
      <w:r>
        <w:t xml:space="preserve">. This is deliberate — it keeps the contract thin, the blast radius small, and the schema the single source of truth. 2. </w:t>
      </w:r>
      <w:r>
        <w:rPr>
          <w:b/>
          <w:bCs/>
        </w:rPr>
        <w:t xml:space="preserve">Every decision ends in an audit record.</w:t>
      </w:r>
      <w:r>
        <w:t xml:space="preserve"> Not a log line — a first-class Silver-layer row with trace IDs, decider identity, rationale, and rollback pointer. 3. </w:t>
      </w:r>
      <w:r>
        <w:rPr>
          <w:b/>
          <w:bCs/>
        </w:rPr>
        <w:t xml:space="preserve">Fabric holds the data. Azure holds the intelligence.</w:t>
      </w:r>
      <w:r>
        <w:t xml:space="preserve"> APEX is the contract that binds them.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Who reads which companion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Executive / sponsor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This spine §1, §2, §6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Companion 07 (Service Catalog)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Architect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This spine end-to-end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Companion 01 (Fabric) + Companion 04 (Lifecycle)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Data engineer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Spine §2–5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Companion 02 (Medallion + SOR)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Agent / MCP developer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Spine §2–5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Companion 03 (MCP) + Companion 04 (Agents)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SRE / platform engineer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Spine §2–5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Companion 05 (Observability) + Companion 06 (Testing &amp; topology)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Client account / commercial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Spine §1, §6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Companion 07 (Service Catalog)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t xml:space="preserve">Each companion opens with a </w:t>
      </w:r>
      <w:r>
        <w:rPr>
          <w:b/>
          <w:bCs/>
        </w:rPr>
        <w:t xml:space="preserve">one-page TL;DR</w:t>
      </w:r>
      <w:r>
        <w:t xml:space="preserve"> for drop-in readers. You don't need to read the spine first if you already know APEX.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2. How APEX layers on Fabric SaaS</w:t>
      </w:r>
    </w:p>
    <w:p>
      <w:pPr>
        <w:spacing w:after="140"/>
      </w:pPr>
      <w:r>
        <w:t xml:space="preserve">APEX draws a hard line between the </w:t>
      </w:r>
      <w:r>
        <w:rPr>
          <w:b/>
          <w:bCs/>
        </w:rPr>
        <w:t xml:space="preserve">data plane</w:t>
      </w:r>
      <w:r>
        <w:t xml:space="preserve"> (Microsoft Fabric) and the </w:t>
      </w:r>
      <w:r>
        <w:rPr>
          <w:b/>
          <w:bCs/>
        </w:rPr>
        <w:t xml:space="preserve">intelligence plane</w:t>
      </w:r>
      <w:r>
        <w:t xml:space="preserve"> (Azure AI + orchestration). The contract between them is the APEX manifest.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2.1 The component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MERMAID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flowchart TB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subgraph Data["🗄️  Fabric Data Plane"]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direction TB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onelake[(OneLake&lt;br/&gt;workspace storage)]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lh[Lakehouse&lt;br/&gt;Bronze / Silver / Gold tables]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wh[Warehouse&lt;br/&gt;T-SQL endpoint for Gold]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es[Eventstream&lt;br/&gt;real-time ingest]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dp[Data Pipelines&lt;br/&gt;batch ingest]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nb[Notebooks&lt;br/&gt;PySpark transforms]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df[Dataflow Gen2&lt;br/&gt;REST pulls]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md[Mirrored Databases&lt;br/&gt;CDC from SQL Server, Cosmos DB, Snowflake]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es --&gt; lh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dp --&gt; lh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df --&gt; lh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md --&gt; lh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lh --&gt; onelake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wh --&gt; onelake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nb --&gt; lh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nb --&gt; wh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subgraph Intel["🧠  Azure AI + Orchestration"]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direction TB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foundry[Azure AI Foundry&lt;br/&gt;agent authoring]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agents[Azure AI Agent Service&lt;br/&gt;runtime]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la[Logic Apps&lt;br/&gt;declarative DAGs]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df2[Durable Functions&lt;br/&gt;stateful orchestrations]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copilot[Copilot Studio&lt;br/&gt;conversational surface]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foundry --&gt; agents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agents --&gt; la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agents --&gt; df2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agents --&gt; copilot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subgraph Human["👤  Human Surfaces"]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teams[Teams&lt;br/&gt;HITL approvals]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pa[Power Apps / Automate&lt;br/&gt;ops dashboards]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subgraph Obs["🔭  Cross-cutting"]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ai[App Insights]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amon[Azure Monitor]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purview[Purview&lt;br/&gt;lineage · DLP · labels]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entra[Entra ID&lt;br/&gt;identity]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agents &lt;-. MCP tool calls .-&gt; onelake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la --&gt; teams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df2 --&gt; teams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teams --&gt; Decision[Decision Audit]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Decision --&gt; lh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Intel &lt;-. telemetry .-&gt; Obs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Data &lt;-. lineage · labels .-&gt; purview</w:t>
            </w:r>
          </w:p>
          <w:p>
            <w:pPr>
              <w:spacing w:before="40"/>
            </w:pPr>
            <w:r>
              <w:rPr>
                <w:i/>
                <w:iCs/>
                <w:color w:val="64748B"/>
                <w:sz w:val="16"/>
                <w:szCs w:val="16"/>
              </w:rPr>
              <w:t xml:space="preserve">(Mermaid diagram — see markdown source for rendered version)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2.2 Where each APEX concept lives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Schema</w:t>
            </w:r>
            <w:r>
              <w:t xml:space="preserve"> (SCML.COLD_CHAIN_TELEMETRY, MERML.STORE_INVENTORY_POSITION, …)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Delta tables in a Lakehouse; OneLake shortcuts expose to tenants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Strongly-typed DTOs in MCP tool contracts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Manifest</w:t>
            </w:r>
            <w:r>
              <w:t xml:space="preserve"> (practice-manifest.json)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JSON item in the Practice workspace; also held in Git-backed source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Read by the deployer at provisioning time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Agent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Agent definition in Azure AI Agent Service; versioned via agent-manifest.json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MCP tool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Container App / Function App exposing an MCP server; reads Fabric via OneLake SQL endpoint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Orchestration</w:t>
            </w:r>
            <w:r>
              <w:t xml:space="preserve"> (ORCH-03 Cold Chain, …)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Logic Apps standard workflow </w:t>
            </w:r>
            <w:r>
              <w:rPr>
                <w:b/>
                <w:bCs/>
              </w:rPr>
              <w:t xml:space="preserve">or</w:t>
            </w:r>
            <w:r>
              <w:t xml:space="preserve"> Durable Functions orchestrator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HITL gate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Decision audit row in Silver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Teams adaptive card </w:t>
            </w:r>
            <w:r>
              <w:rPr>
                <w:b/>
                <w:bCs/>
              </w:rPr>
              <w:t xml:space="preserve">or</w:t>
            </w:r>
            <w:r>
              <w:t xml:space="preserve"> Power Automate approval flow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Service</w:t>
            </w:r>
            <w:r>
              <w:t xml:space="preserve"> (APEX-RC-CXP-01, …)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Service manifest JSON in Git; provisions L4 tenant bindings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Trace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Gold-layer query log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App Insights operation_Id threaded across every tool call and HITL step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One rule you can memorise:</w:t>
      </w:r>
      <w:r>
        <w:t xml:space="preserve"> </w:t>
      </w:r>
      <w:r>
        <w:rPr>
          <w:i/>
          <w:iCs/>
        </w:rPr>
        <w:t xml:space="preserve">data is in Fabric, decisions are in Azure, contracts are in Git.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2.3 Tenant topology — the L3 Practice workspace → L4 Tenant workspace binding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MERMAID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flowchart LR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subgraph L3["L3 · Practice workspace (one per practice, shared)"]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direction TB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pm[practice-manifest.json&lt;br/&gt;schema catalog&lt;br/&gt;canonical entity definitions]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psc[Silver SCD2 reference tables]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pgv[Gold feature-view templates]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subgraph L4A["L4 · Tenant Acme workspace"]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direction TB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ta[tenant-manifest.json]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tb[Bronze - Acme SORs]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ts[Silver - Acme canonicalised]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tg[Gold - Acme materialised views]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tb --&gt; ts --&gt; tg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subgraph L4B["L4 · Tenant Beta workspace"]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direction TB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tb2[tenant-manifest.json]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bb[Bronze - Beta SORs]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bs[Silver - Beta canonicalised]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bg[Gold - Beta materialised views]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bb --&gt; bs --&gt; bg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L3 -. OneLake shortcuts .-&gt; L4A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L3 -. OneLake shortcuts .-&gt; L4B</w:t>
            </w:r>
          </w:p>
          <w:p>
            <w:pPr>
              <w:spacing w:before="40"/>
            </w:pPr>
            <w:r>
              <w:rPr>
                <w:i/>
                <w:iCs/>
                <w:color w:val="64748B"/>
                <w:sz w:val="16"/>
                <w:szCs w:val="16"/>
              </w:rPr>
              <w:t xml:space="preserve">(Mermaid diagram — see markdown source for rendered version)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L3 Practice workspace</w:t>
      </w:r>
      <w:r>
        <w:t xml:space="preserve"> holds the </w:t>
      </w:r>
      <w:r>
        <w:rPr>
          <w:i/>
          <w:iCs/>
        </w:rPr>
        <w:t xml:space="preserve">canonical</w:t>
      </w:r>
      <w:r>
        <w:t xml:space="preserve"> schemas, reference tables, and Gold feature-view templates. It is the single source of truth for a practice (RC, HLS, ER, AXLE).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L4 Tenant workspaces</w:t>
      </w:r>
      <w:r>
        <w:t xml:space="preserve"> are one per client. Tenant data stays in the tenant workspace — never mixed with other tenants. L4 </w:t>
      </w:r>
      <w:r>
        <w:rPr>
          <w:i/>
          <w:iCs/>
        </w:rPr>
        <w:t xml:space="preserve">shortcuts</w:t>
      </w:r>
      <w:r>
        <w:t xml:space="preserve"> L3's reference tables and </w:t>
      </w:r>
      <w:r>
        <w:rPr>
          <w:i/>
          <w:iCs/>
        </w:rPr>
        <w:t xml:space="preserve">pins</w:t>
      </w:r>
      <w:r>
        <w:t xml:space="preserve"> a specific Practice release version.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Dev / Test / Prod</w:t>
      </w:r>
      <w:r>
        <w:t xml:space="preserve"> multiply the picture: each environment gets its own L3 + its own set of L4s. Promotion is a manifest-pin + data-pipeline re-run, not a schema migration.</w:t>
      </w:r>
    </w:p>
    <w:p>
      <w:pPr>
        <w:spacing w:after="140"/>
      </w:pPr>
      <w:r>
        <w:t xml:space="preserve">Companion 01 (Fabric Layering) walks through the provisioning scripts, the Git integration, and the OneLake shortcut model in depth.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3. Developer mental model</w:t>
      </w:r>
    </w:p>
    <w:p>
      <w:pPr>
        <w:spacing w:after="140"/>
      </w:pPr>
      <w:r>
        <w:t xml:space="preserve">APEX rewards developers who internalise two things: the </w:t>
      </w:r>
      <w:r>
        <w:rPr>
          <w:b/>
          <w:bCs/>
        </w:rPr>
        <w:t xml:space="preserve">four lifecycle layers</w:t>
      </w:r>
      <w:r>
        <w:t xml:space="preserve"> and the </w:t>
      </w:r>
      <w:r>
        <w:rPr>
          <w:b/>
          <w:bCs/>
        </w:rPr>
        <w:t xml:space="preserve">five lanes</w:t>
      </w:r>
      <w:r>
        <w:t xml:space="preserve">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3.1 The four lifecycle layers (L1 → L4)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L1  CONTRACT    apex-core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       The specification. JSON schemas for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       manifests, canonical envelope fields,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       SemVer bump rules, HITL gate taxonomy.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       Changes here ripple everywhere.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L2  EDITION     versioned Core release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       apex-core v1.2.0 is an edition. It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       pins the contract. Downstream manifests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       declare which edition they need.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L3  PRACTICE    apex-rc, apex-hls, apex-er, apex-axle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       A complete vertical bundle: schemas +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       agents + MCP tools + orchestrations +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       gates + services + personas + KPIs.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       This is what a client subscribes to.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L4  TENANT      a client's instance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       Walmart on RC Practice v1.2.0.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       Data is tenant-scoped; config is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       tenant-scoped; decisions are audited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       per tenant. Never mixed.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40"/>
      </w:pPr>
      <w:r>
        <w:t xml:space="preserve">A change at any layer has a </w:t>
      </w:r>
      <w:r>
        <w:rPr>
          <w:b/>
          <w:bCs/>
        </w:rPr>
        <w:t xml:space="preserve">reach</w:t>
      </w:r>
      <w:r>
        <w:t xml:space="preserve"> that the next layer down has to deal with: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L1 contract → all L2 editions must re-validate.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Release new L2 edition → all L3 practices choose when to adopt.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Release new L3 practice version → all L4 tenants choose when to pin-up.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L4 tenant config → only that tenant re-provisions.</w:t>
      </w:r>
    </w:p>
    <w:p>
      <w:pPr>
        <w:spacing w:after="140"/>
      </w:pPr>
      <w:r>
        <w:t xml:space="preserve">This layering is why APEX can ship confidently without freezing everyone. The L4 pin is what gives a client stability.</w:t>
      </w:r>
    </w:p>
    <w:p>
      <w:pPr>
        <w:pBdr>
          <w:left w:val="single" w:color="2DD4BF" w:sz="20" w:space="12"/>
        </w:pBdr>
        <w:spacing w:after="140"/>
        <w:ind w:left="360"/>
      </w:pPr>
      <w:r>
        <w:rPr>
          <w:b/>
          <w:bCs/>
        </w:rPr>
        <w:t xml:space="preserve">Terminology note.</w:t>
      </w:r>
      <w:r>
        <w:t xml:space="preserve"> In earlier APEX material L3 was called a </w:t>
      </w:r>
      <w:r>
        <w:rPr>
          <w:b/>
          <w:bCs/>
        </w:rPr>
        <w:t xml:space="preserve">"Fleet"</w:t>
      </w:r>
      <w:r>
        <w:t xml:space="preserve">. As of Core v1.2.1 it is called a </w:t>
      </w:r>
      <w:r>
        <w:rPr>
          <w:b/>
          <w:bCs/>
        </w:rPr>
        <w:t xml:space="preserve">"Practice"</w:t>
      </w:r>
      <w:r>
        <w:t xml:space="preserve"> to better reflect that L3 bundles much more than agents — schemas, MCP tools, orchestrations, gates, services, personas, KPIs.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validate-fleet.js</w:t>
      </w:r>
      <w:r>
        <w:t xml:space="preserve"> is retained as a backward-compat shim; new code should use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validate-practice.js</w:t>
      </w:r>
      <w:r>
        <w:t xml:space="preserve">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3.2 The five lanes</w:t>
      </w:r>
    </w:p>
    <w:p>
      <w:pPr>
        <w:spacing w:after="140"/>
      </w:pPr>
      <w:r>
        <w:t xml:space="preserve">Within a Practice, APEX organises artifacts into five </w:t>
      </w:r>
      <w:r>
        <w:rPr>
          <w:b/>
          <w:bCs/>
        </w:rPr>
        <w:t xml:space="preserve">lanes</w:t>
      </w:r>
      <w:r>
        <w:t xml:space="preserve">. Each lane has its own versioning, validation, and HITL-gate semantics.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Schema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SCML.COLD_CHAIN_TELEMETRY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MERML.STORE_INVENTORY_POSITION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validate-manifest.js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add/remove/rename entities or columns; SCD2 toggle; PII reclassification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Agent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SCM-A04 Cold Chain Monitor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validate-agent.js</w:t>
            </w:r>
            <w:r>
              <w:t xml:space="preserve"> </w:t>
            </w:r>
            <w:r>
              <w:rPr>
                <w:i/>
                <w:iCs/>
              </w:rPr>
              <w:t xml:space="preserve">(roadmap)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system-prompt rewrites; new tool allow-list; model swap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Orchestration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ORCH-03 Cold Chain Response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validate-orchestration.js</w:t>
            </w:r>
            <w:r>
              <w:t xml:space="preserve"> </w:t>
            </w:r>
            <w:r>
              <w:rPr>
                <w:i/>
                <w:iCs/>
              </w:rPr>
              <w:t xml:space="preserve">(roadmap)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DAG topology, HITL gate kind, timeout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Gate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HITL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ACK_ONLY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ZERO_TOUCH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ESCALATION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contract-level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only by contract change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Service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APEX-RC-CXP-01 Cold Chain Response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validate-service-manifest.js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scenario, persona, KPI, tier, artifact set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t xml:space="preserve">Services are the outermost lane — a service bundles schemas + agents + MCP tools + orchestration + gate into one subscribable unit.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3.3 The "what-changed?" question — the heart of APEX dev work</w:t>
      </w:r>
    </w:p>
    <w:p>
      <w:pPr>
        <w:spacing w:after="140"/>
      </w:pPr>
      <w:r>
        <w:t xml:space="preserve">Every APEX code change answers the same three questions:</w:t>
      </w:r>
    </w:p>
    <w:p>
      <w:pPr>
        <w:spacing w:after="140"/>
      </w:pPr>
      <w:r>
        <w:t xml:space="preserve">1. </w:t>
      </w:r>
      <w:r>
        <w:rPr>
          <w:b/>
          <w:bCs/>
        </w:rPr>
        <w:t xml:space="preserve">What did I change?</w:t>
      </w:r>
      <w:r>
        <w:t xml:space="preserve"> (schema column? agent prompt? orchestration step? HITL gate?) 2. </w:t>
      </w:r>
      <w:r>
        <w:rPr>
          <w:b/>
          <w:bCs/>
        </w:rPr>
        <w:t xml:space="preserve">Is that a MAJOR / MINOR / PATCH bump?</w:t>
      </w:r>
      <w:r>
        <w:t xml:space="preserve"> (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apex-core/tools/classify-bump.js</w:t>
      </w:r>
      <w:r>
        <w:t xml:space="preserve"> tells you deterministically — no debate, no politics) 3. </w:t>
      </w:r>
      <w:r>
        <w:rPr>
          <w:b/>
          <w:bCs/>
        </w:rPr>
        <w:t xml:space="preserve">What HITL gate does that bump map to at each downstream consumer?</w:t>
      </w:r>
      <w:r>
        <w:t xml:space="preserve"> (the tenant's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auto_upgrade_policy</w:t>
      </w:r>
      <w:r>
        <w:t xml:space="preserve"> says how it wants to absorb each bump level)</w:t>
      </w:r>
    </w:p>
    <w:p>
      <w:pPr>
        <w:spacing w:after="140"/>
      </w:pPr>
      <w:r>
        <w:t xml:space="preserve">This is the engine. Every PR should be readable as: </w:t>
      </w:r>
      <w:r>
        <w:rPr>
          <w:i/>
          <w:iCs/>
        </w:rPr>
        <w:t xml:space="preserve">"This change adds column X to SCML.COLD_CHAIN_TELEMETRY. `classify-bump` says MINOR. Tenants with MINOR → ACK_ONLY auto-upgrade on next merge; tenants with MINOR → HITL get an approval card. No tenant gets silent drift."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3.4 SemVer bump → HITL gate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┌─────────────────────┬─────────────────────────────────────────────┐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Bump                │ Default gate (tenant can override policy)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├─────────────────────┼─────────────────────────────────────────────┤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MAJOR  (breaking)   │ HITL — human must approve, roll plan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MINOR  (additive)   │ ACK_ONLY — tenant is notified, auto-applies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PATCH  (fix)        │ ZERO_TOUCH — silent upgrade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└─────────────────────┴─────────────────────────────────────────────┘</w:t>
            </w:r>
          </w:p>
        </w:tc>
      </w:tr>
    </w:tbl>
    <w:p>
      <w:pPr>
        <w:spacing w:after="140"/>
      </w:pPr>
      <w:r>
        <w:t xml:space="preserve">Policy is per-tenant. A high-risk tenant (e.g., a HIPAA health system) can set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MINOR → HITL</w:t>
      </w:r>
      <w:r>
        <w:t xml:space="preserve"> globally. A low-risk tenant (e.g., a small retail pilot) can set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MINOR → ZERO_TOUCH</w:t>
      </w:r>
      <w:r>
        <w:t xml:space="preserve">. The default matrix above is conservative.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4. Repository &amp; workspace layout</w:t>
      </w:r>
    </w:p>
    <w:p>
      <w:pPr>
        <w:spacing w:after="140"/>
      </w:pPr>
      <w:r>
        <w:t xml:space="preserve">APEX is deployed across </w:t>
      </w:r>
      <w:r>
        <w:rPr>
          <w:b/>
          <w:bCs/>
        </w:rPr>
        <w:t xml:space="preserve">three kinds of repos</w:t>
      </w:r>
      <w:r>
        <w:t xml:space="preserve"> and </w:t>
      </w:r>
      <w:r>
        <w:rPr>
          <w:b/>
          <w:bCs/>
        </w:rPr>
        <w:t xml:space="preserve">three kinds of Fabric workspaces</w:t>
      </w:r>
      <w:r>
        <w:t xml:space="preserve">. Knowing which is which eliminates 80 % of new-dev confusion.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4.1 Repos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apex-core/                  ← L1 + L2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apex-core-build-spec.md    normative spec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apex-core-v1.X-amendment.md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conventions/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└── schema-versioning.md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data/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schema-manifest-contract.json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practice-manifest-contract.json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service-manifest-contract.json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└── persona-catalog.json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└── tools/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├── validate-manifest.js / .test.js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├── validate-practice.js / .test.js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├── validate-service-manifest.js / .test.js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├── classify-bump.js / .test.js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├── apex-validate.js          CLI umbrella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├── apex-sync.js              tenant sync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├── release-bundler.js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└── ddl-driver.js             Bronze/Silver/Gold emitters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apex-&lt;practice&gt;/            ← L3, one per practice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apex-rc/  apex-hls/  apex-er/  apex-axle/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apex-&lt;practice&gt;-build-spec.md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data/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practice-manifest.json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schemas.manifest.json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agents.manifest.json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orchestrations.manifest.json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└── services/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└── *.json                service manifests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agents/                        agent-def files (prompts + tool lists)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mcp/                           MCP server 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orchestrations/                Logic Apps / Durable Functions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notebooks/                     Medallion transforms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└── fixtures/                      seed events, anonymised payloads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client-&lt;client&gt;-tenant/     ← L4, one per client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tenant-manifest.json          pins practice version, lists subscribed services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sor-connections/              per-SOR config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bindings/                      identity groups, workspaces, capacity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└── runbooks/                      ops docs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4.2 Fabric workspaces</w:t>
      </w:r>
    </w:p>
    <w:p>
      <w:pPr>
        <w:spacing w:after="140"/>
      </w:pPr>
      <w:r>
        <w:t xml:space="preserve">A single client's deployment looks like: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workspace: apex-rc-practice-dev       (shared, all devs)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workspace: apex-rc-practice-test      (shared, integration)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workspace: apex-rc-practice-prod      (shared, production)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workspace: apex-&lt;client&gt;-tenant-dev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workspace: apex-&lt;client&gt;-tenant-test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workspace: apex-&lt;client&gt;-tenant-prod</w:t>
            </w:r>
          </w:p>
        </w:tc>
      </w:tr>
    </w:tbl>
    <w:p>
      <w:pPr>
        <w:spacing w:after="140"/>
      </w:pPr>
      <w:r>
        <w:t xml:space="preserve">Naming convention: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Practice workspaces: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apex-&lt;practice&gt;-practice-&lt;env&gt;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Tenant workspaces: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apex-&lt;client&gt;-tenant-&lt;env&gt;</w:t>
      </w:r>
    </w:p>
    <w:p>
      <w:pPr>
        <w:spacing w:after="14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&lt;client&gt;</w:t>
      </w:r>
      <w:r>
        <w:t xml:space="preserve"> is always </w:t>
      </w:r>
      <w:r>
        <w:rPr>
          <w:b/>
          <w:bCs/>
        </w:rPr>
        <w:t xml:space="preserve">an opaque ID</w:t>
      </w:r>
      <w:r>
        <w:t xml:space="preserve">, never a human-readable brand. Use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acct-a7f2c…</w:t>
      </w:r>
      <w:r>
        <w:t xml:space="preserve"> not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walmart</w:t>
      </w:r>
      <w:r>
        <w:t xml:space="preserve">. The account-opacity rule is enforced by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validate-practice.js</w:t>
      </w:r>
      <w:r>
        <w:t xml:space="preserve"> (rule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PRACTICE-ACCOUNT-ID</w:t>
      </w:r>
      <w:r>
        <w:t xml:space="preserve">). This is compliance hygiene — it makes screenshots and logs shareable without leaking who's who.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4.3 Manifest file conventions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schema-manifest.json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apex-&lt;practice&gt;/data/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every schema in the practice; one file total, arrays of schemas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practice-manifest.json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apex-&lt;practice&gt;/data/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practice metadata, pinned edition, included services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service-manifest.json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apex-&lt;practice&gt;/data/services/&lt;svc&gt;.json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one per service SKU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agent-manifest.json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apex-&lt;practice&gt;/agents/&lt;agent-id&gt;/manifest.json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per-agent definition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orchestration-manifest.json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apex-&lt;practice&gt;/orchestrations/&lt;orch-id&gt;/manifest.json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per-orchestration DAG and gate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tenant-manifest.json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client-&lt;client&gt;-tenant/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pinned practice release, subscribed services, SOR bindings, identity groups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t xml:space="preserve">All manifests validate against contracts in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apex-core/data/</w:t>
      </w:r>
      <w:r>
        <w:t xml:space="preserve"> via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node apex-core/tools/apex-validate.js</w:t>
      </w:r>
      <w:r>
        <w:t xml:space="preserve">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4.4 Where custom code goes</w:t>
      </w:r>
    </w:p>
    <w:p>
      <w:pPr>
        <w:spacing w:after="140"/>
      </w:pPr>
      <w:r>
        <w:t xml:space="preserve">Rules of thumb: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PySpark transforms</w:t>
      </w:r>
      <w:r>
        <w:t xml:space="preserve"> →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apex-&lt;practice&gt;/notebooks/</w:t>
      </w:r>
      <w:r>
        <w:t xml:space="preserve"> (one notebook per Silver entity; Gold views are T-SQL, not PySpark)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MCP servers</w:t>
      </w:r>
      <w:r>
        <w:t xml:space="preserve"> →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apex-&lt;practice&gt;/mcp/&lt;server-name&gt;/</w:t>
      </w:r>
      <w:r>
        <w:t xml:space="preserve"> (one directory per server; can be Python FastMCP or C# .NET MCP SDK)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Agent prompts + configs</w:t>
      </w:r>
      <w:r>
        <w:t xml:space="preserve"> →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apex-&lt;practice&gt;/agents/&lt;agent-id&gt;/</w:t>
      </w:r>
      <w:r>
        <w:t xml:space="preserve"> (system-prompt.md, manifest.json, tool-allow-list.json)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Orchestrations</w:t>
      </w:r>
      <w:r>
        <w:t xml:space="preserve"> →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apex-&lt;practice&gt;/orchestrations/&lt;ORCH-id&gt;/</w:t>
      </w:r>
      <w:r>
        <w:t xml:space="preserve"> (workflow.json for Logic Apps, or Python/C# source for Durable Functions)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Medallion DDL</w:t>
      </w:r>
      <w:r>
        <w:t xml:space="preserve"> → generated by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apex-core/tools/ddl-driver.js</w:t>
      </w:r>
      <w:r>
        <w:t xml:space="preserve">, checked into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apex-&lt;practice&gt;/ddl/</w:t>
      </w:r>
      <w:r>
        <w:t xml:space="preserve"> for review but regenerated from manifests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Tenant overrides</w:t>
      </w:r>
      <w:r>
        <w:t xml:space="preserve"> →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client-&lt;client&gt;-tenant/overrides/</w:t>
      </w:r>
      <w:r>
        <w:t xml:space="preserve"> (sparingly; never fork the practice)</w:t>
      </w:r>
    </w:p>
    <w:p>
      <w:pPr>
        <w:spacing w:after="140"/>
      </w:pPr>
      <w:r>
        <w:t xml:space="preserve">Companion 06 (Testing &amp; Topology) covers the per-environment variant of this layout.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5. The 7-step developer workflow</w:t>
      </w:r>
    </w:p>
    <w:p>
      <w:pPr>
        <w:spacing w:after="140"/>
      </w:pPr>
      <w:r>
        <w:t xml:space="preserve">Every feature a dev ships in APEX traces the same seven steps. Memorise these — they're the unit of work.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Read the contract</w:t>
            </w:r>
            <w:r>
              <w:t xml:space="preserve"> — what's the change request, who asks for it, which service/scenario is affected?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apex-&lt;practice&gt;/data/services/*.json</w:t>
            </w:r>
            <w:r>
              <w:t xml:space="preserve"> + issue tracker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07 Service Catalog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Author / modify the schema</w:t>
            </w:r>
            <w:r>
              <w:t xml:space="preserve"> — add the column, the entity, the PII classification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apex-&lt;practice&gt;/data/schemas.manifest.json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02 Medallion + SOR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Implement Medallion transforms</w:t>
            </w:r>
            <w:r>
              <w:t xml:space="preserve"> — Bronze ingest, Silver canonicalisation, Gold feature view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apex-&lt;practice&gt;/notebooks/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ddl-driver.js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02 Medallion + SOR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Wire the MCP tool</w:t>
            </w:r>
            <w:r>
              <w:t xml:space="preserve"> — expose the data the agent needs as a typed MCP tool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apex-&lt;practice&gt;/mcp/&lt;server&gt;/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03 MCP Servers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Declare the orchestration</w:t>
            </w:r>
            <w:r>
              <w:t xml:space="preserve"> — DAG topology, sub-agent order, error paths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apex-&lt;practice&gt;/orchestrations/&lt;ORCH&gt;/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04 Agent Lifecycle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Bind the HITL gate</w:t>
            </w:r>
            <w:r>
              <w:t xml:space="preserve"> — pick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HITL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ACK_ONLY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ZERO_TOUCH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ESCALATION</w:t>
            </w:r>
            <w:r>
              <w:t xml:space="preserve">; wire Teams card or Power Automate flow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Agent manifest + orchestration manifest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04 Agent Lifecycle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Classify the bump and ship</w:t>
            </w:r>
            <w:r>
              <w:t xml:space="preserve"> — run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classify-bump</w:t>
            </w:r>
            <w:r>
              <w:t xml:space="preserve">, verify it matches the intended gate, commit, push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apex-core/tools/classify-bump.js</w:t>
            </w:r>
            <w:r>
              <w:t xml:space="preserve"> + CI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04 Agent Lifecycle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Step 0 for new features: write a service-manifest</w:t>
      </w:r>
    </w:p>
    <w:p>
      <w:pPr>
        <w:spacing w:after="140"/>
      </w:pPr>
      <w:r>
        <w:t xml:space="preserve">If your change creates a new capability (not a modification of an existing one), </w:t>
      </w:r>
      <w:r>
        <w:rPr>
          <w:b/>
          <w:bCs/>
        </w:rPr>
        <w:t xml:space="preserve">start by drafting the service manifest</w:t>
      </w:r>
      <w:r>
        <w:t xml:space="preserve">. That crystallises scenario, personas, KPIs, and artifact set before you write a line of code. See Companion 07.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Anti-pattern: skipping step 7</w:t>
      </w:r>
    </w:p>
    <w:p>
      <w:pPr>
        <w:spacing w:after="140"/>
      </w:pPr>
      <w:r>
        <w:t xml:space="preserve">A common new-dev mistake is "the schema change is backwards-compatible, I don't need to classify." Wrong.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classify-bump</w:t>
      </w:r>
      <w:r>
        <w:t xml:space="preserve"> is how tenants decide whether to auto-upgrade or gate. Skipping step 7 means a tenant gets silent drift — the exact failure mode APEX exists to prevent.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6. Service-first view</w:t>
      </w:r>
    </w:p>
    <w:p>
      <w:pPr>
        <w:spacing w:after="140"/>
      </w:pPr>
      <w:r>
        <w:t xml:space="preserve">APEX is sold as </w:t>
      </w:r>
      <w:r>
        <w:rPr>
          <w:b/>
          <w:bCs/>
        </w:rPr>
        <w:t xml:space="preserve">subscribable services</w:t>
      </w:r>
      <w:r>
        <w:t xml:space="preserve">, not as a framework with a-la-carte parts. A dev who understands services will ship the right thing the first time; a dev who doesn't will ship "features" that have no commercial shape.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6.1 What a service is</w:t>
      </w:r>
    </w:p>
    <w:p>
      <w:pPr>
        <w:spacing w:after="140"/>
      </w:pPr>
      <w:r>
        <w:t xml:space="preserve">A </w:t>
      </w:r>
      <w:r>
        <w:rPr>
          <w:b/>
          <w:bCs/>
        </w:rPr>
        <w:t xml:space="preserve">service</w:t>
      </w:r>
      <w:r>
        <w:t xml:space="preserve"> is a bundled SKU — one entry in the catalog — containing </w:t>
      </w:r>
      <w:r>
        <w:rPr>
          <w:b/>
          <w:bCs/>
        </w:rPr>
        <w:t xml:space="preserve">everything</w:t>
      </w:r>
      <w:r>
        <w:t xml:space="preserve"> needed to deliver one measurable business outcome: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</w:t>
      </w:r>
      <w:r>
        <w:rPr>
          <w:b/>
          <w:bCs/>
        </w:rPr>
        <w:t xml:space="preserve">scenario</w:t>
      </w:r>
      <w:r>
        <w:t xml:space="preserve"> (the business trigger and pain)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primary </w:t>
      </w:r>
      <w:r>
        <w:rPr>
          <w:b/>
          <w:bCs/>
        </w:rPr>
        <w:t xml:space="preserve">persona</w:t>
      </w:r>
      <w:r>
        <w:t xml:space="preserve"> (who decides) and secondary personas (who is informed)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(outcome metrics with targets and direction)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(detection latency, decision latency, false-positive rate, availability)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</w:t>
      </w:r>
      <w:r>
        <w:rPr>
          <w:b/>
          <w:bCs/>
        </w:rPr>
        <w:t xml:space="preserve">artifact set</w:t>
      </w:r>
      <w:r>
        <w:t xml:space="preserve"> (schemas + agents + MCP tools + orchestration + HITL gate)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Prerequisites</w:t>
      </w:r>
      <w:r>
        <w:t xml:space="preserve"> (pinned practice release, required SOR connections, Fabric capacity, identity groups)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 terms</w:t>
      </w:r>
      <w:r>
        <w:t xml:space="preserve"> (tier, subscription model, support level, onboarding days)</w:t>
      </w:r>
    </w:p>
    <w:p>
      <w:pPr>
        <w:spacing w:after="140"/>
      </w:pPr>
      <w:r>
        <w:t xml:space="preserve">The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service-manifest.json</w:t>
      </w:r>
      <w:r>
        <w:t xml:space="preserve"> schema makes all of this </w:t>
      </w:r>
      <w:r>
        <w:rPr>
          <w:b/>
          <w:bCs/>
        </w:rPr>
        <w:t xml:space="preserve">machine-readable and validated</w:t>
      </w:r>
      <w:r>
        <w:t xml:space="preserve">. See Companion 07 for the full contract.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6.2 Services map cleanly onto the 7 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Schemas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step 2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MCP tools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step 4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Agents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(authored between steps 2 and 5)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Orchestration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step 5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HITL gate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step 6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KPIs + SLOs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authored up-front in step 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6.3 When a change touches a service</w:t>
      </w:r>
    </w:p>
    <w:p>
      <w:pPr>
        <w:spacing w:after="140"/>
      </w:pPr>
      <w:r>
        <w:t xml:space="preserve">Every PR should answer:</w:t>
      </w:r>
    </w:p>
    <w:p>
      <w:pPr>
        <w:spacing w:after="140"/>
      </w:pPr>
      <w:r>
        <w:t xml:space="preserve">1. </w:t>
      </w:r>
      <w:r>
        <w:rPr>
          <w:b/>
          <w:bCs/>
        </w:rPr>
        <w:t xml:space="preserve">Which service(s) does this change ship in?</w:t>
      </w:r>
      <w:r>
        <w:t xml:space="preserve"> 2. </w:t>
      </w:r>
      <w:r>
        <w:rPr>
          <w:b/>
          <w:bCs/>
        </w:rPr>
        <w:t xml:space="preserve">Does it change the service's commitments</w:t>
      </w:r>
      <w:r>
        <w:t xml:space="preserve"> (KPI targets, SLOs, tier, personas)? 3. </w:t>
      </w:r>
      <w:r>
        <w:rPr>
          <w:b/>
          <w:bCs/>
        </w:rPr>
        <w:t xml:space="preserve">If yes, does it require a service-manifest version bump?</w:t>
      </w:r>
    </w:p>
    <w:p>
      <w:pPr>
        <w:spacing w:after="140"/>
      </w:pPr>
      <w:r>
        <w:t xml:space="preserve">A schema change that affects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APEX-RC-CXP-01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APEX-RC-OSA-04</w:t>
      </w:r>
      <w:r>
        <w:t xml:space="preserve"> touches two services; both manifests bump; both tenant subscriptions are re-evaluated for gate resolution.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6.4 When to create a new service vs extend an existing one</w:t>
      </w:r>
    </w:p>
    <w:p>
      <w:pPr>
        <w:spacing w:after="140"/>
      </w:pPr>
      <w:r>
        <w:rPr>
          <w:b/>
          <w:bCs/>
        </w:rPr>
        <w:t xml:space="preserve">New service if:</w:t>
      </w:r>
      <w:r>
        <w:t xml:space="preserve"> new scenario, new primary persona, or the SLO/KPI profile differs materially.</w:t>
      </w:r>
    </w:p>
    <w:p>
      <w:pPr>
        <w:spacing w:after="140"/>
      </w:pPr>
      <w:r>
        <w:rPr>
          <w:b/>
          <w:bCs/>
        </w:rPr>
        <w:t xml:space="preserve">Extend existing if:</w:t>
      </w:r>
      <w:r>
        <w:t xml:space="preserve"> same scenario, same primary persona, same SLO profile — you're adding a capability to a decision the persona already owns.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6.5 The 24-service catalog at a glance</w:t>
      </w:r>
    </w:p>
    <w:p>
      <w:pPr>
        <w:spacing w:after="140"/>
      </w:pPr>
      <w:r>
        <w:t xml:space="preserve">Companion 07 holds the full catalog with every field per service. At 30 000 ft: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RC</w:t>
            </w:r>
            <w:r>
              <w:t xml:space="preserve"> (Retail &amp; Consumer)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8 (CXP, RVD, ESL, OSA, RCL, BPX, SHK, CXI)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Store MOD, Regional Director, Merch Analyst, LP Lead, Care Agent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HLS</w:t>
            </w:r>
            <w:r>
              <w:t xml:space="preserve"> (Healthcare &amp; Life Sciences)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6 (DSR, SEP, RVC, SUP, CTM, PSI)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Charge Nurse, Informaticist, Rev-Cycle Analyst, Pharm Supply Lead, Trial Coordinator, PSO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ER</w:t>
            </w:r>
            <w:r>
              <w:t xml:space="preserve"> (Energy &amp; Resources)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5 (MTR, GRD, BIL, FWO, REG)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Grid Eng, Meter Ops Lead, Billing Ops, Field Dispatcher, Regulatory Affairs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AXLE</w:t>
            </w:r>
            <w:r>
              <w:t xml:space="preserve"> (Industrial &amp; Manufacturing)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5 (LDT, QEX, SCD, RCL, KPI)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Plant Supervisor, Quality Eng, Supply Planner, Plant Mgr, Recall Coord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7. Guide to the companions</w:t>
      </w:r>
    </w:p>
    <w:p>
      <w:pPr>
        <w:spacing w:after="140"/>
      </w:pPr>
      <w:r>
        <w:t xml:space="preserve">Seven companions, each standalone with its own TL;DR, progressive depth, and worked examples in Python + C# side-by-side.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01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Fabric Layering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~18 pp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Architects · Platform eng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stand up a Fabric workspace · shortcut L3 tables · provision a new tenant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02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Medallion + SOR Integration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~22 pp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Data engineers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connect a new SOR · author a Silver transform · evolve a schema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03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MCP Servers &amp; Tooling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~20 pp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Agent / MCP devs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write an MCP server · wire auth · register tools with Agent Service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04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Agent Lifecycle + HITL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~20 pp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Agent devs · SREs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author/version an agent · declare an orchestration · bind a HITL gate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05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Observability &amp; Security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~18 pp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SREs · security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set up telemetry · tokenise PII · build the Azure Monitor dashboard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06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Testing &amp; Environment Topology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~15 pp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Platform eng · SREs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set up dev/test/prod · write integration tests · plan capacity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07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Service Catalog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~25 pp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Commercial · architects · everyone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pick services to ship · author a new service-manifest · understand pricing shape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7.1 Navigation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Every companion opens with a one-page TL;DR.</w:t>
      </w:r>
      <w:r>
        <w:t xml:space="preserve"> You do not need to read the spine before opening a companion.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Every companion has a "Worked example" section</w:t>
      </w:r>
      <w:r>
        <w:t xml:space="preserve"> at the end. Start there if you learn best by reading code.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Cross-references use relative links</w:t>
      </w:r>
      <w:r>
        <w:t xml:space="preserve"> (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[Medallion](./dev-guide/02-medallion-sor.md)</w:t>
      </w:r>
      <w:r>
        <w:t xml:space="preserve">). In the Word renders, these become hyperlinks.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The Glossary (§8 below) is the single definition</w:t>
      </w:r>
      <w:r>
        <w:t xml:space="preserve"> for every APEX, Fabric, and MCP term. Companions link back; they don't redefine.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8. Glossary</w:t>
      </w:r>
    </w:p>
    <w:p>
      <w:pPr>
        <w:spacing w:after="140"/>
      </w:pPr>
      <w:r>
        <w:t xml:space="preserve">Terms used across the spine and companions. Defined once here; referenced elsewhere.</w:t>
      </w:r>
    </w:p>
    <w:p>
      <w:pPr>
        <w:spacing w:after="140"/>
      </w:pPr>
      <w:r>
        <w:rPr>
          <w:b/>
          <w:bCs/>
        </w:rPr>
        <w:t xml:space="preserve">Agent.</w:t>
      </w:r>
      <w:r>
        <w:t xml:space="preserve"> A reasoning component that runs in Azure AI Agent Service. Has a system prompt, a tool allow-list, a model selection, and a manifest. Versioned with SemVer. Never touches SORs directly — reads via Gold feature views through MCP tools.</w:t>
      </w:r>
    </w:p>
    <w:p>
      <w:pPr>
        <w:spacing w:after="140"/>
      </w:pPr>
      <w:r>
        <w:rPr>
          <w:b/>
          <w:bCs/>
        </w:rPr>
        <w:t xml:space="preserve">ACK_ONLY.</w:t>
      </w:r>
      <w:r>
        <w:t xml:space="preserve"> A HITL gate kind meaning "notify the responsible human; apply the change anyway." Used for MINOR bumps by default.</w:t>
      </w:r>
    </w:p>
    <w:p>
      <w:pPr>
        <w:spacing w:after="140"/>
      </w:pPr>
      <w:r>
        <w:rPr>
          <w:b/>
          <w:bCs/>
        </w:rPr>
        <w:t xml:space="preserve">Bronze.</w:t>
      </w:r>
      <w:r>
        <w:t xml:space="preserve"> The Medallion layer where SOR data lands in SOR-native shape. No transforms, no tokenisation. One-way: Bronze writes never mutate; replays are by re-ingest.</w:t>
      </w:r>
    </w:p>
    <w:p>
      <w:pPr>
        <w:spacing w:after="140"/>
      </w:pPr>
      <w:r>
        <w:rPr>
          <w:b/>
          <w:bCs/>
        </w:rPr>
        <w:t xml:space="preserve">Canonical envelope.</w:t>
      </w:r>
      <w:r>
        <w:t xml:space="preserve"> The five universal fields every Silver row carries: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event_id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event_ts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entity_id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source_system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source_system_ts</w:t>
      </w:r>
      <w:r>
        <w:t xml:space="preserve">. Mandated by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apex-core/data/schema-manifest-contract.json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Classify-bump.</w:t>
      </w:r>
      <w:r>
        <w:t xml:space="preserve"> The deterministic SemVer classifier at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apex-core/tools/classify-bump.js</w:t>
      </w:r>
      <w:r>
        <w:t xml:space="preserve">. Given a pre-change and post-change schema, returns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MAJOR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MINOR</w:t>
      </w:r>
      <w:r>
        <w:t xml:space="preserve">, or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PATCH</w:t>
      </w:r>
      <w:r>
        <w:t xml:space="preserve">. Never debates; never politics.</w:t>
      </w:r>
    </w:p>
    <w:p>
      <w:pPr>
        <w:spacing w:after="140"/>
      </w:pPr>
      <w:r>
        <w:rPr>
          <w:b/>
          <w:bCs/>
        </w:rPr>
        <w:t xml:space="preserve">Contract (L1).</w:t>
      </w:r>
      <w:r>
        <w:t xml:space="preserve"> The normative spec at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apex-core/</w:t>
      </w:r>
      <w:r>
        <w:t xml:space="preserve">. JSON-schema contracts for every manifest plus the prose spec documents.</w:t>
      </w:r>
    </w:p>
    <w:p>
      <w:pPr>
        <w:spacing w:after="140"/>
      </w:pPr>
      <w:r>
        <w:rPr>
          <w:b/>
          <w:bCs/>
        </w:rPr>
        <w:t xml:space="preserve">Durable Functions.</w:t>
      </w:r>
      <w:r>
        <w:t xml:space="preserve"> Azure's stateful orchestrator runtime. APEX uses it for long-running orchestrations (recalls that span days, trial-matching windows).</w:t>
      </w:r>
    </w:p>
    <w:p>
      <w:pPr>
        <w:spacing w:after="140"/>
      </w:pPr>
      <w:r>
        <w:rPr>
          <w:b/>
          <w:bCs/>
        </w:rPr>
        <w:t xml:space="preserve">Edition (L2).</w:t>
      </w:r>
      <w:r>
        <w:t xml:space="preserve"> A versioned release of Core.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apex-core v1.2.0</w:t>
      </w:r>
      <w:r>
        <w:t xml:space="preserve"> is an edition. Downstream manifests pin the edition they require.</w:t>
      </w:r>
    </w:p>
    <w:p>
      <w:pPr>
        <w:spacing w:after="140"/>
      </w:pPr>
      <w:r>
        <w:rPr>
          <w:b/>
          <w:bCs/>
        </w:rPr>
        <w:t xml:space="preserve">Entra ID.</w:t>
      </w:r>
      <w:r>
        <w:t xml:space="preserve"> Microsoft's identity platform (formerly Azure AD). Used for user identity, service principals, and managed identity.</w:t>
      </w:r>
    </w:p>
    <w:p>
      <w:pPr>
        <w:spacing w:after="140"/>
      </w:pPr>
      <w:r>
        <w:rPr>
          <w:b/>
          <w:bCs/>
        </w:rPr>
        <w:t xml:space="preserve">ESCALATION.</w:t>
      </w:r>
      <w:r>
        <w:t xml:space="preserve"> A HITL gate kind meaning "this decision leaves the local responder; send it up the chain." Used for cross-functional decisions (Legal, Comms, Regulatory).</w:t>
      </w:r>
    </w:p>
    <w:p>
      <w:pPr>
        <w:spacing w:after="140"/>
      </w:pPr>
      <w:r>
        <w:rPr>
          <w:b/>
          <w:bCs/>
        </w:rPr>
        <w:t xml:space="preserve">Event stream.</w:t>
      </w:r>
      <w:r>
        <w:t xml:space="preserve"> Real-time ingest path: Fabric Eventstream → Bronze Delta. For high-frequency data (IoT, POS, ADT).</w:t>
      </w:r>
    </w:p>
    <w:p>
      <w:pPr>
        <w:spacing w:after="140"/>
      </w:pPr>
      <w:r>
        <w:rPr>
          <w:b/>
          <w:bCs/>
        </w:rPr>
        <w:t xml:space="preserve">Fabric.</w:t>
      </w:r>
      <w:r>
        <w:t xml:space="preserve"> Microsoft's unified SaaS data platform. APEX's data plane.</w:t>
      </w:r>
    </w:p>
    <w:p>
      <w:pPr>
        <w:spacing w:after="140"/>
      </w:pPr>
      <w:r>
        <w:rPr>
          <w:b/>
          <w:bCs/>
        </w:rPr>
        <w:t xml:space="preserve">Fleet.</w:t>
      </w:r>
      <w:r>
        <w:t xml:space="preserve"> </w:t>
      </w:r>
      <w:r>
        <w:rPr>
          <w:b/>
          <w:bCs/>
        </w:rPr>
        <w:t xml:space="preserve">Deprecated</w:t>
      </w:r>
      <w:r>
        <w:t xml:space="preserve"> — see </w:t>
      </w:r>
      <w:r>
        <w:rPr>
          <w:i/>
          <w:iCs/>
        </w:rPr>
        <w:t xml:space="preserve">Practice</w:t>
      </w:r>
      <w:r>
        <w:t xml:space="preserve"> (L3). The term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fleet</w:t>
      </w:r>
      <w:r>
        <w:t xml:space="preserve"> appears in legacy code (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apex-fleet/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validate-fleet.js</w:t>
      </w:r>
      <w:r>
        <w:t xml:space="preserve">) for backward-compatibility through Core v1.2.x; it will be removed in Core v1.3.</w:t>
      </w:r>
    </w:p>
    <w:p>
      <w:pPr>
        <w:spacing w:after="140"/>
      </w:pPr>
      <w:r>
        <w:rPr>
          <w:b/>
          <w:bCs/>
        </w:rPr>
        <w:t xml:space="preserve">Gold.</w:t>
      </w:r>
      <w:r>
        <w:t xml:space="preserve"> The Medallion layer containing </w:t>
      </w:r>
      <w:r>
        <w:rPr>
          <w:b/>
          <w:bCs/>
        </w:rPr>
        <w:t xml:space="preserve">agent-read</w:t>
      </w:r>
      <w:r>
        <w:t xml:space="preserve"> materialised feature views. Latency budget: p95 ≤ 500 ms for any tool-driven read.</w:t>
      </w:r>
    </w:p>
    <w:p>
      <w:pPr>
        <w:spacing w:after="140"/>
      </w:pPr>
      <w:r>
        <w:rPr>
          <w:b/>
          <w:bCs/>
        </w:rPr>
        <w:t xml:space="preserve">HITL.</w:t>
      </w:r>
      <w:r>
        <w:t xml:space="preserve"> "Human in the Loop." The gate kind where a human approves before the change applies. Default for MAJOR bumps.</w:t>
      </w:r>
    </w:p>
    <w:p>
      <w:pPr>
        <w:spacing w:after="140"/>
      </w:pPr>
      <w:r>
        <w:rPr>
          <w:b/>
          <w:bCs/>
        </w:rPr>
        <w:t xml:space="preserve">L1 / L2 / L3 / L4.</w:t>
      </w:r>
      <w:r>
        <w:t xml:space="preserve"> The four APEX lifecycle layers — Contract, Edition, Practice, Tenant. See §3.1.</w:t>
      </w:r>
    </w:p>
    <w:p>
      <w:pPr>
        <w:spacing w:after="140"/>
      </w:pPr>
      <w:r>
        <w:rPr>
          <w:b/>
          <w:bCs/>
        </w:rPr>
        <w:t xml:space="preserve">Lakehouse.</w:t>
      </w:r>
      <w:r>
        <w:t xml:space="preserve"> A Fabric item type unifying Delta-table storage and a T-SQL endpoint. Where Bronze and Silver physically live.</w:t>
      </w:r>
    </w:p>
    <w:p>
      <w:pPr>
        <w:spacing w:after="140"/>
      </w:pPr>
      <w:r>
        <w:rPr>
          <w:b/>
          <w:bCs/>
        </w:rPr>
        <w:t xml:space="preserve">Logic Apps.</w:t>
      </w:r>
      <w:r>
        <w:t xml:space="preserve"> Azure's declarative workflow runtime. APEX uses it for short orchestrations where state fits in the workflow instance (cold-chain response, receiving variance).</w:t>
      </w:r>
    </w:p>
    <w:p>
      <w:pPr>
        <w:spacing w:after="140"/>
      </w:pPr>
      <w:r>
        <w:rPr>
          <w:b/>
          <w:bCs/>
        </w:rPr>
        <w:t xml:space="preserve">Managed identity.</w:t>
      </w:r>
      <w:r>
        <w:t xml:space="preserve"> An Azure-managed service principal tied to a resource (Function App, Container App, Agent Service instance). Used for service-to-service auth without secrets.</w:t>
      </w:r>
    </w:p>
    <w:p>
      <w:pPr>
        <w:spacing w:after="140"/>
      </w:pPr>
      <w:r>
        <w:rPr>
          <w:b/>
          <w:bCs/>
        </w:rPr>
        <w:t xml:space="preserve">Manifest.</w:t>
      </w:r>
      <w:r>
        <w:t xml:space="preserve"> A JSON document declaring the shape/version/content of an APEX artifact (schema, practice, agent, orchestration, service, tenant). Validated against a contract in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apex-core/data/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MCP.</w:t>
      </w:r>
      <w:r>
        <w:t xml:space="preserve"> Model Context Protocol. The open standard for how agents call tools. See Companion 03 for the APEX implementation.</w:t>
      </w:r>
    </w:p>
    <w:p>
      <w:pPr>
        <w:spacing w:after="140"/>
      </w:pPr>
      <w:r>
        <w:rPr>
          <w:b/>
          <w:bCs/>
        </w:rPr>
        <w:t xml:space="preserve">Medallion.</w:t>
      </w:r>
      <w:r>
        <w:t xml:space="preserve"> The three-tier data architecture (Bronze / Silver / Gold) APEX uses in Fabric.</w:t>
      </w:r>
    </w:p>
    <w:p>
      <w:pPr>
        <w:spacing w:after="140"/>
      </w:pPr>
      <w:r>
        <w:rPr>
          <w:b/>
          <w:bCs/>
        </w:rPr>
        <w:t xml:space="preserve">MERML.</w:t>
      </w:r>
      <w:r>
        <w:t xml:space="preserve"> Merchandising Markup Language — the canonical schema family for retail merchandising data (prices, inventory, markdowns, promotions, shrink, voids).</w:t>
      </w:r>
    </w:p>
    <w:p>
      <w:pPr>
        <w:spacing w:after="140"/>
      </w:pPr>
      <w:r>
        <w:rPr>
          <w:b/>
          <w:bCs/>
        </w:rPr>
        <w:t xml:space="preserve">OneLake.</w:t>
      </w:r>
      <w:r>
        <w:t xml:space="preserve"> Fabric's cross-workspace storage layer. Lakehouses and warehouses write through OneLake; shortcuts expose tables across workspaces without copying.</w:t>
      </w:r>
    </w:p>
    <w:p>
      <w:pPr>
        <w:spacing w:after="140"/>
      </w:pPr>
      <w:r>
        <w:rPr>
          <w:b/>
          <w:bCs/>
        </w:rPr>
        <w:t xml:space="preserve">Orchestration.</w:t>
      </w:r>
      <w:r>
        <w:t xml:space="preserve"> A DAG of agent calls, branching on outputs, with a HITL gate at the decision point. Named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ORCH-nn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Persona.</w:t>
      </w:r>
      <w:r>
        <w:t xml:space="preserve"> A role that interacts with an APEX service. Catalogued in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apex-core/data/persona-catalog.json</w:t>
      </w:r>
      <w:r>
        <w:t xml:space="preserve">. Has a stable ID (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store-mod</w:t>
      </w:r>
      <w:r>
        <w:t xml:space="preserve">), a human name (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Store Manager on Duty</w:t>
      </w:r>
      <w:r>
        <w:t xml:space="preserve">), and a practice affinity.</w:t>
      </w:r>
    </w:p>
    <w:p>
      <w:pPr>
        <w:spacing w:after="140"/>
      </w:pPr>
      <w:r>
        <w:rPr>
          <w:b/>
          <w:bCs/>
        </w:rPr>
        <w:t xml:space="preserve">Practice (L3).</w:t>
      </w:r>
      <w:r>
        <w:t xml:space="preserve"> An industry-specific bundle of schemas + agents + MCP tools + orchestrations + gates + services + personas + KPIs. APEX RC Practice, APEX HLS Practice, etc. (Renamed from "Fleet" in Core v1.2.1.)</w:t>
      </w:r>
    </w:p>
    <w:p>
      <w:pPr>
        <w:spacing w:after="140"/>
      </w:pPr>
      <w:r>
        <w:rPr>
          <w:b/>
          <w:bCs/>
        </w:rPr>
        <w:t xml:space="preserve">Purview.</w:t>
      </w:r>
      <w:r>
        <w:t xml:space="preserve"> Microsoft's data-governance product. APEX uses it for lineage, DLP, and sensitivity labels applied during Silver tokenisation.</w:t>
      </w:r>
    </w:p>
    <w:p>
      <w:pPr>
        <w:spacing w:after="140"/>
      </w:pPr>
      <w:r>
        <w:rPr>
          <w:b/>
          <w:bCs/>
        </w:rPr>
        <w:t xml:space="preserve">SCD2.</w:t>
      </w:r>
      <w:r>
        <w:t xml:space="preserve"> Slowly Changing Dimension Type 2 — a historical-record pattern where updates insert a new row with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effective_from</w:t>
      </w:r>
      <w:r>
        <w:t xml:space="preserve"> /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effective_to</w:t>
      </w:r>
      <w:r>
        <w:t xml:space="preserve"> rather than overwriting.</w:t>
      </w:r>
    </w:p>
    <w:p>
      <w:pPr>
        <w:spacing w:after="140"/>
      </w:pPr>
      <w:r>
        <w:rPr>
          <w:b/>
          <w:bCs/>
        </w:rPr>
        <w:t xml:space="preserve">SCML.</w:t>
      </w:r>
      <w:r>
        <w:t xml:space="preserve"> Supply Chain Markup Language — the canonical schema family for supply-chain data (telemetry, receiving, recalls, lot trace).</w:t>
      </w:r>
    </w:p>
    <w:p>
      <w:pPr>
        <w:spacing w:after="140"/>
      </w:pPr>
      <w:r>
        <w:rPr>
          <w:b/>
          <w:bCs/>
        </w:rPr>
        <w:t xml:space="preserve">Service.</w:t>
      </w:r>
      <w:r>
        <w:t xml:space="preserve"> A subscribable SKU — one entry in the catalog. Bundles schemas + agents + MCP tools + orchestration + gate into one business offering. Identified as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APEX-&lt;practice&gt;-&lt;domain&gt;-&lt;nn&gt;</w:t>
      </w:r>
      <w:r>
        <w:t xml:space="preserve"> (e.g.,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APEX-RC-CXP-01</w:t>
      </w:r>
      <w:r>
        <w:t xml:space="preserve">).</w:t>
      </w:r>
    </w:p>
    <w:p>
      <w:pPr>
        <w:spacing w:after="140"/>
      </w:pPr>
      <w:r>
        <w:rPr>
          <w:b/>
          <w:bCs/>
        </w:rPr>
        <w:t xml:space="preserve">Shim (the fleet shim).</w:t>
      </w:r>
      <w:r>
        <w:t xml:space="preserve">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apex-core/tools/validate-fleet.js</w:t>
      </w:r>
      <w:r>
        <w:t xml:space="preserve">. A 19-line backward-compat wrapper around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validate-practice.js</w:t>
      </w:r>
      <w:r>
        <w:t xml:space="preserve"> that translates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PRACTICE-*</w:t>
      </w:r>
      <w:r>
        <w:t xml:space="preserve"> rule codes back to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FLEET-*</w:t>
      </w:r>
      <w:r>
        <w:t xml:space="preserve"> on output. Removed in Core v1.3.</w:t>
      </w:r>
    </w:p>
    <w:p>
      <w:pPr>
        <w:spacing w:after="140"/>
      </w:pPr>
      <w:r>
        <w:rPr>
          <w:b/>
          <w:bCs/>
        </w:rPr>
        <w:t xml:space="preserve">Silver.</w:t>
      </w:r>
      <w:r>
        <w:t xml:space="preserve"> The Medallion layer holding canonicalised, PII-tokenised, contract-compliant data. The source-of-truth layer.</w:t>
      </w:r>
    </w:p>
    <w:p>
      <w:pPr>
        <w:spacing w:after="140"/>
      </w:pPr>
      <w:r>
        <w:rPr>
          <w:b/>
          <w:bCs/>
        </w:rPr>
        <w:t xml:space="preserve">SLO.</w:t>
      </w:r>
      <w:r>
        <w:t xml:space="preserve"> Service Level Objective. APEX standard SLO keys: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detection_p95_sec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decision_p95_min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false_positive_rate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availability_pct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SOR.</w:t>
      </w:r>
      <w:r>
        <w:t xml:space="preserve"> System of Record. The upstream operational system APEX ingests from (Manhattan WMS, Epic EHR, SAP ISU, Plex MES, Monnit IoT, POS).</w:t>
      </w:r>
    </w:p>
    <w:p>
      <w:pPr>
        <w:spacing w:after="140"/>
      </w:pPr>
      <w:r>
        <w:rPr>
          <w:b/>
          <w:bCs/>
        </w:rPr>
        <w:t xml:space="preserve">Tenant (L4).</w:t>
      </w:r>
      <w:r>
        <w:t xml:space="preserve"> A client's instance. One client = one or more tenant workspaces. Pins a Practice release. Never shares data with another tenant.</w:t>
      </w:r>
    </w:p>
    <w:p>
      <w:pPr>
        <w:spacing w:after="140"/>
      </w:pPr>
      <w:r>
        <w:rPr>
          <w:b/>
          <w:bCs/>
        </w:rPr>
        <w:t xml:space="preserve">Tokenisation.</w:t>
      </w:r>
      <w:r>
        <w:t xml:space="preserve"> Replacing a PII value with a stable opaque token at the Silver boundary. Token → cleartext is reversible only through a Purview-governed unlock (audit-logged).</w:t>
      </w:r>
    </w:p>
    <w:p>
      <w:pPr>
        <w:spacing w:after="140"/>
      </w:pPr>
      <w:r>
        <w:rPr>
          <w:b/>
          <w:bCs/>
        </w:rPr>
        <w:t xml:space="preserve">Trace.</w:t>
      </w:r>
      <w:r>
        <w:t xml:space="preserve"> An App Insights operation chain that stitches every call from triggering event through the DAG, HITL gate, decision, and downstream effect. Used for debugging and compliance audits.</w:t>
      </w:r>
    </w:p>
    <w:p>
      <w:pPr>
        <w:spacing w:after="140"/>
      </w:pPr>
      <w:r>
        <w:rPr>
          <w:b/>
          <w:bCs/>
        </w:rPr>
        <w:t xml:space="preserve">Workspace.</w:t>
      </w:r>
      <w:r>
        <w:t xml:space="preserve"> A Fabric organisational unit. APEX uses per-practice and per-tenant workspaces, multiplied by dev/test/prod.</w:t>
      </w:r>
    </w:p>
    <w:p>
      <w:pPr>
        <w:spacing w:after="140"/>
      </w:pPr>
      <w:r>
        <w:rPr>
          <w:b/>
          <w:bCs/>
        </w:rPr>
        <w:t xml:space="preserve">ZERO_TOUCH.</w:t>
      </w:r>
      <w:r>
        <w:t xml:space="preserve"> A HITL gate kind meaning "apply the change silently." Used for PATCH bumps by default.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spacing w:after="140"/>
      </w:pPr>
      <w:r>
        <w:rPr>
          <w:i/>
          <w:iCs/>
        </w:rPr>
        <w:t xml:space="preserve">End of spine. Open a companion to go deep.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APEX Core v1.2 · Developer Guide v1.0 ·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APEX Developer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 Developer Implementation Guide</dc:title>
  <dc:creator>APEX Core</dc:creator>
  <dc:description>APEX Developer Implementation Guide — generated from markdown</dc:description>
  <cp:lastModifiedBy>Un-named</cp:lastModifiedBy>
  <cp:revision>1</cp:revision>
  <dcterms:created xsi:type="dcterms:W3CDTF">2026-04-18T16:39:18.564Z</dcterms:created>
  <dcterms:modified xsi:type="dcterms:W3CDTF">2026-04-18T16:39:18.565Z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