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01 — Fabric Layering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1ycqd3in0maa9-qzovrqv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Siblings:</w:t>
      </w:r>
      <w:r>
        <w:t xml:space="preserve"> </w:t>
      </w:r>
      <w:hyperlink w:history="1" r:id="rId3k0et0uuwcsgh4o_31eii">
        <w:r>
          <w:rPr>
            <w:rStyle w:val="Hyperlink"/>
            <w:color w:val="0563C1"/>
            <w:u w:val="single"/>
          </w:rPr>
          <w:t xml:space="preserve">02 Medallion + SOR</w:t>
        </w:r>
      </w:hyperlink>
      <w:r>
        <w:t xml:space="preserve"> · </w:t>
      </w:r>
      <w:hyperlink w:history="1" r:id="rIdrj5hksei5cy4y6l0uuyex">
        <w:r>
          <w:rPr>
            <w:rStyle w:val="Hyperlink"/>
            <w:color w:val="0563C1"/>
            <w:u w:val="single"/>
          </w:rPr>
          <w:t xml:space="preserve">03 MCP Servers</w:t>
        </w:r>
      </w:hyperlink>
      <w:r>
        <w:t xml:space="preserve"> · </w:t>
      </w:r>
      <w:hyperlink w:history="1" r:id="rIdhxreee8adxe6qoqkpnfzi">
        <w:r>
          <w:rPr>
            <w:rStyle w:val="Hyperlink"/>
            <w:color w:val="0563C1"/>
            <w:u w:val="single"/>
          </w:rPr>
          <w:t xml:space="preserve">04 Agent Lifecycle</w:t>
        </w:r>
      </w:hyperlink>
      <w:r>
        <w:t xml:space="preserve"> · </w:t>
      </w:r>
      <w:hyperlink w:history="1" r:id="rIdbjf3e4k_o5a6qorky2fl5">
        <w:r>
          <w:rPr>
            <w:rStyle w:val="Hyperlink"/>
            <w:color w:val="0563C1"/>
            <w:u w:val="single"/>
          </w:rPr>
          <w:t xml:space="preserve">05 Observability &amp; Security</w:t>
        </w:r>
      </w:hyperlink>
      <w:r>
        <w:t xml:space="preserve"> · </w:t>
      </w:r>
      <w:hyperlink w:history="1" r:id="rIdzdztftfhjvcbe5qcjch0a">
        <w:r>
          <w:rPr>
            <w:rStyle w:val="Hyperlink"/>
            <w:color w:val="0563C1"/>
            <w:u w:val="single"/>
          </w:rPr>
          <w:t xml:space="preserve">06 Testing &amp; Topology</w:t>
        </w:r>
      </w:hyperlink>
      <w:r>
        <w:t xml:space="preserve"> · </w:t>
      </w:r>
      <w:hyperlink w:history="1" r:id="rIdpvtxck2yym3m7qlhgwcqy">
        <w:r>
          <w:rPr>
            <w:rStyle w:val="Hyperlink"/>
            <w:color w:val="0563C1"/>
            <w:u w:val="single"/>
          </w:rPr>
          <w:t xml:space="preserve">07 Service Catalog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runs on </w:t>
      </w:r>
      <w:r>
        <w:rPr>
          <w:b/>
          <w:bCs/>
        </w:rPr>
        <w:t xml:space="preserve">Microsoft Fabric SaaS</w:t>
      </w:r>
      <w:r>
        <w:t xml:space="preserve"> as the data plane and </w:t>
      </w:r>
      <w:r>
        <w:rPr>
          <w:b/>
          <w:bCs/>
        </w:rPr>
        <w:t xml:space="preserve">Azure AI + Logic Apps + Durable Functions</w:t>
      </w:r>
      <w:r>
        <w:t xml:space="preserve"> as the intelligence plane. Fabric holds the Bronze / Silver / Gold data; Azure holds the agents, orchestrations, and gates; Git holds the manifest contracts that bind them. This companion tells you how to provision workspaces, shortcut shared tables, wire identities, and stand up a new tenant.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mental model for where each APEX concept physically runs in Fabric vs. Azure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naming and topology rules (Dev/Test/Prod × Practice/Tenant)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worked end-to-end example: provisioning a new L4 tenant workspace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Fabric-specific gotchas that will eat your Tuesday if you don't know them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The Fabric surface area APEX uses</w:t>
      </w:r>
    </w:p>
    <w:p>
      <w:pPr>
        <w:spacing w:after="140"/>
      </w:pPr>
      <w:r>
        <w:t xml:space="preserve">Fabric is a large product. APEX uses a focused subset. Knowing what each piece is for — and what it </w:t>
      </w:r>
      <w:r>
        <w:rPr>
          <w:i/>
          <w:iCs/>
        </w:rPr>
        <w:t xml:space="preserve">isn't</w:t>
      </w:r>
      <w:r>
        <w:t xml:space="preserve"> — saves you from building the wrong thing.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OneLake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The storage substrate under all APEX data; cross-workspace shortcuts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Anything that needs a compute runtime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Lakehouse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Bronze and Silver tables (Delta) + PySpark notebooks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Gold reads (use Warehouse)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Warehouse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T-SQL endpoint for Gold feature views read by agents via MCP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Heavy PySpark transforms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Eventstream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Real-time ingest from Event Hubs / Kafka / Custom endpoints → Bronze Delta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Batch scheduling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 Pipeline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Scheduled batch ingest (Copy Activity, orchestration of notebooks)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Streaming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Notebook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Bronze→Silver transforms in PySpark; ad-hoc exploration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 runtime (agents run in Azure AI Agent Service, not Fabric)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Dataflow Gen2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REST-pull ingest from SaaS SORs (ServiceNow, Coupa)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High-volume or low-latency paths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Mirrored Database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CDC mirror of SQL Server / Cosmos DB / Snowflake → Bronze Delta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Systems without CDC (use Data Pipeline)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 endpoint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Target for MCP tool reads of Gold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Row-level writes (writes go through notebooks + pipelines)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Fabric Git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Source-of-truth for workspace items (pipelines, notebooks, manifests)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Runtime config (use tenant-manifest.json)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Rule of thumb for choosing the ingest pattern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flowchart TD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Q{Where does the SOR data come from?}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Q --&gt;|Event bus / Kafka / EH| A[Eventstream]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Q --&gt;|SQL/Cosmos/Snowflake with CDC| B[Mirrored Database]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Q --&gt;|Scheduled dump / extract / EDI| C[Data Pipeline]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Q --&gt;|REST / SaaS API| D[Dataflow Gen2]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 --&gt; Bronze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 --&gt; Bronze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 --&gt; Bronze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 --&gt; Bronze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Bronze[(Bronze Delta table)]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Workspace topology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The grid</w:t>
      </w:r>
    </w:p>
    <w:p>
      <w:pPr>
        <w:spacing w:after="140"/>
      </w:pPr>
      <w:r>
        <w:t xml:space="preserve">APEX organises Fabric workspaces along two axes: </w:t>
      </w:r>
      <w:r>
        <w:rPr>
          <w:b/>
          <w:bCs/>
        </w:rPr>
        <w:t xml:space="preserve">role</w:t>
      </w:r>
      <w:r>
        <w:t xml:space="preserve"> (Practice vs. Tenant) and </w:t>
      </w:r>
      <w:r>
        <w:rPr>
          <w:b/>
          <w:bCs/>
        </w:rPr>
        <w:t xml:space="preserve">environment</w:t>
      </w:r>
      <w:r>
        <w:t xml:space="preserve"> (Dev / Test / Prod).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Dev                      Test                     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───                      ────                     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Practice    apex-&lt;pr&gt;-practice-dev   apex-&lt;pr&gt;-practice-test   apex-&lt;pr&gt;-practice-prod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Tenant A    apex-&lt;A&gt;-tenant-dev      apex-&lt;A&gt;-tenant-test      apex-&lt;A&gt;-tenant-prod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Tenant B    apex-&lt;A&gt;-tenant-dev      apex-&lt;B&gt;-tenant-test      apex-&lt;B&gt;-tenant-prod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…</w:t>
            </w:r>
          </w:p>
        </w:tc>
      </w:tr>
    </w:tbl>
    <w:p>
      <w:pPr>
        <w:spacing w:after="140"/>
      </w:pPr>
      <w:r>
        <w:t xml:space="preserve">For a practice with 10 client tenants, that's </w:t>
      </w:r>
      <w:r>
        <w:rPr>
          <w:b/>
          <w:bCs/>
        </w:rPr>
        <w:t xml:space="preserve">33 workspaces</w:t>
      </w:r>
      <w:r>
        <w:t xml:space="preserve"> total (3 practice + 30 tenant). Capacity planning isn't per-workspace; Fabric capacity is shared across the workspaces bound to it. Production typically gets its own capacity; Dev and Test share a smaller capacity.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Naming — enforce it in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apex-&lt;practice&gt;-practice-&lt;env&gt;      apex-rc-practice-prod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apex-&lt;client&gt;-tenant-&lt;env&gt;          apex-a7f2c-tenant-prod</w:t>
            </w:r>
          </w:p>
        </w:tc>
      </w:tr>
    </w:tbl>
    <w:p>
      <w:pPr>
        <w:spacing w:after="140"/>
      </w:pPr>
      <w:r>
        <w:t xml:space="preserve">Two non-negotiable rules: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`&lt;client&gt;` is an opaque ID, never a brand name.</w:t>
      </w:r>
      <w:r>
        <w:t xml:space="preserve"> Use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acct-a7f2c-001</w:t>
      </w:r>
      <w:r>
        <w:t xml:space="preserve"> (the same ID validated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validate-practice.js</w:t>
      </w:r>
      <w:r>
        <w:t xml:space="preserve"> rule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PRACTICE-ACCOUNT-ID</w:t>
      </w:r>
      <w:r>
        <w:t xml:space="preserve">). This is compliance hygiene — it means screenshots, logs, and dashboards are safely shareable. 2. </w:t>
      </w:r>
      <w:r>
        <w:rPr>
          <w:b/>
          <w:bCs/>
        </w:rPr>
        <w:t xml:space="preserve">Environment suffix is literal `dev` / `test` / `prod`.</w:t>
      </w:r>
      <w:r>
        <w:t xml:space="preserve"> Don't invent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uat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stg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preprod</w:t>
      </w:r>
      <w:r>
        <w:t xml:space="preserve">. Fabric Git integration and the APEX promoter assume those three names.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2.3 What lives in each workspace</w:t>
      </w:r>
    </w:p>
    <w:p>
      <w:pPr>
        <w:spacing w:after="140"/>
      </w:pPr>
      <w:r>
        <w:rPr>
          <w:b/>
          <w:bCs/>
        </w:rPr>
        <w:t xml:space="preserve">Practice workspace (L3):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schemas.manifest.json</w:t>
      </w:r>
      <w:r>
        <w:t xml:space="preserve"> as a workspace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L3 Silver </w:t>
      </w:r>
      <w:r>
        <w:rPr>
          <w:i/>
          <w:iCs/>
        </w:rPr>
        <w:t xml:space="preserve">reference</w:t>
      </w:r>
      <w:r>
        <w:t xml:space="preserve"> tables (lookups, enums, SCD2 dimension tables — shared across tenants)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L3 Gold </w:t>
      </w:r>
      <w:r>
        <w:rPr>
          <w:i/>
          <w:iCs/>
        </w:rPr>
        <w:t xml:space="preserve">template</w:t>
      </w:r>
      <w:r>
        <w:t xml:space="preserve"> views (what each feature view should look like)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build artifacts produced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ddl-driver.js</w:t>
      </w:r>
    </w:p>
    <w:p>
      <w:pPr>
        <w:spacing w:after="140"/>
      </w:pPr>
      <w:r>
        <w:rPr>
          <w:b/>
          <w:bCs/>
        </w:rPr>
        <w:t xml:space="preserve">Tenant workspace (L4):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tenant-manifest.json</w:t>
      </w:r>
      <w:r>
        <w:t xml:space="preserve"> (pins practice release; lists subscribed services; declares SOR bindings)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tenant Bronze tables (tenant SOR data)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tenant Silver tables (canonicalised, tokenised)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Gold feature views (instantiated from the templates)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Tenant-specific pipelines and eventstreams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APEX on top of Fabric — where every concept physically lives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L1 contract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Git repo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apex-core/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L2 edition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Git tag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v1.2.0</w:t>
            </w:r>
            <w:r>
              <w:t xml:space="preserve"> on apex-core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L3 practice manifest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Lakehouse workspace item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practice-manifest.json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apex-&lt;practice&gt;-practice-&lt;env&gt;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L4 tenant manifest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Lakehouse workspace item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tenant-manifest.json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apex-&lt;client&gt;-tenant-&lt;env&gt;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Canonical Silver schema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Delta table in the tenant Lakehouse, shortcut'd from the Practice reference tables where appropriate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Table-level ACL + OneLake path ACL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Gold feature view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View over Silver in the tenant Warehouse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RLS on the Warehouse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Azure AI Agent Service resource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Managed identity per Agent Service instance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MCP server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Azure Container App (or Function App)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Managed identity per MCP server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Orchestration (declarative)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Logic Apps Standard workflow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Workflow identity = managed identity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Orchestration (stateful)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Durable Functions in a Function App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Managed identity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HITL gate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Teams adaptive card sent via Graph + Power Automate approval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Entra user identity of the approver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Decision audit row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Delta table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apex_audit_log</w:t>
            </w:r>
            <w:r>
              <w:t xml:space="preserve"> in the tenant Lakehouse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Append-only; write-once ACLs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Telemetry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 Insights + Log Analytics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Managed identity writes telemetry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Critical separation</w:t>
      </w:r>
    </w:p>
    <w:p>
      <w:pPr>
        <w:spacing w:after="140"/>
      </w:pPr>
      <w:r>
        <w:rPr>
          <w:b/>
          <w:bCs/>
        </w:rPr>
        <w:t xml:space="preserve">Fabric holds the data. Azure holds the intelligence.</w:t>
      </w:r>
    </w:p>
    <w:p>
      <w:pPr>
        <w:spacing w:after="140"/>
      </w:pPr>
      <w:r>
        <w:t xml:space="preserve">Agents never query Fabric tables directly. They query </w:t>
      </w:r>
      <w:r>
        <w:rPr>
          <w:i/>
          <w:iCs/>
        </w:rPr>
        <w:t xml:space="preserve">MCP tools</w:t>
      </w:r>
      <w:r>
        <w:t xml:space="preserve">, which query the tenant Warehouse (for Gold) or Lakehouse SQL endpoint (for Silver, rarely). The tool is the seam. Breaking that seam — having an agent hit a Fabric table directly — is an anti-pattern that breaks tenant isolation, observability, and version pinning.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Identity &amp; access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Three identity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 (Entra ID)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marisol@walmart.com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approvals; dashboard access; no direct Fabric data reads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Managed identity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mi-apex-mcp-fabric-prod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MCP server → Fabric; Agent Service → MCP server; orchestration runtime → tools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principal (SP)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sp-apex-ci-cd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CI/CD pipelines; manifest deploys; Fabric Git integration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OneLake path-level ACLs</w:t>
      </w:r>
    </w:p>
    <w:p>
      <w:pPr>
        <w:spacing w:after="140"/>
      </w:pPr>
      <w:r>
        <w:t xml:space="preserve">PII segregation is enforced at the OneLake path level (not just at the table level). A typical tenant: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/apex-&lt;client&gt;-tenant-prod/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lakehouse/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Tables/bronze_*                 (read: ingest-mi only)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Tables/silver_*                 (read: silver-reader-mi, agent-tool-mi-readonly-tokens)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Tables/silver_pii_cleartext     (read: pii-unlock-mi only; audit-logged)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Tables/apex_audit_log           (read: observability-mi + compliance-user-group)</w:t>
            </w:r>
          </w:p>
        </w:tc>
      </w:tr>
    </w:tbl>
    <w:p>
      <w:pPr>
        <w:spacing w:after="140"/>
      </w:pPr>
      <w:r>
        <w:t xml:space="preserve">The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silver_pii_cleartext</w:t>
      </w:r>
      <w:r>
        <w:t xml:space="preserve"> path has its own managed identity (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pii-unlock-mi</w:t>
      </w:r>
      <w:r>
        <w:t xml:space="preserve">), a Purview DLP policy on outbound traffic, and append-only audit logging on every access. MCP tools — the normal path agents take — are given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agent-tool-mi-readonly-tokens</w:t>
      </w:r>
      <w:r>
        <w:t xml:space="preserve">, which can read tokenised Silver but </w:t>
      </w:r>
      <w:r>
        <w:rPr>
          <w:b/>
          <w:bCs/>
        </w:rPr>
        <w:t xml:space="preserve">cannot</w:t>
      </w:r>
      <w:r>
        <w:t xml:space="preserve"> see the cleartext path.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4.3 Code example — binding a managed identity to an MCP server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sequenceDiagram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Dev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ACA as Azure Container App (MCP server)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participant Entra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Dev-&gt;&gt;ACA: deploy MCP 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ACA-&gt;&gt;Entra: request managed identity token (audience = Fabric)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Entra--&gt;&gt;ACA: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ACA-&gt;&gt;Fabric: query Gold view with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Fabric--&gt;&gt;ACA: rows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spacing w:after="140"/>
      </w:pPr>
      <w:r>
        <w:rPr>
          <w:b/>
          <w:bCs/>
        </w:rPr>
        <w:t xml:space="preserve">Python (FastMCP bootstrap):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mcp/fabric-mcp/server.py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azure.identity.aio import DefaultAzureCredential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azure.data.tables.aio import TableServiceClient  # illustrative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fastmcp import FastMCP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 = FastMCP("fabric-mcp")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cred = DefaultAzureCredential()  # uses the Container App's managed identity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@mcp.tool()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read_telemetry(since: str, store_id: str)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token = (await cred.get_token("https://api.fabric.microsoft.com/.default")).token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# ... call Fabric SQL endpoint with the token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{"rows": [...]}</w:t>
            </w:r>
          </w:p>
        </w:tc>
      </w:tr>
    </w:tbl>
    <w:p>
      <w:pPr>
        <w:spacing w:after="140"/>
      </w:pPr>
      <w:r>
        <w:rPr>
          <w:b/>
          <w:bCs/>
        </w:rPr>
        <w:t xml:space="preserve">C# (.NET MCP SDK bootstrap):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mcp/fabric-mcp/Program.cs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Azure.Identity;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ModelContextProtocol.Server;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builder = WebApplication.CreateBuilder(args);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builder.Services.AddMcpServer()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.WithName("fabric-mcp")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.WithStdioTransport();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cred = new DefaultAzureCredential(); // uses Container App managed identity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app.MapMcpTool("read_telemetry",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async (string since, string storeId)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token = await cred.GetTokenAsync(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new TokenRequestContext(new[] { "https://api.fabric.microsoft.com/.default"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call Fabric SQL endpoint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return new { rows = new object[] { /* ... */ }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Fabric-specific gotchas (the list that will save your Tuesday)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Shortcut vs. copy.</w:t>
      </w:r>
      <w:r>
        <w:t xml:space="preserve"> Shortcuts are pointers; they don't duplicate storage. Use shortcuts from tenant workspaces to practice reference tables. Don't copy them — you'll drift. 2. </w:t>
      </w:r>
      <w:r>
        <w:rPr>
          <w:b/>
          <w:bCs/>
        </w:rPr>
        <w:t xml:space="preserve">Mirrored Databases lag.</w:t>
      </w:r>
      <w:r>
        <w:t xml:space="preserve"> CDC via Mirrored DB is typically &lt; 60 seconds but can drift to minutes under load. If your agent SLO is "decision within 2 minutes," you need end-to-end latency budgets that include mirror lag. 3. </w:t>
      </w:r>
      <w:r>
        <w:rPr>
          <w:b/>
          <w:bCs/>
        </w:rPr>
        <w:t xml:space="preserve">Capacity bursting isn't free.</w:t>
      </w:r>
      <w:r>
        <w:t xml:space="preserve"> Fabric capacity auto-bursts but accrues "smoothing debt." An agent fleet that bursts at 15:00 every weekday will pay for smoothing on weekends. Right-size base capacity for the p95 concurrent agent invocations. 4. </w:t>
      </w:r>
      <w:r>
        <w:rPr>
          <w:b/>
          <w:bCs/>
        </w:rPr>
        <w:t xml:space="preserve">Workspace Git integration is one-way at a time.</w:t>
      </w:r>
      <w:r>
        <w:t xml:space="preserve"> You can't develop in two workspaces bound to the same Git branch. Use feature branches per dev. 5. </w:t>
      </w:r>
      <w:r>
        <w:rPr>
          <w:b/>
          <w:bCs/>
        </w:rPr>
        <w:t xml:space="preserve">OneLake file paths are case-sensitive</w:t>
      </w:r>
      <w:r>
        <w:t xml:space="preserve"> in shortcuts, even though Windows clients aren't.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Bronze/raw_events</w:t>
      </w:r>
      <w:r>
        <w:t xml:space="preserve"> ≠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bronze/raw_events</w:t>
      </w:r>
      <w:r>
        <w:t xml:space="preserve">. Decide on lowercase-only early. 6. </w:t>
      </w:r>
      <w:r>
        <w:rPr>
          <w:b/>
          <w:bCs/>
        </w:rPr>
        <w:t xml:space="preserve">`%` in identifiers breaks SQL endpoint queries</w:t>
      </w:r>
      <w:r>
        <w:t xml:space="preserve"> even when escaped. If your SOR uses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%</w:t>
      </w:r>
      <w:r>
        <w:t xml:space="preserve"> in IDs, tokenise them at Bronze. 7. </w:t>
      </w:r>
      <w:r>
        <w:rPr>
          <w:b/>
          <w:bCs/>
        </w:rPr>
        <w:t xml:space="preserve">The SQL endpoint caches schema aggressively.</w:t>
      </w:r>
      <w:r>
        <w:t xml:space="preserve"> After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MINOR</w:t>
      </w:r>
      <w:r>
        <w:t xml:space="preserve"> bump adds a column, queries from existing connections don't see it until the connection is recycled. Include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sql_endpoint_recycle</w:t>
      </w:r>
      <w:r>
        <w:t xml:space="preserve"> step in your Silver migration notebooks. 8. </w:t>
      </w:r>
      <w:r>
        <w:rPr>
          <w:b/>
          <w:bCs/>
        </w:rPr>
        <w:t xml:space="preserve">Purview labels don't auto-propagate through SELECT queries.</w:t>
      </w:r>
      <w:r>
        <w:t xml:space="preserve"> If you SELECT from a labelled Silver table into an unlabelled Gold view, the label is lost. Apply labels explicitly on the view. 9. </w:t>
      </w:r>
      <w:r>
        <w:rPr>
          <w:b/>
          <w:bCs/>
        </w:rPr>
        <w:t xml:space="preserve">Fabric capacity units ≠ Azure reserved capacity.</w:t>
      </w:r>
      <w:r>
        <w:t xml:space="preserve"> They bill differently. CFO and infra architect both need the bill layout before go-live. 10. </w:t>
      </w:r>
      <w:r>
        <w:rPr>
          <w:b/>
          <w:bCs/>
        </w:rPr>
        <w:t xml:space="preserve">The `fabric_capacity` field on a service-manifest is advisory</w:t>
      </w:r>
      <w:r>
        <w:t xml:space="preserve">, not enforced at deploy time. A practice admin has to verify capacity is sufficient before accepting a new tenant subscription.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Worked example — stand up a new L4 tenant workspace</w:t>
      </w:r>
    </w:p>
    <w:p>
      <w:pPr>
        <w:spacing w:after="140"/>
      </w:pPr>
      <w:r>
        <w:t xml:space="preserve">Scenario: a new client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acct-a7f2c-001</w:t>
      </w:r>
      <w:r>
        <w:t xml:space="preserve"> has subscribed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 (Cold Chain Excursion Response). They need Dev, Test, Prod workspaces provisioned.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1 — Provision the three tenant workspaces</w:t>
      </w:r>
    </w:p>
    <w:p>
      <w:pPr>
        <w:spacing w:after="140"/>
      </w:pPr>
      <w:r>
        <w:rPr>
          <w:b/>
          <w:bCs/>
        </w:rPr>
        <w:t xml:space="preserve">Python (using the Fabric REST API):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tools/provision-tenant.py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httpx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azure.identity import DefaultAzureCredential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FABRIC_API = "https://api.fabric.microsoft.com/v1"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CLIENT_ID = "acct-a7f2c-001"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CAPACITY_ID = "cap-apex-prod-f8"  # configured Fabric capacity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cred = DefaultAzureCredential()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token = cred.get_token("https://api.fabric.microsoft.com/.default").token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headers = {"Authorization": f"Bearer {token}"}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for env in ["dev", "test", "prod"]: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body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"displayName": f"apex-{CLIENT_ID}-tenant-{env}",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"capacityId": CAPACITY_ID,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"description": f"APEX L4 tenant workspace ({env})"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 = httpx.post(f"{FABRIC_API}/workspaces", json=body, headers=headers)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r.raise_for_status()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print(f"Provisioned {body['displayName']} → workspace {r.json()['id']}")</w:t>
            </w:r>
          </w:p>
        </w:tc>
      </w:tr>
    </w:tbl>
    <w:p>
      <w:pPr>
        <w:spacing w:after="140"/>
      </w:pPr>
      <w:r>
        <w:rPr>
          <w:b/>
          <w:bCs/>
        </w:rPr>
        <w:t xml:space="preserve">C# (.NET 8):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Tools/ProvisionTenant/Program.cs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Azure.Identity;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using System.Net.Http.Json;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string FabricApi = "https://api.fabric.microsoft.com/v1";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string ClientId = "acct-a7f2c-001";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string CapacityId = "cap-apex-prod-f8";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cred = new DefaultAzureCredential();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token = await cred.GetTokenAsync(new TokenRequestContext(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new[] { "https://api.fabric.microsoft.com/.default"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http = new HttpClient();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http.DefaultRequestHeaders.Authorization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new AuthenticationHeaderValue("Bearer", token.Token);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foreach (var env in new[] { "dev", "test", "prod"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body = new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displayName = $"apex-{ClientId}-tenant-{env}",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capacityId = CapacityId,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description = $"APEX L4 tenant workspace ({env})"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resp = await http.PostAsJsonAsync($"{FabricApi}/workspaces", body);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resp.EnsureSuccessStatusCode();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result = await resp.Content.ReadFromJsonAsync&lt;dynamic&gt;();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Console.WriteLine($"Provisioned {body.displayName} → workspace {result.id}");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2 — Shortcut the L3 Practice reference tables</w:t>
      </w:r>
    </w:p>
    <w:p>
      <w:pPr>
        <w:spacing w:after="140"/>
      </w:pPr>
      <w:r>
        <w:t xml:space="preserve">Inside each new tenant workspace, create OneLake shortcuts to the Practice workspace's reference tables: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Target:  /apex-rc-practice-prod/lakehouse/Tables/ref_store_master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Shortcut in: /apex-acct-a7f2c-001-tenant-prod/lakehouse/Tables/ref_store_master</w:t>
            </w:r>
          </w:p>
        </w:tc>
      </w:tr>
    </w:tbl>
    <w:p>
      <w:pPr>
        <w:spacing w:after="140"/>
      </w:pPr>
      <w:r>
        <w:t xml:space="preserve">Repeat for every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ref_*</w:t>
      </w:r>
      <w:r>
        <w:t xml:space="preserve"> table in the practice lakehouse. Do it via the Fabric API (same pattern as workspace creation; endpoint is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/workspaces/{id}/items/{lakehouse-id}/shortcuts</w:t>
      </w:r>
      <w:r>
        <w:t xml:space="preserve">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3 — Deploy the tenant-manifest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"tenant_id": "acct-a7f2c-001",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"practice": "RC",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"practice_pinned_version":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"subscribed_services": ["APEX-RC-CXP-01"],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"sor_connections":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"monnit-iot": { "workspace_resource": "eventstream-monnit-prod"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"manhattan-wms": { "workspace_resource": "mirrored-db-wms-prod"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"identity_groups":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"store-mod": "aad-acct-a7f2c-001-store-mods",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"regional-ops-director": "aad-acct-a7f2c-001-regional-ops"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"auto_upgrade_policy": { "PATCH": "ZERO_TOUCH", "MINOR": "ACK_ONLY", "MAJOR": "HITL"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t xml:space="preserve">Upload as a workspace item and validate: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apex-core/tools/apex-validate.js --tenant /path/to/tenant-manifest.json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4 — Provision the SOR connectors</w:t>
      </w:r>
    </w:p>
    <w:p>
      <w:pPr>
        <w:spacing w:after="140"/>
      </w:pPr>
      <w:r>
        <w:t xml:space="preserve">For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monnit-iot</w:t>
      </w:r>
      <w:r>
        <w:t xml:space="preserve">: create an Eventstream in the tenant workspace pointing at the client's Monnit Event Hub, sink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bronze_cold_chain_telemetry</w:t>
      </w:r>
      <w:r>
        <w:t xml:space="preserve">.</w:t>
      </w:r>
    </w:p>
    <w:p>
      <w:pPr>
        <w:spacing w:after="140"/>
      </w:pPr>
      <w:r>
        <w:t xml:space="preserve">For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manhattan-wms</w:t>
      </w:r>
      <w:r>
        <w:t xml:space="preserve">: create a Mirrored Database item pointing at the client's WMS SQL Server, enabling CDC, sink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bronze_store_inventory_position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5 — Run the Medallion DDL driver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apex-core/tools/ddl-driver.js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--tenant acct-a7f2c-001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--env prod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--services APEX-RC-CXP-01</w:t>
            </w:r>
          </w:p>
        </w:tc>
      </w:tr>
    </w:tbl>
    <w:p>
      <w:pPr>
        <w:spacing w:after="140"/>
      </w:pPr>
      <w:r>
        <w:t xml:space="preserve">This emits and executes Bronze → Silver → Gold DDL for just the services the tenant subscribed to.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6 — Bind the agent fleet</w:t>
      </w:r>
    </w:p>
    <w:p>
      <w:pPr>
        <w:spacing w:after="140"/>
      </w:pPr>
      <w:r>
        <w:t xml:space="preserve">In Azure AI Agent Service, create (or attach to) the RC Practice agent fleet and grant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agent-tool-mi-readonly-tokens</w:t>
      </w:r>
      <w:r>
        <w:t xml:space="preserve"> on the tenant workspace.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Step 7 — Smoke test</w:t>
      </w:r>
    </w:p>
    <w:p>
      <w:pPr>
        <w:spacing w:after="140"/>
      </w:pPr>
      <w:r>
        <w:t xml:space="preserve">Trigger a synthetic cold-chain excursion event against the Monnit Eventstream. Verify: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Bronze row lands within 60 s (p95)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Silver row (canonical) lands within 90 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SCM-A04</w:t>
      </w:r>
      <w:r>
        <w:t xml:space="preserve"> invocation appears in App Insights with a trace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Teams adaptive card arrives in the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aad-acct-a7f2c-001-store-mods</w:t>
      </w:r>
      <w:r>
        <w:t xml:space="preserve"> channel</w:t>
      </w:r>
    </w:p>
    <w:p>
      <w:pPr>
        <w:spacing w:after="140"/>
      </w:pPr>
      <w:r>
        <w:t xml:space="preserve">If all four succeed, the tenant is live on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Deploying the Silver transforms: </w:t>
      </w:r>
      <w:hyperlink w:history="1" r:id="rIdljerfb8tiw0iyt2uqejj6">
        <w:r>
          <w:rPr>
            <w:rStyle w:val="Hyperlink"/>
            <w:color w:val="0563C1"/>
            <w:u w:val="single"/>
          </w:rPr>
          <w:t xml:space="preserve">Companion 02 — Medallion + SOR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Writing the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read_telemetry</w:t>
      </w:r>
      <w:r>
        <w:t xml:space="preserve"> MCP tool used above: </w:t>
      </w:r>
      <w:hyperlink w:history="1" r:id="rIdzzk9nnqwceeywjddvc7hm">
        <w:r>
          <w:rPr>
            <w:rStyle w:val="Hyperlink"/>
            <w:color w:val="0563C1"/>
            <w:u w:val="single"/>
          </w:rPr>
          <w:t xml:space="preserve">Companion 03 — MCP Servers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Wiring the Teams adaptive card: </w:t>
      </w:r>
      <w:hyperlink w:history="1" r:id="rIdc4weubtcawjq9yrefoqs1">
        <w:r>
          <w:rPr>
            <w:rStyle w:val="Hyperlink"/>
            <w:color w:val="0563C1"/>
            <w:u w:val="single"/>
          </w:rPr>
          <w:t xml:space="preserve">Companion 04 — Agent Lifecycle + HITL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App Insights and managed identity hardening: </w:t>
      </w:r>
      <w:hyperlink w:history="1" r:id="rIdhjlty89muzfreroynnar1">
        <w:r>
          <w:rPr>
            <w:rStyle w:val="Hyperlink"/>
            <w:color w:val="0563C1"/>
            <w:u w:val="single"/>
          </w:rPr>
          <w:t xml:space="preserve">Companion 05 — Observability &amp; Security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Cross-env promotion playbook: </w:t>
      </w:r>
      <w:hyperlink w:history="1" r:id="rIdlj_x6p6wh8xqvkjb58ohf">
        <w:r>
          <w:rPr>
            <w:rStyle w:val="Hyperlink"/>
            <w:color w:val="0563C1"/>
            <w:u w:val="single"/>
          </w:rPr>
          <w:t xml:space="preserve">Companion 06 — Testing &amp; Topology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 service manifest: </w:t>
      </w:r>
      <w:hyperlink w:history="1" r:id="rIdnsiu-ddasueovlhcpsclg">
        <w:r>
          <w:rPr>
            <w:rStyle w:val="Hyperlink"/>
            <w:color w:val="0563C1"/>
            <w:u w:val="single"/>
          </w:rPr>
          <w:t xml:space="preserve">Companion 07 — Service Catalog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01 — Fabric Layering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ycqd3in0maa9-qzovrqv" Type="http://schemas.openxmlformats.org/officeDocument/2006/relationships/hyperlink" Target="../APEX-developer-guide.md" TargetMode="External"/><Relationship Id="rId3k0et0uuwcsgh4o_31eii" Type="http://schemas.openxmlformats.org/officeDocument/2006/relationships/hyperlink" Target="./02-medallion-sor.md" TargetMode="External"/><Relationship Id="rIdrj5hksei5cy4y6l0uuyex" Type="http://schemas.openxmlformats.org/officeDocument/2006/relationships/hyperlink" Target="./03-mcp-servers.md" TargetMode="External"/><Relationship Id="rIdhxreee8adxe6qoqkpnfzi" Type="http://schemas.openxmlformats.org/officeDocument/2006/relationships/hyperlink" Target="./04-agent-lifecycle.md" TargetMode="External"/><Relationship Id="rIdbjf3e4k_o5a6qorky2fl5" Type="http://schemas.openxmlformats.org/officeDocument/2006/relationships/hyperlink" Target="./05-observability-security.md" TargetMode="External"/><Relationship Id="rIdzdztftfhjvcbe5qcjch0a" Type="http://schemas.openxmlformats.org/officeDocument/2006/relationships/hyperlink" Target="./06-testing-topology.md" TargetMode="External"/><Relationship Id="rIdpvtxck2yym3m7qlhgwcqy" Type="http://schemas.openxmlformats.org/officeDocument/2006/relationships/hyperlink" Target="./07-service-catalog.md" TargetMode="External"/><Relationship Id="rIdljerfb8tiw0iyt2uqejj6" Type="http://schemas.openxmlformats.org/officeDocument/2006/relationships/hyperlink" Target="./02-medallion-sor.md" TargetMode="External"/><Relationship Id="rIdzzk9nnqwceeywjddvc7hm" Type="http://schemas.openxmlformats.org/officeDocument/2006/relationships/hyperlink" Target="./03-mcp-servers.md" TargetMode="External"/><Relationship Id="rIdc4weubtcawjq9yrefoqs1" Type="http://schemas.openxmlformats.org/officeDocument/2006/relationships/hyperlink" Target="./04-agent-lifecycle.md" TargetMode="External"/><Relationship Id="rIdhjlty89muzfreroynnar1" Type="http://schemas.openxmlformats.org/officeDocument/2006/relationships/hyperlink" Target="./05-observability-security.md" TargetMode="External"/><Relationship Id="rIdlj_x6p6wh8xqvkjb58ohf" Type="http://schemas.openxmlformats.org/officeDocument/2006/relationships/hyperlink" Target="./06-testing-topology.md" TargetMode="External"/><Relationship Id="rIdnsiu-ddasueovlhcpsclg" Type="http://schemas.openxmlformats.org/officeDocument/2006/relationships/hyperlink" Target="./07-service-catalog.md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01 — Fabric Layering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2026-04-18T16:39:18.624Z</dcterms:created>
  <dcterms:modified xsi:type="dcterms:W3CDTF">2026-04-18T16:39:18.624Z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