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A2339"/>
          <w:sz w:val="36"/>
          <w:szCs w:val="36"/>
        </w:rPr>
        <w:t xml:space="preserve">Companion 05 — Observability &amp; Security</w:t>
      </w:r>
    </w:p>
    <w:p>
      <w:pPr>
        <w:spacing w:after="140"/>
      </w:pPr>
      <w:r>
        <w:rPr>
          <w:b/>
          <w:bCs/>
        </w:rPr>
        <w:t xml:space="preserve">APEX Core v1.2 · Developer Guide v1.0 · 2026-04-18</w:t>
      </w:r>
    </w:p>
    <w:p>
      <w:pPr>
        <w:pBdr>
          <w:left w:val="single" w:color="2DD4BF" w:sz="20" w:space="12"/>
        </w:pBdr>
        <w:spacing w:after="140"/>
        <w:ind w:left="360"/>
      </w:pPr>
      <w:r>
        <w:rPr>
          <w:b/>
          <w:bCs/>
        </w:rPr>
        <w:t xml:space="preserve">Parent:</w:t>
      </w:r>
      <w:r>
        <w:t xml:space="preserve"> </w:t>
      </w:r>
      <w:hyperlink w:history="1" r:id="rIdmmlsb8qtx7li6au5n7wpw">
        <w:r>
          <w:rPr>
            <w:rStyle w:val="Hyperlink"/>
            <w:color w:val="0563C1"/>
            <w:u w:val="single"/>
          </w:rPr>
          <w:t xml:space="preserve">`APEX-developer-guide.md`</w:t>
        </w:r>
      </w:hyperlink>
      <w:r>
        <w:t xml:space="preserve"> · </w:t>
      </w:r>
      <w:r>
        <w:rPr>
          <w:b/>
          <w:bCs/>
        </w:rPr>
        <w:t xml:space="preserve">Previous:</w:t>
      </w:r>
      <w:r>
        <w:t xml:space="preserve"> </w:t>
      </w:r>
      <w:hyperlink w:history="1" r:id="rIdx_dxumseai0w37atfshkq">
        <w:r>
          <w:rPr>
            <w:rStyle w:val="Hyperlink"/>
            <w:color w:val="0563C1"/>
            <w:u w:val="single"/>
          </w:rPr>
          <w:t xml:space="preserve">04 Agent Lifecycle</w:t>
        </w:r>
      </w:hyperlink>
      <w:r>
        <w:t xml:space="preserve"> · </w:t>
      </w:r>
      <w:r>
        <w:rPr>
          <w:b/>
          <w:bCs/>
        </w:rPr>
        <w:t xml:space="preserve">Next:</w:t>
      </w:r>
      <w:r>
        <w:t xml:space="preserve"> </w:t>
      </w:r>
      <w:hyperlink w:history="1" r:id="rIdwu79wtkqmn9n6munnr5cs">
        <w:r>
          <w:rPr>
            <w:rStyle w:val="Hyperlink"/>
            <w:color w:val="0563C1"/>
            <w:u w:val="single"/>
          </w:rPr>
          <w:t xml:space="preserve">06 Testing &amp; Topology</w:t>
        </w:r>
      </w:hyperlink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TL;DR</w:t>
      </w:r>
    </w:p>
    <w:p>
      <w:pPr>
        <w:spacing w:after="140"/>
      </w:pPr>
      <w:r>
        <w:t xml:space="preserve">APEX bakes observability and security into the contract, not bolts them on. Every agent invocation is a </w:t>
      </w:r>
      <w:r>
        <w:rPr>
          <w:b/>
          <w:bCs/>
        </w:rPr>
        <w:t xml:space="preserve">traceable operation</w:t>
      </w:r>
      <w:r>
        <w:t xml:space="preserve"> in App Insights with the trigger event, DAG steps, MCP tool calls, HITL wait, decision, and rollback pointer all stitched under one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operation_Id</w:t>
      </w:r>
      <w:r>
        <w:t xml:space="preserve">. Every data access is governed by </w:t>
      </w:r>
      <w:r>
        <w:rPr>
          <w:b/>
          <w:bCs/>
        </w:rPr>
        <w:t xml:space="preserve">managed identity + OneLake path-ACL + Purview label</w:t>
      </w:r>
      <w:r>
        <w:t xml:space="preserve">. PII tokenisation is contractual at the Silver boundary; reverse-tokenisation is audit-logged. This companion gives you the telemetry model, the dashboard and alert library, the identity architecture, the PII regime, and the compliance posture per practice.</w:t>
      </w:r>
    </w:p>
    <w:p>
      <w:pPr>
        <w:spacing w:after="140"/>
      </w:pPr>
      <w:r>
        <w:rPr>
          <w:b/>
          <w:bCs/>
        </w:rPr>
        <w:t xml:space="preserve">What you'll leave with: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trace model (how a single excursion becomes one operation tree)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Azure Monitor workbook layout and the five KPIs every APEX dashboard ships with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KQL queries for the five dashboards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full identity map (users, managed identities, service principals) with code samples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PII tokenisation and the right-to-erasure replay pattern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compliance matrix (HIPAA / SOX / PCI / GDPR) per practice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1. Telemetry model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1.1 One excursion = one operation tree</w:t>
      </w:r>
    </w:p>
    <w:p>
      <w:pPr>
        <w:spacing w:after="140"/>
      </w:pPr>
      <w:r>
        <w:t xml:space="preserve">Every trigger event gets a single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operation_Id</w:t>
      </w:r>
      <w:r>
        <w:t xml:space="preserve"> that stitches together </w:t>
      </w:r>
      <w:r>
        <w:rPr>
          <w:i/>
          <w:iCs/>
        </w:rPr>
        <w:t xml:space="preserve">all</w:t>
      </w:r>
      <w:r>
        <w:t xml:space="preserve"> downstream work: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operation_Id: 3fa9b4c2-…-e1f7c09b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ingest.bronze_write             15 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silver.transform                82 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eventgrid.publish               4 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orchestration.start (ORCH-03)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agent.invoke (SCM-A04)      2,140 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   ├── tool.call (fabric-mcp.read_cold_chain_telemetry)   120 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   │   └── fabric.sql.query                                94 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   └── tool.call (fda-mcp.lookup_threshold)                42 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agent.invoke (SCM-A05)      2,980 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   ├── tool.call (fabric-mcp.read_lot_exposure)            180 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   └── tool.call (tokenizer-mcp.lookup_consent)            18 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agent.invoke (SCM-A06)      1,620 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   └── tool.call (ledger-mcp.stage_writeoff)               73 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└── hitl.prompt (Teams card)    pending → 84,322 ms (user decision)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└── audit.insert            12 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└── rollback_pointer_ready          orch_id_5c8d (reversible within 7 days)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1.2 Span attributes</w:t>
      </w:r>
    </w:p>
    <w:p>
      <w:pPr>
        <w:spacing w:after="140"/>
      </w:pPr>
      <w:r>
        <w:t xml:space="preserve">Every span carries: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tenant_id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Per-tenant scoping; required in every span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practice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RC / HLS / ER / AXLE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service_id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Which service SKU this invocation belongs to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agent_id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agent_version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What reasoned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orchestration_id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What orchestrated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gate_kind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HITL / ACK_ONLY / ZERO_TOUCH / ESCALATION (on the gate span)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decider_oid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Entra object ID of the approver (on the gate span, post-decision)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input_hash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output_hash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SHA-256 of the canonical input/output for reproducibility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rollback_pointer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ID of the compensating orchestration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1.3 Instrumenting an agent (code)</w:t>
      </w:r>
    </w:p>
    <w:p>
      <w:pPr>
        <w:spacing w:after="140"/>
      </w:pPr>
      <w:r>
        <w:rPr>
          <w:b/>
          <w:bCs/>
        </w:rPr>
        <w:t xml:space="preserve">Python: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apex-rc/agents/SCM-A04/runtime.py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opentelemetry import trace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opentelemetry.trace import Status, StatusCode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tracer = trace.get_tracer("apex-rc.scm-a04")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async def invoke(ctx, event):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with tracer.start_as_current_span("agent.invoke") as span: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span.set_attribute("tenant_id",     ctx.tenant_id)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span.set_attribute("agent_id",      "SCM-A04")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span.set_attribute("agent_version", "1.2.0")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span.set_attribute("service_id",    ctx.service_id)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try: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result = await reason(event)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span.set_attribute("output_hash", sha256(result))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return result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except Exception as ex: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span.set_status(Status(StatusCode.ERROR, str(ex)))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raise</w:t>
            </w:r>
          </w:p>
        </w:tc>
      </w:tr>
    </w:tbl>
    <w:p>
      <w:pPr>
        <w:spacing w:after="140"/>
      </w:pPr>
      <w:r>
        <w:rPr>
          <w:b/>
          <w:bCs/>
        </w:rPr>
        <w:t xml:space="preserve">C#: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CSHARP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apex-rc/agents/SCM-A04/Runtime.cs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private static readonly ActivitySource Source = new("apex-rc.scm-a04");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async Task&lt;AgentResult&gt; InvokeAsync(AgentContext ctx, ExcursionEvent ev)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using var activity = Source.StartActivity("agent.invoke");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activity?.SetTag("tenant_id",     ctx.TenantId);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activity?.SetTag("agent_id",      "SCM-A04");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activity?.SetTag("agent_version", "1.2.0");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activity?.SetTag("service_id",    ctx.ServiceId);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var result = await ReasonAsync(ev);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activity?.SetTag("output_hash", Sha256(result));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return result;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 catch (Exception ex)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activity?.SetStatus(ActivityStatusCode.Error, ex.Message);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throw;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2. Dashboards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2.1 The APEX workbook — five panels</w:t>
      </w:r>
    </w:p>
    <w:p>
      <w:pPr>
        <w:spacing w:after="140"/>
      </w:pPr>
      <w:r>
        <w:t xml:space="preserve">Every APEX deployment ships with one Azure Monitor workbook. The five panels are non-negotiable: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1. ORCH SUCCESS RATE (24h, by orchestration_id)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target: ≥ 98.5 %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────────────────────────────────────────────────────────────────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2. MEAN TIME TO DECISION (24h, p50 / p95 / p99)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target: p95 ≤ service SLO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────────────────────────────────────────────────────────────────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3. HITL QUEUE DEPTH (real-time, per gate owner)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alert: &gt; 10 pending for &gt; 30 min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────────────────────────────────────────────────────────────────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4. SCHEMA DRIFT INCIDENTS (7d, count by rule)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target: 0 critical; minor incidents reviewed weekly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────────────────────────────────────────────────────────────────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5. MCP TOOL FAILURE RATE (24h, by tool name)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alert: &gt; 1 % over 15-min window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2.2 KQL — orchestration success rate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KQL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1. ORCH SUCCESS RATE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customEvents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where name == "orchestration.complete"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where timestamp &gt; ago(24h)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extend tenant = tostring(customDimensions.tenant_id),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orch   = tostring(customDimensions.orchestration_id),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status = tostring(customDimensions.status)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summarize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success = countif(status == "SUCCEEDED"),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failed  = countif(status in ("FAILED","TIMEOUT","CANCELLED")),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total   = count()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by tenant, orch, bin(timestamp, 1h)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extend rate = todouble(success) / todouble(total)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project timestamp, tenant, orch, success, failed, total, rate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render timechart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2.3 KQL — mean time to decision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KQL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2. MEAN TIME TO DECISION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customEvents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where name == "hitl.decision"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where timestamp &gt; ago(24h)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extend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tenant   = tostring(customDimensions.tenant_id),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service  = tostring(customDimensions.service_id),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duration = todouble(customDimensions.wait_duration_sec)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summarize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p50 = percentile(duration, 50),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p95 = percentile(duration, 95),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p99 = percentile(duration, 99)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by tenant, service, bin(timestamp, 1h)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render timechart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2.4 KQL — HITL queue depth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KQL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3. HITL QUEUE DEPTH (real-time)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customEvents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where timestamp &gt; ago(2h)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where name in ("hitl.prompt", "hitl.decision")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extend orch_id = tostring(customDimensions.orchestration_id),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gate_owner = tostring(customDimensions.gate_owner)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summarize has_decision = countif(name == "hitl.decision") by orch_id, gate_owner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where has_decision ==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summarize pending = count() by gate_owner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order by pending desc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2.5 KQL — schema drift incidents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KQL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4. SCHEMA DRIFT INCIDENTS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customEvents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where name == "manifest.validate.finding"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where timestamp &gt; ago(7d)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extend severity = tostring(customDimensions.severity),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rule     = tostring(customDimensions.rule)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where severity == "critical"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summarize count() by rule, bin(timestamp, 1d)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render columnchart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2.6 KQL — MCP tool failure rate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KQL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5. MCP TOOL FAILURE RATE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dependencies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where type == "MCP Tool"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where timestamp &gt; ago(24h)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extend tool = tostring(customDimensions.tool_name)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summarize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calls    = count(),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failures = countif(success == 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by tool, bin(timestamp, 15m)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extend rate = todouble(failures) / todouble(calls)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where rate &gt;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render timechart</w:t>
            </w:r>
          </w:p>
        </w:tc>
      </w:tr>
    </w:tbl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3. Alerting</w:t>
      </w:r>
    </w:p>
    <w:p>
      <w:pPr>
        <w:spacing w:after="140"/>
      </w:pPr>
      <w:r>
        <w:t xml:space="preserve">The five alerts every APEX deployment ships with: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ManifestDrift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Any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manifest.validate.finding</w:t>
            </w:r>
            <w:r>
              <w:t xml:space="preserve"> with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severity=critical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Practice SRE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contract-level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SloBurnHITL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HITL p95 &gt; service SLO for 3 consecutive 15-min windows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Practice SRE + service owner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per-service SLO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SloBurnAgent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Agent p95 response &gt; 8 s for 3 consecutive 15-min windows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Agent owner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per-agent SLO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DecisionBacklog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HITL queue depth &gt; threshold for &gt; 30 min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Gate owner (tenant manager)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service SLO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MCPToolFailureSpike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Tool failure rate &gt; 1 % over 15-min window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Tool owner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availability SLO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t xml:space="preserve">Alerts use Action Groups configured per practice, notifying Teams channels and PagerDuty for on-call rotations.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4. Identity model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4.1 Three classes, one picture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MERMAID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flowchart TB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subgraph Users["👤  Entra ID Users"]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u1[Marisol Reyes&lt;br/&gt;Store MOD]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u2[Regional Ops Director]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u3[Compliance Officer]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subgraph MI["🔐  Managed Identities"]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mi1[mi-apex-rc-agent&lt;br/&gt;Agent Service runtime]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mi2[mi-apex-rc-mcp&lt;br/&gt;MCP servers]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mi3[mi-apex-rc-ingest&lt;br/&gt;Bronze writers]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mi4[mi-apex-rc-pii-unlock&lt;br/&gt;Reverse-tokenise only]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mi5[mi-apex-rc-observability&lt;br/&gt;Audit log readers]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subgraph SP["🔧  Service Principals"]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sp1[sp-apex-ci-cd&lt;br/&gt;Pipelines]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sp2[sp-apex-release&lt;br/&gt;Bundle promotion]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Users --&gt; |HITL approvals|Teams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Users --&gt; |Dashboards|Workbook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mi1 --&gt; |invoke tools|mi2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mi2 --&gt; |SELECT on Gold|Fabric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mi3 --&gt; |WRITE on Bronze|Fabric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mi4 --&gt; |SELECT on silver_pii_cleartext|Fabric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mi4 -.-&gt; |audit every call|AuditLog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mi5 --&gt; |SELECT on apex_audit_log|Fabric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sp1 --&gt; |deploy manifests|Fabric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sp2 --&gt; |pin version|Fabric</w:t>
            </w:r>
          </w:p>
          <w:p>
            <w:pPr>
              <w:spacing w:before="40"/>
            </w:pPr>
            <w:r>
              <w:rPr>
                <w:i/>
                <w:iCs/>
                <w:color w:val="64748B"/>
                <w:sz w:val="16"/>
                <w:szCs w:val="16"/>
              </w:rPr>
              <w:t xml:space="preserve">(Mermaid diagram — see markdown source for rendered version)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4.2 Managed-identity wiring (code)</w:t>
      </w:r>
    </w:p>
    <w:p>
      <w:pPr>
        <w:spacing w:after="140"/>
      </w:pPr>
      <w:r>
        <w:rPr>
          <w:b/>
          <w:bCs/>
        </w:rPr>
        <w:t xml:space="preserve">Python — Agent Service → Fabric via MCP: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The Agent Service runtime sets X-APEX-Tenant-Id on every tool call.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The MCP server's managed identity handles the token exchange.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azure.identity.aio import DefaultAzureCredential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credential = DefaultAzureCredential()  # uses mi-apex-rc-mcp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async def query_fabric(sql, params, tenant_id):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token = await credential.get_token("https://api.fabric.microsoft.com/.default")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# Include tenant_id in the query's WHERE clause AND as an OTel attribute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...</w:t>
            </w:r>
          </w:p>
        </w:tc>
      </w:tr>
    </w:tbl>
    <w:p>
      <w:pPr>
        <w:spacing w:after="140"/>
      </w:pPr>
      <w:r>
        <w:rPr>
          <w:b/>
          <w:bCs/>
        </w:rPr>
        <w:t xml:space="preserve">C# — same pattern: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CSHARP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private readonly TokenCredential _cred = new DefaultAzureCredential();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async Task&lt;IReadOnlyList&lt;T&gt;&gt; QueryAsync&lt;T&gt;(string sql, object parms, string tenantId)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token = await _cred.GetTokenAsync(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new TokenRequestContext(new[] { "https://api.fabric.microsoft.com/.default" }),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CancellationToken.None);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//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4.3 Per-tenant identity segregation</w:t>
      </w:r>
    </w:p>
    <w:p>
      <w:pPr>
        <w:spacing w:after="140"/>
      </w:pPr>
      <w:r>
        <w:t xml:space="preserve">Each L4 tenant has its own managed identity too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mi-apex-&lt;tenant&gt;-mcp-read</w:t>
      </w:r>
      <w:r>
        <w:t xml:space="preserve"> — so a tenant's MCP requests carry a tenant-scoped identity, not a practice-wide one. This is belt-and-suspenders: even if the header-based scoping broke, the identity itself can't read another tenant's data.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5. PII &amp; data protection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5.1 Tokenisation contract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Rule:</w:t>
      </w:r>
      <w:r>
        <w:t xml:space="preserve"> cleartext PII never crosses Bronze → Silver.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Rule:</w:t>
      </w:r>
      <w:r>
        <w:t xml:space="preserve"> tokens are stable (same cleartext maps to same token across invocations).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Rule:</w:t>
      </w:r>
      <w:r>
        <w:t xml:space="preserve"> reverse-tokenisation requires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mi-apex-&lt;practice&gt;-pii-unlock</w:t>
      </w:r>
      <w:r>
        <w:t xml:space="preserve"> </w:t>
      </w:r>
      <w:r>
        <w:rPr>
          <w:b/>
          <w:bCs/>
        </w:rPr>
        <w:t xml:space="preserve">and</w:t>
      </w:r>
      <w:r>
        <w:t xml:space="preserve"> emits an audit row.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5.2 Purview labels and DLP</w:t>
      </w:r>
    </w:p>
    <w:p>
      <w:pPr>
        <w:spacing w:after="140"/>
      </w:pPr>
      <w:r>
        <w:t xml:space="preserve">Every PII column carries a </w:t>
      </w:r>
      <w:r>
        <w:rPr>
          <w:b/>
          <w:bCs/>
        </w:rPr>
        <w:t xml:space="preserve">Purview sensitivity label</w:t>
      </w:r>
      <w:r>
        <w:t xml:space="preserve"> applied at Silver write time: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apex-rc/notebooks/silver/apply_purview_label.py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apex_purview import PurviewLabeler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labeler = PurviewLabeler(workspace="apex-rc-practice-prod")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labeler.label_table(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table="silver_customer_incident",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label="confidential-pii-tokenised",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properties={ "regulation": "GDPR,CCPA",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"retention_years": 7 })</w:t>
            </w:r>
          </w:p>
        </w:tc>
      </w:tr>
    </w:tbl>
    <w:p>
      <w:pPr>
        <w:spacing w:after="140"/>
      </w:pPr>
      <w:r>
        <w:t xml:space="preserve">When an agent tries to return cleartext customer data in an outbound response, Purview DLP </w:t>
      </w:r>
      <w:r>
        <w:rPr>
          <w:b/>
          <w:bCs/>
        </w:rPr>
        <w:t xml:space="preserve">blocks the response</w:t>
      </w:r>
      <w:r>
        <w:t xml:space="preserve"> and the agent gets a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-32003 DLP_VIOLATION</w:t>
      </w:r>
      <w:r>
        <w:t xml:space="preserve"> error instead.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5.3 Right-to-erasure (GDPR / CCPA replay pattern)</w:t>
      </w:r>
    </w:p>
    <w:p>
      <w:pPr>
        <w:spacing w:after="140"/>
      </w:pPr>
      <w:r>
        <w:t xml:space="preserve">1. Customer exercises right to erasure — identifies by PII (email or phone). 2.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tokenizer-mcp.reverse_lookup</w:t>
      </w:r>
      <w:r>
        <w:t xml:space="preserve"> finds the stable token with audit. 3. Retention-aware erasure workflow: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all rows referencing that token as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erasure_requested_ts = now()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rows past regulatory retention, delete in place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rows still within retention (e.g., 7-year financial), re-tokenise with an unrelated token and mark the original token as "tombstoned"</w:t>
      </w:r>
    </w:p>
    <w:p>
      <w:pPr>
        <w:spacing w:after="140"/>
      </w:pPr>
      <w:r>
        <w:t xml:space="preserve">4. Replay affected orchestrations (last 30 days) with the new token — check no decision outputs depend on now-erased cleartext references 5. Log the erasure in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apex_audit_log</w:t>
      </w:r>
      <w:r>
        <w:t xml:space="preserve"> with a retention-exempt flag</w:t>
      </w:r>
    </w:p>
    <w:p>
      <w:pPr>
        <w:spacing w:after="140"/>
      </w:pPr>
      <w:r>
        <w:t xml:space="preserve">Agents never touch the reverse-lookup. They see tokens. Erasure is a pipeline-level concern.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5.4 "Consent-gated" field convention</w:t>
      </w:r>
    </w:p>
    <w:p>
      <w:pPr>
        <w:spacing w:after="140"/>
      </w:pPr>
      <w:r>
        <w:t xml:space="preserve">Some fields are read-only when consent is absent. E.g.,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loyalty_state.consent_contact</w:t>
      </w:r>
      <w:r>
        <w:t xml:space="preserve"> — if false, tools that would generate customer outreach refuse to return the token. Implemented in the tokenizer-mcp's lookup path, not in each agent.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6. Compliance posture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6.1 Practice × regulation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HIPAA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n/a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n/a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n/a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SOX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partial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partial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required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PCI DSS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n/a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n/a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n/a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GDPR / CCPA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required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FDA 21 CFR Part 11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partial (recalls)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n/a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partial (recalls)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FERC reliability standards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n/a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n/a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n/a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ISO 27001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required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6.2 Controls per regulation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HIPAA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PHI tokenisation +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mi-*-pii-unlock</w:t>
            </w:r>
            <w:r>
              <w:t xml:space="preserve"> audit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Silver transforms + tokenizer-mcp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SOX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Decision audit log (immutable, 7y retention, customer-managed keys)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silver_decision_audit</w:t>
            </w:r>
            <w:r>
              <w:t xml:space="preserve"> with Fabric CMK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PCI DSS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No card data in schemas; segregated card data lives in a PCI enclave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Practice-level; enforced by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validate-manifest.js</w:t>
            </w:r>
            <w:r>
              <w:t xml:space="preserve"> rule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MANIFEST-PCI-FORBIDDEN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GDPR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Right-to-erasure replay; consent-gated fields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tokenizer-mcp + erasure workflow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FDA 21 CFR Part 11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Electronic signature on every HITL approval; system-generated audit trail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Decision audit row + Entra signed-in identity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FERC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Access logs + change control for grid-anomaly orchestrations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Practice-level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ISO 27001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Change management via Fabric Git + manifest validation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Cross-cutting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6.3 Audit log retention &amp; immutability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silver_decision_audit</w:t>
      </w:r>
      <w:r>
        <w:t xml:space="preserve"> table — </w:t>
      </w:r>
      <w:r>
        <w:rPr>
          <w:b/>
          <w:bCs/>
        </w:rPr>
        <w:t xml:space="preserve">append-only</w:t>
      </w:r>
      <w:r>
        <w:t xml:space="preserve"> (no UPDATE, no DELETE), ACL write-once, </w:t>
      </w:r>
      <w:r>
        <w:rPr>
          <w:b/>
          <w:bCs/>
        </w:rPr>
        <w:t xml:space="preserve">customer-managed keys</w:t>
      </w:r>
      <w:r>
        <w:t xml:space="preserve"> (Fabric CMK), retention per practice compliance policy (7 years for HLS/ER, 5 years for RC/AXLE unless regulation requires longer).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Purview audit reports are auto-generated and delivered to compliance officers.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6.4 Independence (Deloitte)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Deloitte personnel deploying/operating APEX on client tenants use </w:t>
      </w:r>
      <w:r>
        <w:rPr>
          <w:b/>
          <w:bCs/>
        </w:rPr>
        <w:t xml:space="preserve">client-issued identities</w:t>
      </w:r>
      <w:r>
        <w:t xml:space="preserve">, not Deloitte SPs.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Code artifacts owned by Deloitte (apex-core, apex-&lt;practice&gt; source) are Deloitte IP; the deployed manifests and tenant data are client-owned.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validate-practice.js</w:t>
      </w:r>
      <w:r>
        <w:t xml:space="preserve"> rule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PRACTICE-ACCOUNT-ID</w:t>
      </w:r>
      <w:r>
        <w:t xml:space="preserve"> enforces opaque account IDs to keep client identity out of code artifacts and logs.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7.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Where tenant data physically lives: </w:t>
      </w:r>
      <w:hyperlink w:history="1" r:id="rIdfctjqbf1zty4iwyk_s6rd">
        <w:r>
          <w:rPr>
            <w:rStyle w:val="Hyperlink"/>
            <w:color w:val="0563C1"/>
            <w:u w:val="single"/>
          </w:rPr>
          <w:t xml:space="preserve">Companion 01 — Fabric Layering</w:t>
        </w:r>
      </w:hyperlink>
      <w:r>
        <w:t xml:space="preserve"> §4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Where PII tokenisation happens in the pipeline: </w:t>
      </w:r>
      <w:hyperlink w:history="1" r:id="rIdoq_t7hf8efgrlsxkyxlp9">
        <w:r>
          <w:rPr>
            <w:rStyle w:val="Hyperlink"/>
            <w:color w:val="0563C1"/>
            <w:u w:val="single"/>
          </w:rPr>
          <w:t xml:space="preserve">Companion 02 — Medallion + SOR</w:t>
        </w:r>
      </w:hyperlink>
      <w:r>
        <w:t xml:space="preserve"> §3.2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MCP tools acquire tokens: </w:t>
      </w:r>
      <w:hyperlink w:history="1" r:id="rId-1lji-8xr7akg2xumohot">
        <w:r>
          <w:rPr>
            <w:rStyle w:val="Hyperlink"/>
            <w:color w:val="0563C1"/>
            <w:u w:val="single"/>
          </w:rPr>
          <w:t xml:space="preserve">Companion 03 — MCP Servers</w:t>
        </w:r>
      </w:hyperlink>
      <w:r>
        <w:t xml:space="preserve"> §4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Decision audit row schema: </w:t>
      </w:r>
      <w:hyperlink w:history="1" r:id="rIdtsjgg1xg1xly7zspqhzfh">
        <w:r>
          <w:rPr>
            <w:rStyle w:val="Hyperlink"/>
            <w:color w:val="0563C1"/>
            <w:u w:val="single"/>
          </w:rPr>
          <w:t xml:space="preserve">Companion 04 — Agent Lifecycle</w:t>
        </w:r>
      </w:hyperlink>
      <w:r>
        <w:t xml:space="preserve"> §5.3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Testing the observability instrumentation: </w:t>
      </w:r>
      <w:hyperlink w:history="1" r:id="rIdc55mjj_mk5hvdv-8rzxyd">
        <w:r>
          <w:rPr>
            <w:rStyle w:val="Hyperlink"/>
            <w:color w:val="0563C1"/>
            <w:u w:val="single"/>
          </w:rPr>
          <w:t xml:space="preserve">Companion 06 — Testing &amp; Topology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>Per-service SLO commitments: </w:t>
      </w:r>
      <w:hyperlink w:history="1" r:id="rIdnejpo6kvai6cungbvktx_">
        <w:r>
          <w:rPr>
            <w:rStyle w:val="Hyperlink"/>
            <w:color w:val="0563C1"/>
            <w:u w:val="single"/>
          </w:rPr>
          <w:t xml:space="preserve">Companion 07 — Service Catalog</w:t>
        </w:r>
      </w:hyperlink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APEX Core v1.2 · Developer Guide v1.0 ·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6"/>
        <w:szCs w:val="16"/>
      </w:rPr>
      <w:t xml:space="preserve">Companion 05 — Observability &amp;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mlsb8qtx7li6au5n7wpw" Type="http://schemas.openxmlformats.org/officeDocument/2006/relationships/hyperlink" Target="../APEX-developer-guide.md" TargetMode="External"/><Relationship Id="rIdx_dxumseai0w37atfshkq" Type="http://schemas.openxmlformats.org/officeDocument/2006/relationships/hyperlink" Target="./04-agent-lifecycle.md" TargetMode="External"/><Relationship Id="rIdwu79wtkqmn9n6munnr5cs" Type="http://schemas.openxmlformats.org/officeDocument/2006/relationships/hyperlink" Target="./06-testing-topology.md" TargetMode="External"/><Relationship Id="rIdfctjqbf1zty4iwyk_s6rd" Type="http://schemas.openxmlformats.org/officeDocument/2006/relationships/hyperlink" Target="./01-fabric-layering.md" TargetMode="External"/><Relationship Id="rIdoq_t7hf8efgrlsxkyxlp9" Type="http://schemas.openxmlformats.org/officeDocument/2006/relationships/hyperlink" Target="./02-medallion-sor.md" TargetMode="External"/><Relationship Id="rId-1lji-8xr7akg2xumohot" Type="http://schemas.openxmlformats.org/officeDocument/2006/relationships/hyperlink" Target="./03-mcp-servers.md" TargetMode="External"/><Relationship Id="rIdtsjgg1xg1xly7zspqhzfh" Type="http://schemas.openxmlformats.org/officeDocument/2006/relationships/hyperlink" Target="./04-agent-lifecycle.md" TargetMode="External"/><Relationship Id="rIdc55mjj_mk5hvdv-8rzxyd" Type="http://schemas.openxmlformats.org/officeDocument/2006/relationships/hyperlink" Target="./06-testing-topology.md" TargetMode="External"/><Relationship Id="rIdnejpo6kvai6cungbvktx_" Type="http://schemas.openxmlformats.org/officeDocument/2006/relationships/hyperlink" Target="./07-service-catalog.md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Companion 05 — Observability &amp; Security</dc:title>
  <dc:creator>APEX Core</dc:creator>
  <dc:description>APEX Developer Implementation Guide — generated from markdown</dc:description>
  <cp:lastModifiedBy>Un-named</cp:lastModifiedBy>
  <cp:revision>1</cp:revision>
  <dcterms:created xsi:type="dcterms:W3CDTF">2026-04-18T16:39:18.737Z</dcterms:created>
  <dcterms:modified xsi:type="dcterms:W3CDTF">2026-04-18T16:39:18.737Z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