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rFonts w:ascii="Aptos Display" w:cs="Aptos Display" w:eastAsia="Aptos Display" w:hAnsi="Aptos Display"/>
          <w:b/>
          <w:bCs/>
          <w:color w:val="1A2339"/>
          <w:sz w:val="120"/>
          <w:szCs w:val="120"/>
        </w:rPr>
        <w:t xml:space="preserve">APEX</w:t>
      </w:r>
    </w:p>
    <w:p>
      <w:pPr>
        <w:spacing w:after="240"/>
        <w:jc w:val="center"/>
      </w:pPr>
      <w:r>
        <w:rPr>
          <w:rFonts w:ascii="Aptos Display" w:cs="Aptos Display" w:eastAsia="Aptos Display" w:hAnsi="Aptos Display"/>
          <w:b/>
          <w:bCs/>
          <w:color w:val="2DD4BF"/>
          <w:sz w:val="48"/>
          <w:szCs w:val="48"/>
        </w:rPr>
        <w:t xml:space="preserve">APEX Comprehensive Solutions Reference</w:t>
      </w:r>
    </w:p>
    <w:p>
      <w:pPr>
        <w:spacing w:after="200"/>
        <w:jc w:val="center"/>
      </w:pPr>
      <w:r>
        <w:rPr>
          <w:rFonts w:ascii="Aptos Display" w:cs="Aptos Display" w:eastAsia="Aptos Display" w:hAnsi="Aptos Display"/>
          <w:i/>
          <w:iCs/>
          <w:color w:val="1F2937"/>
          <w:sz w:val="26"/>
          <w:szCs w:val="26"/>
        </w:rPr>
        <w:t xml:space="preserve">Reinventing Enterprise Decision-Making on Microsoft</w:t>
      </w:r>
    </w:p>
    <w:p>
      <w:pPr>
        <w:spacing w:after="3200"/>
        <w:jc w:val="center"/>
      </w:pPr>
      <w:r>
        <w:rPr>
          <w:rFonts w:ascii="Aptos" w:cs="Aptos" w:eastAsia="Aptos" w:hAnsi="Aptos"/>
          <w:color w:val="64748B"/>
          <w:sz w:val="24"/>
          <w:szCs w:val="24"/>
        </w:rPr>
        <w:t xml:space="preserve">A Comprehensive Solutions Reference for the Intelligent Enterprise</w:t>
      </w:r>
    </w:p>
    <w:p>
      <w:pPr>
        <w:spacing w:after="80"/>
        <w:jc w:val="center"/>
      </w:pPr>
      <w:r>
        <w:rPr>
          <w:rFonts w:ascii="Aptos" w:cs="Aptos" w:eastAsia="Aptos" w:hAnsi="Aptos"/>
          <w:color w:val="1F2937"/>
          <w:sz w:val="22"/>
          <w:szCs w:val="22"/>
        </w:rPr>
        <w:t xml:space="preserve">April 2026 · Version 1.0 · CONFIDENTIAL</w:t>
      </w:r>
    </w:p>
    <w:p>
      <w:pPr>
        <w:spacing w:after="80"/>
        <w:jc w:val="center"/>
      </w:pPr>
      <w:r>
        <w:rPr>
          <w:rFonts w:ascii="Aptos" w:cs="Aptos" w:eastAsia="Aptos" w:hAnsi="Aptos"/>
          <w:color w:val="1F2937"/>
          <w:sz w:val="22"/>
          <w:szCs w:val="22"/>
        </w:rPr>
        <w:t xml:space="preserve">Deloitte Microsoft Technology &amp; Services Practice</w:t>
      </w:r>
    </w:p>
    <w:p>
      <w:r>
        <w:r>
          <w:br w:type="page"/>
        </w:r>
      </w:r>
    </w:p>
    <w:p>
      <w:pPr>
        <w:pStyle w:val="Heading1"/>
        <w:spacing w:after="160" w:before="340"/>
      </w:pPr>
      <w:r>
        <w:rPr>
          <w:rFonts w:ascii="Aptos Display" w:cs="Aptos Display" w:eastAsia="Aptos Display" w:hAnsi="Aptos Display"/>
          <w:b/>
          <w:bCs/>
          <w:color w:val="1A2339"/>
          <w:sz w:val="40"/>
          <w:szCs w:val="40"/>
        </w:rPr>
        <w:t xml:space="preserve">APEX</w:t>
      </w:r>
    </w:p>
    <w:p>
      <w:pPr>
        <w:pStyle w:val="Heading2"/>
        <w:spacing w:after="140" w:before="300"/>
      </w:pPr>
      <w:r>
        <w:rPr>
          <w:rFonts w:ascii="Aptos Display" w:cs="Aptos Display" w:eastAsia="Aptos Display" w:hAnsi="Aptos Display"/>
          <w:b/>
          <w:bCs/>
          <w:color w:val="0B111E"/>
          <w:sz w:val="30"/>
          <w:szCs w:val="30"/>
        </w:rPr>
        <w:t xml:space="preserve">Agentic Platform for Enterprise eXecution</w:t>
      </w:r>
    </w:p>
    <w:p>
      <w:pPr>
        <w:pStyle w:val="Heading3"/>
        <w:spacing w:after="120" w:before="260"/>
      </w:pPr>
      <w:r>
        <w:rPr>
          <w:rFonts w:ascii="Aptos" w:cs="Aptos" w:eastAsia="Aptos" w:hAnsi="Aptos"/>
          <w:b/>
          <w:bCs/>
          <w:color w:val="0B111E"/>
          <w:sz w:val="24"/>
          <w:szCs w:val="24"/>
        </w:rPr>
        <w:t xml:space="preserve">Reinventing Enterprise Decision-Making on Microsoft</w:t>
      </w:r>
    </w:p>
    <w:p>
      <w:pPr>
        <w:spacing w:after="140"/>
      </w:pPr>
      <w:r>
        <w:rPr>
          <w:b/>
          <w:bCs/>
        </w:rPr>
        <w:t xml:space="preserve">A Comprehensive Solutions Reference for the Intelligent Enterprise</w:t>
      </w:r>
    </w:p>
    <w:p>
      <w:pPr>
        <w:spacing w:after="140"/>
      </w:pPr>
      <w:r>
        <w:rPr>
          <w:b/>
          <w:bCs/>
        </w:rPr>
        <w:t xml:space="preserve">April 2026 · Version 1.0 · CONFIDENTIAL</w:t>
      </w:r>
      <w:r>
        <w:t xml:space="preserve"> </w:t>
      </w:r>
      <w:r>
        <w:rPr>
          <w:b/>
          <w:bCs/>
        </w:rPr>
        <w:t xml:space="preserve">Deloitte Microsoft Technology &amp; Services Practice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Preamble</w:t>
      </w:r>
    </w:p>
    <w:p>
      <w:pPr>
        <w:spacing w:after="140"/>
      </w:pPr>
      <w:r>
        <w:t xml:space="preserve">This is the strategic reference for APEX — the Agentic Platform for Enterprise eXecution. It is written for executives who approve the investment, architects who design the implementation, and delivery leads who run the programme. If you are a developer looking for code-level detail, open the companion </w:t>
      </w:r>
      <w:r>
        <w:rPr>
          <w:i/>
          <w:iCs/>
        </w:rPr>
        <w:t xml:space="preserve">APEX Developer Implementation Guide</w:t>
      </w:r>
      <w:r>
        <w:t xml:space="preserve"> alongside this document.</w:t>
      </w:r>
    </w:p>
    <w:p>
      <w:pPr>
        <w:spacing w:after="140"/>
      </w:pPr>
      <w:r>
        <w:t xml:space="preserve">APEX is a </w:t>
      </w:r>
      <w:r>
        <w:rPr>
          <w:b/>
          <w:bCs/>
        </w:rPr>
        <w:t xml:space="preserve">multi-industry platform</w:t>
      </w:r>
      <w:r>
        <w:t xml:space="preserve">. It defines seven Practices that span the enterprise economy, where a companion framework like AXLE goes deep on one vertical (automotive), APEX goes broad across verticals while keeping one contract, one data plane, and one intelligence plane:</w:t>
      </w:r>
    </w:p>
    <w:p>
      <w:pPr>
        <w:pStyle w:val="ListParagraph"/>
        <w:numPr>
          <w:ilvl w:val="0"/>
          <w:numId w:val="1"/>
        </w:numPr>
        <w:spacing w:after="60"/>
      </w:pPr>
      <w:r>
        <w:rPr>
          <w:b/>
          <w:bCs/>
        </w:rPr>
        <w:t xml:space="preserve">RC — Retail &amp; Consumer</w:t>
      </w:r>
      <w:r>
        <w:t xml:space="preserve"> (GA v1.2 · 9 services · Store 100 exemplar tenant)</w:t>
      </w:r>
    </w:p>
    <w:p>
      <w:pPr>
        <w:pStyle w:val="ListParagraph"/>
        <w:numPr>
          <w:ilvl w:val="0"/>
          <w:numId w:val="1"/>
        </w:numPr>
        <w:spacing w:after="60"/>
      </w:pPr>
      <w:r>
        <w:rPr>
          <w:b/>
          <w:bCs/>
        </w:rPr>
        <w:t xml:space="preserve">HLS — Healthcare &amp; Life Sciences</w:t>
      </w:r>
      <w:r>
        <w:t xml:space="preserve"> (GA v1.2 · 6 services)</w:t>
      </w:r>
    </w:p>
    <w:p>
      <w:pPr>
        <w:pStyle w:val="ListParagraph"/>
        <w:numPr>
          <w:ilvl w:val="0"/>
          <w:numId w:val="1"/>
        </w:numPr>
        <w:spacing w:after="60"/>
      </w:pPr>
      <w:r>
        <w:rPr>
          <w:b/>
          <w:bCs/>
        </w:rPr>
        <w:t xml:space="preserve">ER — Energy &amp; Resources</w:t>
      </w:r>
      <w:r>
        <w:t xml:space="preserve"> (GA v1.2 · 5 services)</w:t>
      </w:r>
    </w:p>
    <w:p>
      <w:pPr>
        <w:pStyle w:val="ListParagraph"/>
        <w:numPr>
          <w:ilvl w:val="0"/>
          <w:numId w:val="1"/>
        </w:numPr>
        <w:spacing w:after="60"/>
      </w:pPr>
      <w:r>
        <w:rPr>
          <w:b/>
          <w:bCs/>
        </w:rPr>
        <w:t xml:space="preserve">AXLE — Automotive</w:t>
      </w:r>
      <w:r>
        <w:t xml:space="preserve"> (GA v1.2 · 5 services · complementary to the AXLE programme)</w:t>
      </w:r>
    </w:p>
    <w:p>
      <w:pPr>
        <w:pStyle w:val="ListParagraph"/>
        <w:numPr>
          <w:ilvl w:val="0"/>
          <w:numId w:val="1"/>
        </w:numPr>
        <w:spacing w:after="60"/>
      </w:pPr>
      <w:r>
        <w:rPr>
          <w:b/>
          <w:bCs/>
        </w:rPr>
        <w:t xml:space="preserve">TMT — Technology, Media &amp; Telecom</w:t>
      </w:r>
      <w:r>
        <w:t xml:space="preserve"> (Active-build · 7 services drafted · GA target Q3 2026)</w:t>
      </w:r>
    </w:p>
    <w:p>
      <w:pPr>
        <w:pStyle w:val="ListParagraph"/>
        <w:numPr>
          <w:ilvl w:val="0"/>
          <w:numId w:val="1"/>
        </w:numPr>
        <w:spacing w:after="60"/>
      </w:pPr>
      <w:r>
        <w:rPr>
          <w:b/>
          <w:bCs/>
        </w:rPr>
        <w:t xml:space="preserve">TH — Travel &amp; Hospitality</w:t>
      </w:r>
      <w:r>
        <w:t xml:space="preserve"> (Active-build · 7 services drafted · GA target Q2 2026)</w:t>
      </w:r>
    </w:p>
    <w:p>
      <w:pPr>
        <w:pStyle w:val="ListParagraph"/>
        <w:numPr>
          <w:ilvl w:val="0"/>
          <w:numId w:val="1"/>
        </w:numPr>
        <w:spacing w:after="60"/>
      </w:pPr>
      <w:r>
        <w:rPr>
          <w:b/>
          <w:bCs/>
        </w:rPr>
        <w:t xml:space="preserve">ICE — Industrial &amp; Commercial Equipment</w:t>
      </w:r>
      <w:r>
        <w:t xml:space="preserve"> (Active-build · 6 services drafted · GA target Q3 2026)</w:t>
      </w:r>
    </w:p>
    <w:p>
      <w:pPr>
        <w:spacing w:after="140"/>
      </w:pPr>
      <w:r>
        <w:t xml:space="preserve">Current catalog: </w:t>
      </w:r>
      <w:r>
        <w:rPr>
          <w:b/>
          <w:bCs/>
        </w:rPr>
        <w:t xml:space="preserve">25 GA services + 20 in build = 45 catalogued services</w:t>
      </w:r>
      <w:r>
        <w:t xml:space="preserve">. AXLE is one of these seven Practices; for clients who commit to deep automotive transformation, the full AXLE Comprehensive Reference programme is available alongside. The two are complementary: APEX is the cross-industry platform; AXLE is an automotive-depth programme that a client can adopt alongside (or inside) their APEX footprint.</w:t>
      </w:r>
    </w:p>
    <w:p>
      <w:pPr>
        <w:spacing w:after="140"/>
      </w:pPr>
      <w:r>
        <w:t xml:space="preserve">This document sets out </w:t>
      </w:r>
      <w:r>
        <w:rPr>
          <w:b/>
          <w:bCs/>
        </w:rPr>
        <w:t xml:space="preserve">what APEX is, why it matters now, what it ships with, and how clients land it</w:t>
      </w:r>
      <w:r>
        <w:t xml:space="preserve">. The structure mirrors the reference document pattern Deloitte uses for flagship platform offerings: forces of change, AI journey, maturity model, human element, platform architecture, industry-practice chapters, implementation roadmap, appendices.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Table of Contents</w:t>
      </w:r>
    </w:p>
    <w:p>
      <w:pPr>
        <w:spacing w:after="140"/>
      </w:pPr>
      <w:r>
        <w:rPr>
          <w:b/>
          <w:bCs/>
        </w:rPr>
        <w:t xml:space="preserve">Executive Summary</w:t>
      </w:r>
      <w:r>
        <w:t xml:space="preserve"> — What is APEX · Value Proposition · The Ask · Service Portfolio at a Glance</w:t>
      </w:r>
    </w:p>
    <w:p>
      <w:pPr>
        <w:spacing w:after="140"/>
      </w:pPr>
      <w:r>
        <w:rPr>
          <w:b/>
          <w:bCs/>
        </w:rPr>
        <w:t xml:space="preserve">Forces of Change</w:t>
      </w:r>
      <w:r>
        <w:t xml:space="preserve"> — Five converging pressures that make agentic platforms inevitable</w:t>
      </w:r>
    </w:p>
    <w:p>
      <w:pPr>
        <w:spacing w:after="140"/>
      </w:pPr>
      <w:r>
        <w:rPr>
          <w:b/>
          <w:bCs/>
        </w:rPr>
        <w:t xml:space="preserve">The AI Journey</w:t>
      </w:r>
      <w:r>
        <w:t xml:space="preserve"> — Five eras of enterprise AI; where APEX fits</w:t>
      </w:r>
    </w:p>
    <w:p>
      <w:pPr>
        <w:spacing w:after="140"/>
      </w:pPr>
      <w:r>
        <w:rPr>
          <w:b/>
          <w:bCs/>
        </w:rPr>
        <w:t xml:space="preserve">Decision-Automation Maturity Model</w:t>
      </w:r>
      <w:r>
        <w:t xml:space="preserve"> — Five levels from dashboards to autonomous</w:t>
      </w:r>
    </w:p>
    <w:p>
      <w:pPr>
        <w:spacing w:after="140"/>
      </w:pPr>
      <w:r>
        <w:rPr>
          <w:b/>
          <w:bCs/>
        </w:rPr>
        <w:t xml:space="preserve">IT Simplification</w:t>
      </w:r>
      <w:r>
        <w:t xml:space="preserve"> — The platform thesis · before/after · Microsoft-native architecture</w:t>
      </w:r>
    </w:p>
    <w:p>
      <w:pPr>
        <w:spacing w:after="140"/>
      </w:pPr>
      <w:r>
        <w:rPr>
          <w:b/>
          <w:bCs/>
        </w:rPr>
        <w:t xml:space="preserve">The Human Element</w:t>
      </w:r>
      <w:r>
        <w:t xml:space="preserve"> — Fears · generational handoff · re-designing knowledge work</w:t>
      </w:r>
    </w:p>
    <w:p>
      <w:pPr>
        <w:spacing w:after="140"/>
      </w:pPr>
      <w:r>
        <w:rPr>
          <w:b/>
          <w:bCs/>
        </w:rPr>
        <w:t xml:space="preserve">The APEX Framework</w:t>
      </w:r>
      <w:r>
        <w:t xml:space="preserve"> — Four-layer manifest model · schemas · MCP servers · services · gates</w:t>
      </w:r>
    </w:p>
    <w:p>
      <w:pPr>
        <w:spacing w:after="140"/>
      </w:pPr>
      <w:r>
        <w:rPr>
          <w:b/>
          <w:bCs/>
        </w:rPr>
        <w:t xml:space="preserve">How to Read This Document</w:t>
      </w:r>
    </w:p>
    <w:p>
      <w:pPr>
        <w:spacing w:after="140"/>
      </w:pPr>
      <w:r>
        <w:rPr>
          <w:b/>
          <w:bCs/>
        </w:rPr>
        <w:t xml:space="preserve">Part I — Foundation</w:t>
      </w:r>
      <w:r>
        <w:t xml:space="preserve"> (chapter 1, strategic overview)</w:t>
      </w:r>
    </w:p>
    <w:p>
      <w:pPr>
        <w:spacing w:after="140"/>
      </w:pPr>
      <w:r>
        <w:rPr>
          <w:b/>
          <w:bCs/>
        </w:rPr>
        <w:t xml:space="preserve">Part II — Industry Practices</w:t>
      </w:r>
      <w:r>
        <w:t xml:space="preserve"> (chapters 2–8: RC, HLS, ER, AXLE, TMT, TH, ICE)</w:t>
      </w:r>
    </w:p>
    <w:p>
      <w:pPr>
        <w:spacing w:after="140"/>
      </w:pPr>
      <w:r>
        <w:rPr>
          <w:b/>
          <w:bCs/>
        </w:rPr>
        <w:t xml:space="preserve">Part III — Cross-Practice Capabilities</w:t>
      </w:r>
      <w:r>
        <w:t xml:space="preserve"> (chapters 9–11: shared services, observability, governance)</w:t>
      </w:r>
    </w:p>
    <w:p>
      <w:pPr>
        <w:spacing w:after="140"/>
      </w:pPr>
      <w:r>
        <w:rPr>
          <w:b/>
          <w:bCs/>
        </w:rPr>
        <w:t xml:space="preserve">Part IV — Implementation &amp; Delivery</w:t>
      </w:r>
      <w:r>
        <w:t xml:space="preserve"> (chapters 12–18: waves, onboarding, scaling, resource model, governance, change management, milestones)</w:t>
      </w:r>
    </w:p>
    <w:p>
      <w:pPr>
        <w:spacing w:after="140"/>
      </w:pPr>
      <w:r>
        <w:rPr>
          <w:b/>
          <w:bCs/>
        </w:rPr>
        <w:t xml:space="preserve">Part V — Future State</w:t>
      </w:r>
      <w:r>
        <w:t xml:space="preserve"> (chapters 19–26: four-tier innovation model, autonomous enterprise, multi-tenant scaling)</w:t>
      </w:r>
    </w:p>
    <w:p>
      <w:pPr>
        <w:spacing w:after="140"/>
      </w:pPr>
      <w:r>
        <w:rPr>
          <w:b/>
          <w:bCs/>
        </w:rPr>
        <w:t xml:space="preserve">Appendices</w:t>
      </w:r>
      <w:r>
        <w:t xml:space="preserve"> — Schema Reference · Service Registry · Personas · MCP Tools · Microsoft SKUs · Partner Ecosystem · Glossary</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Executive Summary</w:t>
      </w:r>
    </w:p>
    <w:p>
      <w:pPr>
        <w:pStyle w:val="Heading2"/>
        <w:spacing w:after="140" w:before="300"/>
      </w:pPr>
      <w:r>
        <w:rPr>
          <w:rFonts w:ascii="Aptos Display" w:cs="Aptos Display" w:eastAsia="Aptos Display" w:hAnsi="Aptos Display"/>
          <w:b/>
          <w:bCs/>
          <w:color w:val="0B111E"/>
          <w:sz w:val="30"/>
          <w:szCs w:val="30"/>
        </w:rPr>
        <w:t xml:space="preserve">What Is APEX?</w:t>
      </w:r>
    </w:p>
    <w:p>
      <w:pPr>
        <w:spacing w:after="140"/>
      </w:pPr>
      <w:r>
        <w:t xml:space="preserve">APEX is a </w:t>
      </w:r>
      <w:r>
        <w:rPr>
          <w:b/>
          <w:bCs/>
        </w:rPr>
        <w:t xml:space="preserve">manifest-driven, agentic platform</w:t>
      </w:r>
      <w:r>
        <w:t xml:space="preserve"> that turns enterprise events into resolved, auditable decisions. It runs on Microsoft Fabric as the data plane and Azure AI services as the intelligence plane, bound by a versioned contract that specifies every schema, every agent, every tool, every orchestration, and every human-in-the-loop gate.</w:t>
      </w:r>
    </w:p>
    <w:p>
      <w:pPr>
        <w:spacing w:after="140"/>
      </w:pPr>
      <w:r>
        <w:t xml:space="preserve">Where traditional analytics answers </w:t>
      </w:r>
      <w:r>
        <w:rPr>
          <w:i/>
          <w:iCs/>
        </w:rPr>
        <w:t xml:space="preserve">"what happened?"</w:t>
      </w:r>
      <w:r>
        <w:t xml:space="preserve">, APEX answers three harder questions:</w:t>
      </w:r>
    </w:p>
    <w:p>
      <w:pPr>
        <w:spacing w:after="140"/>
      </w:pPr>
      <w:r>
        <w:t xml:space="preserve">1. </w:t>
      </w:r>
      <w:r>
        <w:rPr>
          <w:b/>
          <w:bCs/>
        </w:rPr>
        <w:t xml:space="preserve">What should happen next?</w:t>
      </w:r>
      <w:r>
        <w:t xml:space="preserve"> — agents reason over canonical data and propose an action 2. </w:t>
      </w:r>
      <w:r>
        <w:rPr>
          <w:b/>
          <w:bCs/>
        </w:rPr>
        <w:t xml:space="preserve">Who must approve it, and under what rules?</w:t>
      </w:r>
      <w:r>
        <w:t xml:space="preserve"> — HITL gates mapped deterministically from the nature of the change 3. </w:t>
      </w:r>
      <w:r>
        <w:rPr>
          <w:b/>
          <w:bCs/>
        </w:rPr>
        <w:t xml:space="preserve">What audit trail does the decision leave?</w:t>
      </w:r>
      <w:r>
        <w:t xml:space="preserve"> — every reasoning chain, tool call, and human approval is stitched into one traceable operation with append-only logs</w:t>
      </w:r>
    </w:p>
    <w:p>
      <w:pPr>
        <w:spacing w:after="140"/>
      </w:pPr>
      <w:r>
        <w:t xml:space="preserve">An APEX deployment is not "a data platform with AI features bolted on." It is a </w:t>
      </w:r>
      <w:r>
        <w:rPr>
          <w:b/>
          <w:bCs/>
        </w:rPr>
        <w:t xml:space="preserve">contract between data and decisions</w:t>
      </w:r>
      <w:r>
        <w:t xml:space="preserve">, enforced in code and auditable end-to-end.</w:t>
      </w:r>
    </w:p>
    <w:p>
      <w:pPr>
        <w:pStyle w:val="Heading3"/>
        <w:spacing w:after="120" w:before="260"/>
      </w:pPr>
      <w:r>
        <w:rPr>
          <w:rFonts w:ascii="Aptos" w:cs="Aptos" w:eastAsia="Aptos" w:hAnsi="Aptos"/>
          <w:b/>
          <w:bCs/>
          <w:color w:val="0B111E"/>
          <w:sz w:val="24"/>
          <w:szCs w:val="24"/>
        </w:rPr>
        <w:t xml:space="preserve">APEX on Microsoft in One Picture</w:t>
      </w:r>
    </w:p>
    <w:p>
      <w:pPr>
        <w:spacing w:after="160" w:before="120"/>
        <w:jc w:val="center"/>
      </w:pPr>
      <w:r>
        <w:drawing>
          <wp:inline distT="0" distB="0" distL="0" distR="0">
            <wp:extent cx="6096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29125"/>
                    </a:xfrm>
                    <a:prstGeom prst="rect">
                      <a:avLst/>
                    </a:prstGeom>
                  </pic:spPr>
                </pic:pic>
              </a:graphicData>
            </a:graphic>
          </wp:inline>
        </w:drawing>
      </w:r>
    </w:p>
    <w:p>
      <w:pPr>
        <w:pStyle w:val="Heading2"/>
        <w:spacing w:after="140" w:before="300"/>
      </w:pPr>
      <w:r>
        <w:rPr>
          <w:rFonts w:ascii="Aptos Display" w:cs="Aptos Display" w:eastAsia="Aptos Display" w:hAnsi="Aptos Display"/>
          <w:b/>
          <w:bCs/>
          <w:color w:val="0B111E"/>
          <w:sz w:val="30"/>
          <w:szCs w:val="30"/>
        </w:rPr>
        <w:t xml:space="preserve">The Value Proposition</w:t>
      </w:r>
    </w:p>
    <w:p>
      <w:pPr>
        <w:spacing w:after="140"/>
      </w:pPr>
      <w:r>
        <w:t xml:space="preserve">For a client's CFO, COO, and CIO jointly, APEX delivers three measurable outcomes within the first twelve months:</w:t>
      </w:r>
    </w:p>
    <w:p>
      <w:pPr>
        <w:pStyle w:val="ListParagraph"/>
        <w:numPr>
          <w:ilvl w:val="0"/>
          <w:numId w:val="1"/>
        </w:numPr>
        <w:spacing w:after="60"/>
      </w:pPr>
      <w:r>
        <w:rPr>
          <w:b/>
          <w:bCs/>
        </w:rPr>
        <w:t xml:space="preserve">Decision latency drops 5–10×</w:t>
      </w:r>
      <w:r>
        <w:t xml:space="preserve">. Events that used to wait hours for a manager to triage are resolved in minutes with equal or better judgement quality, because the agent has done the data-gathering, correlation, and option-generation before the human even arrives at the decision.</w:t>
      </w:r>
    </w:p>
    <w:p>
      <w:pPr>
        <w:pStyle w:val="ListParagraph"/>
        <w:numPr>
          <w:ilvl w:val="0"/>
          <w:numId w:val="1"/>
        </w:numPr>
        <w:spacing w:after="60"/>
      </w:pPr>
      <w:r>
        <w:rPr>
          <w:b/>
          <w:bCs/>
        </w:rPr>
        <w:t xml:space="preserve">Manager touch-time drops 60–80%</w:t>
      </w:r>
      <w:r>
        <w:t xml:space="preserve">. Not because humans are removed from the loop, but because their time shifts from data-gathering to judgement. A typical APEX decision reduces manager touch from 15 minutes to 90 seconds.</w:t>
      </w:r>
    </w:p>
    <w:p>
      <w:pPr>
        <w:pStyle w:val="ListParagraph"/>
        <w:numPr>
          <w:ilvl w:val="0"/>
          <w:numId w:val="1"/>
        </w:numPr>
        <w:spacing w:after="60"/>
      </w:pPr>
      <w:r>
        <w:rPr>
          <w:b/>
          <w:bCs/>
        </w:rPr>
        <w:t xml:space="preserve">Audit and compliance readiness is built-in</w:t>
      </w:r>
      <w:r>
        <w:t xml:space="preserve">. Every decision is recorded with its inputs, its reasoning chain, its tool calls, its approver, and its rollback pointer. Regulatory filings that used to cost weeks of reconstruction ship in hours.</w:t>
      </w:r>
    </w:p>
    <w:p>
      <w:pPr>
        <w:spacing w:after="140"/>
      </w:pPr>
      <w:r>
        <w:t xml:space="preserve">A typical APEX programme pays back in 12–18 months on decision-latency ROI alone, before counting write-off-avoided and regulatory-penalty-avoided.</w:t>
      </w:r>
    </w:p>
    <w:p>
      <w:pPr>
        <w:pStyle w:val="Heading2"/>
        <w:spacing w:after="140" w:before="300"/>
      </w:pPr>
      <w:r>
        <w:rPr>
          <w:rFonts w:ascii="Aptos Display" w:cs="Aptos Display" w:eastAsia="Aptos Display" w:hAnsi="Aptos Display"/>
          <w:b/>
          <w:bCs/>
          <w:color w:val="0B111E"/>
          <w:sz w:val="30"/>
          <w:szCs w:val="30"/>
        </w:rPr>
        <w:t xml:space="preserve">The Ask</w:t>
      </w:r>
    </w:p>
    <w:p>
      <w:pPr>
        <w:spacing w:after="140"/>
      </w:pPr>
      <w:r>
        <w:t xml:space="preserve">APEX is a three-wave programme:</w:t>
      </w:r>
    </w:p>
    <w:p>
      <w:pPr>
        <w:pStyle w:val="ListParagraph"/>
        <w:numPr>
          <w:ilvl w:val="0"/>
          <w:numId w:val="1"/>
        </w:numPr>
        <w:spacing w:after="60"/>
      </w:pPr>
      <w:r>
        <w:rPr>
          <w:b/>
          <w:bCs/>
        </w:rPr>
        <w:t xml:space="preserve">Wave 1 — Foundation</w:t>
      </w:r>
      <w:r>
        <w:t xml:space="preserve"> (months 1–6): Fabric workspace topology stood up, first Practice's canonical schemas deployed, 2–3 services live, first HITL decisions flowing.</w:t>
      </w:r>
    </w:p>
    <w:p>
      <w:pPr>
        <w:pStyle w:val="ListParagraph"/>
        <w:numPr>
          <w:ilvl w:val="0"/>
          <w:numId w:val="1"/>
        </w:numPr>
        <w:spacing w:after="60"/>
      </w:pPr>
      <w:r>
        <w:rPr>
          <w:b/>
          <w:bCs/>
        </w:rPr>
        <w:t xml:space="preserve">Wave 2 — Intelligence</w:t>
      </w:r>
      <w:r>
        <w:t xml:space="preserve"> (months 7–12): full service catalogue of the first Practice live; cross-practice shared services (tokeniser, approvals, observability) instrumented.</w:t>
      </w:r>
    </w:p>
    <w:p>
      <w:pPr>
        <w:pStyle w:val="ListParagraph"/>
        <w:numPr>
          <w:ilvl w:val="0"/>
          <w:numId w:val="1"/>
        </w:numPr>
        <w:spacing w:after="60"/>
      </w:pPr>
      <w:r>
        <w:rPr>
          <w:b/>
          <w:bCs/>
        </w:rPr>
        <w:t xml:space="preserve">Wave 3 — Optimisation</w:t>
      </w:r>
      <w:r>
        <w:t xml:space="preserve"> (months 13–18): second Practice added; cross-practice orchestrations introduced; tenant-scale KPIs trending on or above target.</w:t>
      </w:r>
    </w:p>
    <w:p>
      <w:pPr>
        <w:spacing w:after="140"/>
      </w:pPr>
      <w:r>
        <w:t xml:space="preserve">Investment envelope per Practice: </w:t>
      </w:r>
      <w:r>
        <w:rPr>
          <w:b/>
          <w:bCs/>
        </w:rPr>
        <w:t xml:space="preserve">$3–8M in Wave 1</w:t>
      </w:r>
      <w:r>
        <w:t xml:space="preserve">, </w:t>
      </w:r>
      <w:r>
        <w:rPr>
          <w:b/>
          <w:bCs/>
        </w:rPr>
        <w:t xml:space="preserve">$5–12M in Wave 2</w:t>
      </w:r>
      <w:r>
        <w:t xml:space="preserve">, </w:t>
      </w:r>
      <w:r>
        <w:rPr>
          <w:b/>
          <w:bCs/>
        </w:rPr>
        <w:t xml:space="preserve">$3–6M in Wave 3</w:t>
      </w:r>
      <w:r>
        <w:t xml:space="preserve">. Expected ROI at month 18: </w:t>
      </w:r>
      <w:r>
        <w:rPr>
          <w:b/>
          <w:bCs/>
        </w:rPr>
        <w:t xml:space="preserve">2–4× cumulative on Wave 1 services alone</w:t>
      </w:r>
      <w:r>
        <w:t xml:space="preserve">.</w:t>
      </w:r>
    </w:p>
    <w:p>
      <w:pPr>
        <w:pStyle w:val="Heading2"/>
        <w:spacing w:after="140" w:before="300"/>
      </w:pPr>
      <w:r>
        <w:rPr>
          <w:rFonts w:ascii="Aptos Display" w:cs="Aptos Display" w:eastAsia="Aptos Display" w:hAnsi="Aptos Display"/>
          <w:b/>
          <w:bCs/>
          <w:color w:val="0B111E"/>
          <w:sz w:val="30"/>
          <w:szCs w:val="30"/>
        </w:rPr>
        <w:t xml:space="preserve">Service Portfolio at a Glance</w:t>
      </w:r>
    </w:p>
    <w:p>
      <w:pPr>
        <w:spacing w:after="140"/>
      </w:pPr>
      <w:r>
        <w:t xml:space="preserve">APEX has </w:t>
      </w:r>
      <w:r>
        <w:rPr>
          <w:b/>
          <w:bCs/>
        </w:rPr>
        <w:t xml:space="preserve">45 catalogued services</w:t>
      </w:r>
      <w:r>
        <w:t xml:space="preserve"> across seven Practices. 25 are GA today; 20 are in active or planned build, with GA targets through 2026.</w:t>
      </w:r>
    </w:p>
    <w:p>
      <w:pPr>
        <w:spacing w:after="140"/>
      </w:pPr>
      <w:r>
        <w:rPr>
          <w:b/>
          <w:bCs/>
        </w:rPr>
        <w:t xml:space="preserve">GA Practices (25 services):</w:t>
      </w:r>
    </w:p>
    <w:p>
      <w:pPr>
        <w:pStyle w:val="ListParagraph"/>
        <w:numPr>
          <w:ilvl w:val="0"/>
          <w:numId w:val="1"/>
        </w:numPr>
        <w:spacing w:after="60"/>
      </w:pPr>
      <w:r>
        <w:rPr>
          <w:b/>
          <w:bCs/>
        </w:rPr>
        <w:t xml:space="preserve">Retail &amp; Consumer (RC): 9 services</w:t>
      </w:r>
      <w:r>
        <w:t xml:space="preserve"> — Cold Chain Excursion Response, Receiving Variance Dispute, ESL Pricing Integrity, Phantom-OOS Detection, Recall Response, BOPIS Exception Handling, Shrink &amp; Void Anomaly, Customer Incident Triage, Product End-to-End Tracking.</w:t>
      </w:r>
    </w:p>
    <w:p>
      <w:pPr>
        <w:pStyle w:val="ListParagraph"/>
        <w:numPr>
          <w:ilvl w:val="0"/>
          <w:numId w:val="1"/>
        </w:numPr>
        <w:spacing w:after="60"/>
      </w:pPr>
      <w:r>
        <w:rPr>
          <w:b/>
          <w:bCs/>
        </w:rPr>
        <w:t xml:space="preserve">Healthcare &amp; Life Sciences (HLS): 6 services</w:t>
      </w:r>
      <w:r>
        <w:t xml:space="preserve"> — Discharge Ready Surveillance, Sepsis Early Warning, Revenue-Cycle Denial Recovery, Supply Expiry Management, Clinical Trial Matching, Patient Safety Incident.</w:t>
      </w:r>
    </w:p>
    <w:p>
      <w:pPr>
        <w:pStyle w:val="ListParagraph"/>
        <w:numPr>
          <w:ilvl w:val="0"/>
          <w:numId w:val="1"/>
        </w:numPr>
        <w:spacing w:after="60"/>
      </w:pPr>
      <w:r>
        <w:rPr>
          <w:b/>
          <w:bCs/>
        </w:rPr>
        <w:t xml:space="preserve">Energy &amp; Resources (ER): 5 services</w:t>
      </w:r>
      <w:r>
        <w:t xml:space="preserve"> — Meter Outage Detection, Grid Anomaly Response, Billing Exception Handling, Field Work-Order Optimisation, Regulatory Event Response.</w:t>
      </w:r>
    </w:p>
    <w:p>
      <w:pPr>
        <w:pStyle w:val="ListParagraph"/>
        <w:numPr>
          <w:ilvl w:val="0"/>
          <w:numId w:val="1"/>
        </w:numPr>
        <w:spacing w:after="60"/>
      </w:pPr>
      <w:r>
        <w:rPr>
          <w:b/>
          <w:bCs/>
        </w:rPr>
        <w:t xml:space="preserve">Automotive (AXLE): 5 services</w:t>
      </w:r>
      <w:r>
        <w:t xml:space="preserve"> — Line-Down Triage, Quality Excursion Response, Supply-Chain Disruption, Recall Traceability, Plant KPI Drift.</w:t>
      </w:r>
    </w:p>
    <w:p>
      <w:pPr>
        <w:spacing w:after="140"/>
      </w:pPr>
      <w:r>
        <w:rPr>
          <w:b/>
          <w:bCs/>
        </w:rPr>
        <w:t xml:space="preserve">Build-and-Preview Practices (19 services drafted, GA 2026):</w:t>
      </w:r>
    </w:p>
    <w:p>
      <w:pPr>
        <w:pStyle w:val="ListParagraph"/>
        <w:numPr>
          <w:ilvl w:val="0"/>
          <w:numId w:val="1"/>
        </w:numPr>
        <w:spacing w:after="60"/>
      </w:pPr>
      <w:r>
        <w:rPr>
          <w:b/>
          <w:bCs/>
        </w:rPr>
        <w:t xml:space="preserve">Technology, Media &amp; Telecom (TMT): 7 services</w:t>
      </w:r>
      <w:r>
        <w:t xml:space="preserve"> — Network Incident Response, Customer Churn Intervention, Content Rights Violation Triage, Subscription Exception Handling, Cloud Cost Anomaly Response, Ad Fraud Detection, 5G Service Outage Triage.</w:t>
      </w:r>
    </w:p>
    <w:p>
      <w:pPr>
        <w:pStyle w:val="ListParagraph"/>
        <w:numPr>
          <w:ilvl w:val="0"/>
          <w:numId w:val="1"/>
        </w:numPr>
        <w:spacing w:after="60"/>
      </w:pPr>
      <w:r>
        <w:rPr>
          <w:b/>
          <w:bCs/>
        </w:rPr>
        <w:t xml:space="preserve">Travel &amp; Hospitality (TH): 7 services</w:t>
      </w:r>
      <w:r>
        <w:t xml:space="preserve"> — Overbooking &amp; Inventory Balancing, Disruption Recovery Orchestration, Loyalty Guest Rescue, Revenue-Management Anomaly, Guest Incident Triage, Housekeeping-Exception Routing, Traveler / Profile / Preferences Tracking.</w:t>
      </w:r>
    </w:p>
    <w:p>
      <w:pPr>
        <w:pStyle w:val="ListParagraph"/>
        <w:numPr>
          <w:ilvl w:val="0"/>
          <w:numId w:val="1"/>
        </w:numPr>
        <w:spacing w:after="60"/>
      </w:pPr>
      <w:r>
        <w:rPr>
          <w:b/>
          <w:bCs/>
        </w:rPr>
        <w:t xml:space="preserve">Industrial &amp; Commercial Equipment (ICE): 6 services</w:t>
      </w:r>
      <w:r>
        <w:t xml:space="preserve"> — Field Asset Failure Response, Spare-Parts Availability Triage, Warranty Claim Pattern Analysis, Contract-Renewal Revenue Protection, As-a-Service Utilization Optimization, Compliance Inspection Response.</w:t>
      </w:r>
    </w:p>
    <w:p>
      <w:pPr>
        <w:spacing w:after="140"/>
      </w:pPr>
      <w:r>
        <w:t xml:space="preserve">Each service is one subscribable SKU: scenario + personas + KPIs + SLOs + artifact bundle + prerequisites + commercial terms. Clients subscribe to services, not to "APEX". A client may start with two services and grow to a portfolio of twelve or more across two or three Practices.</w:t>
      </w:r>
    </w:p>
    <w:p>
      <w:pPr>
        <w:spacing w:after="140"/>
      </w:pPr>
      <w:r>
        <w:t xml:space="preserve">The catalogue's multi-industry span is a deliberate commercial choice. A Deloitte account team working a diversified conglomerate — a retailer with a pharmacy subsidiary and a trucking fleet, a media company with a cloud-product line, a healthcare system with a real-estate &amp; hospitality arm — can subscribe that client to services across four or five Practices without buying four or five separate platforms. The canonical schemas, the shared MCPs, the unified audit, and the single identity plane are the reason this works.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Forces of Change</w:t>
      </w:r>
    </w:p>
    <w:p>
      <w:pPr>
        <w:spacing w:after="140"/>
      </w:pPr>
      <w:r>
        <w:t xml:space="preserve">Five forces are converging in 2026 to make agentic platforms not just possible but </w:t>
      </w:r>
      <w:r>
        <w:rPr>
          <w:b/>
          <w:bCs/>
        </w:rPr>
        <w:t xml:space="preserve">operationally necessary</w:t>
      </w:r>
      <w:r>
        <w:t xml:space="preserve">. APEX exists because these forces are real, measurable, and accelerating.</w:t>
      </w:r>
    </w:p>
    <w:p>
      <w:pPr>
        <w:pStyle w:val="Heading2"/>
        <w:spacing w:after="140" w:before="300"/>
      </w:pPr>
      <w:r>
        <w:rPr>
          <w:rFonts w:ascii="Aptos Display" w:cs="Aptos Display" w:eastAsia="Aptos Display" w:hAnsi="Aptos Display"/>
          <w:b/>
          <w:bCs/>
          <w:color w:val="0B111E"/>
          <w:sz w:val="30"/>
          <w:szCs w:val="30"/>
        </w:rPr>
        <w:t xml:space="preserve">Force 1: The Decision-Velocity Gap</w:t>
      </w:r>
    </w:p>
    <w:p>
      <w:pPr>
        <w:spacing w:after="140"/>
      </w:pPr>
      <w:r>
        <w:t xml:space="preserve">Every enterprise function has the same story: the data arrives faster, the regulatory window shortens, the customer expects an answer sooner, but the </w:t>
      </w:r>
      <w:r>
        <w:rPr>
          <w:b/>
          <w:bCs/>
        </w:rPr>
        <w:t xml:space="preserve">decision-maker capacity has not scaled</w:t>
      </w:r>
      <w:r>
        <w:t xml:space="preserve">. A store manager in 2010 made fifty material decisions per shift. In 2026 the telemetry produces five hundred candidate decisions per shift. Humans triage what they can; the rest is silent drift — write-offs, compliance misses, customer churn.</w:t>
      </w:r>
    </w:p>
    <w:p>
      <w:pPr>
        <w:spacing w:after="140"/>
      </w:pPr>
      <w:r>
        <w:t xml:space="preserve">Closing this gap by hiring is not viable. Closing it by "smarter dashboards" has been tried for a decade and has not worked — dashboards make the gap visible, not smaller. Closing it with agentic decision-automation is the only path that scales, </w:t>
      </w:r>
      <w:r>
        <w:rPr>
          <w:b/>
          <w:bCs/>
        </w:rPr>
        <w:t xml:space="preserve">provided governance keeps pace</w:t>
      </w:r>
      <w:r>
        <w:t xml:space="preserve">.</w:t>
      </w:r>
    </w:p>
    <w:p>
      <w:pPr>
        <w:pStyle w:val="Heading2"/>
        <w:spacing w:after="140" w:before="300"/>
      </w:pPr>
      <w:r>
        <w:rPr>
          <w:rFonts w:ascii="Aptos Display" w:cs="Aptos Display" w:eastAsia="Aptos Display" w:hAnsi="Aptos Display"/>
          <w:b/>
          <w:bCs/>
          <w:color w:val="0B111E"/>
          <w:sz w:val="30"/>
          <w:szCs w:val="30"/>
        </w:rPr>
        <w:t xml:space="preserve">Force 2: Agentic AI Has Reached Inflection</w:t>
      </w:r>
    </w:p>
    <w:p>
      <w:pPr>
        <w:spacing w:after="140"/>
      </w:pPr>
      <w:r>
        <w:t xml:space="preserve">In late 2024 the combination of reasoning-model quality, tool-use reliability, and enterprise-grade agent runtimes crossed a threshold. Before the threshold, agents were a research demo. After it, agents are a production platform. By 2026 the question is no longer "can agents reason well enough?" — it is </w:t>
      </w:r>
      <w:r>
        <w:rPr>
          <w:b/>
          <w:bCs/>
        </w:rPr>
        <w:t xml:space="preserve">"can your organisation operate agents responsibly and at scale?"</w:t>
      </w:r>
    </w:p>
    <w:p>
      <w:pPr>
        <w:spacing w:after="140"/>
      </w:pPr>
      <w:r>
        <w:t xml:space="preserve">This is not a technology question. It is a governance, contract, and observability question. APEX exists because the technology is ready but the </w:t>
      </w:r>
      <w:r>
        <w:rPr>
          <w:b/>
          <w:bCs/>
        </w:rPr>
        <w:t xml:space="preserve">operating model</w:t>
      </w:r>
      <w:r>
        <w:t xml:space="preserve"> is not, and someone has to build the operating model.</w:t>
      </w:r>
    </w:p>
    <w:p>
      <w:pPr>
        <w:pStyle w:val="Heading2"/>
        <w:spacing w:after="140" w:before="300"/>
      </w:pPr>
      <w:r>
        <w:rPr>
          <w:rFonts w:ascii="Aptos Display" w:cs="Aptos Display" w:eastAsia="Aptos Display" w:hAnsi="Aptos Display"/>
          <w:b/>
          <w:bCs/>
          <w:color w:val="0B111E"/>
          <w:sz w:val="30"/>
          <w:szCs w:val="30"/>
        </w:rPr>
        <w:t xml:space="preserve">Force 3: Data Sovereignty and PII Complexity</w:t>
      </w:r>
    </w:p>
    <w:p>
      <w:pPr>
        <w:spacing w:after="140"/>
      </w:pPr>
      <w:r>
        <w:t xml:space="preserve">Every industry APEX serves now faces an intersecting web of data obligations: GDPR, CCPA, HIPAA, PCI DSS, FDA 21 CFR Part 11, FERC reliability standards, ISO 27001, SOC 2 Type II, and increasing data residency requirements by nation and by sector.</w:t>
      </w:r>
    </w:p>
    <w:p>
      <w:pPr>
        <w:spacing w:after="140"/>
      </w:pPr>
      <w:r>
        <w:t xml:space="preserve">A decision that crosses any of these boundaries without a documented contract is a compliance incident waiting to happen. APEX's manifest-and-contract model is not a convenience — it is </w:t>
      </w:r>
      <w:r>
        <w:rPr>
          <w:b/>
          <w:bCs/>
        </w:rPr>
        <w:t xml:space="preserve">the minimum bar</w:t>
      </w:r>
      <w:r>
        <w:t xml:space="preserve"> for operating an agentic platform in regulated industry.</w:t>
      </w:r>
    </w:p>
    <w:p>
      <w:pPr>
        <w:pStyle w:val="Heading2"/>
        <w:spacing w:after="140" w:before="300"/>
      </w:pPr>
      <w:r>
        <w:rPr>
          <w:rFonts w:ascii="Aptos Display" w:cs="Aptos Display" w:eastAsia="Aptos Display" w:hAnsi="Aptos Display"/>
          <w:b/>
          <w:bCs/>
          <w:color w:val="0B111E"/>
          <w:sz w:val="30"/>
          <w:szCs w:val="30"/>
        </w:rPr>
        <w:t xml:space="preserve">Force 4: Regulatory Acceleration</w:t>
      </w:r>
    </w:p>
    <w:p>
      <w:pPr>
        <w:spacing w:after="140"/>
      </w:pPr>
      <w:r>
        <w:t xml:space="preserve">The regulatory environment in every APEX Practice has shortened response windows and raised audit-evidence requirements. In healthcare, discharge and sepsis reporting moved from days to hours. In retail, FDA recall response expected in hours not days. In energy, FERC reliability filings shortened. In manufacturing, recall traceability windows have compressed.</w:t>
      </w:r>
    </w:p>
    <w:p>
      <w:pPr>
        <w:spacing w:after="140"/>
      </w:pPr>
      <w:r>
        <w:t xml:space="preserve">None of these regulators will accept "our systems couldn't keep up" as a defence. APEX's </w:t>
      </w:r>
      <w:r>
        <w:rPr>
          <w:b/>
          <w:bCs/>
        </w:rPr>
        <w:t xml:space="preserve">decision audit row</w:t>
      </w:r>
      <w:r>
        <w:t xml:space="preserve"> is designed to be regulatory evidence — stitched to the triggering event, every tool call, every approver, every action — and retained under customer-managed keys for the required window.</w:t>
      </w:r>
    </w:p>
    <w:p>
      <w:pPr>
        <w:pStyle w:val="Heading2"/>
        <w:spacing w:after="140" w:before="300"/>
      </w:pPr>
      <w:r>
        <w:rPr>
          <w:rFonts w:ascii="Aptos Display" w:cs="Aptos Display" w:eastAsia="Aptos Display" w:hAnsi="Aptos Display"/>
          <w:b/>
          <w:bCs/>
          <w:color w:val="0B111E"/>
          <w:sz w:val="30"/>
          <w:szCs w:val="30"/>
        </w:rPr>
        <w:t xml:space="preserve">Force 5: The Knowledge-Worker Capacity Shortage</w:t>
      </w:r>
    </w:p>
    <w:p>
      <w:pPr>
        <w:spacing w:after="140"/>
      </w:pPr>
      <w:r>
        <w:t xml:space="preserve">Demographics are against us. Experienced knowledge workers — senior nurses, seasoned store managers, veteran billing analysts, long-tenured grid operators — are retiring faster than replacements are being trained. The institutional judgement that handled yesterday's ambiguous cases is walking out the door.</w:t>
      </w:r>
    </w:p>
    <w:p>
      <w:pPr>
        <w:spacing w:after="140"/>
      </w:pPr>
      <w:r>
        <w:t xml:space="preserve">APEX's HITL gate model is designed to </w:t>
      </w:r>
      <w:r>
        <w:rPr>
          <w:b/>
          <w:bCs/>
        </w:rPr>
        <w:t xml:space="preserve">preserve and encode</w:t>
      </w:r>
      <w:r>
        <w:t xml:space="preserve"> the judgement of today's experts. Every decision flow captures not just the approver's answer but the rationale; the approval audit rows are training data for the next generation of narrower agents that absorb the patterns. APEX is, among other things, a </w:t>
      </w:r>
      <w:r>
        <w:rPr>
          <w:b/>
          <w:bCs/>
        </w:rPr>
        <w:t xml:space="preserve">knowledge-capture platform</w:t>
      </w:r>
      <w:r>
        <w:t xml:space="preserve">.</w:t>
      </w:r>
    </w:p>
    <w:p>
      <w:pPr>
        <w:pStyle w:val="Heading2"/>
        <w:spacing w:after="140" w:before="300"/>
      </w:pPr>
      <w:r>
        <w:rPr>
          <w:rFonts w:ascii="Aptos Display" w:cs="Aptos Display" w:eastAsia="Aptos Display" w:hAnsi="Aptos Display"/>
          <w:b/>
          <w:bCs/>
          <w:color w:val="0B111E"/>
          <w:sz w:val="30"/>
          <w:szCs w:val="30"/>
        </w:rPr>
        <w:t xml:space="preserve">Forces of Change: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Decision-velocity gap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 outpace human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Agents do data-gathering; humans judge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Agentic AI inflection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Technology is ready; governance lags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Manifest-driven contracts + gates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sovereignty / PII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Regulators require contracted data flows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Silver + Purview + tokenisation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acceleration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Windows shortened; evidence demanded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rows as regulatory evidence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Knowledge-worker shortage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Experts retire; handoff is unfinished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captures rationale; seeds narrower agents</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How the Forces Manifest by Practice</w:t>
      </w:r>
    </w:p>
    <w:p>
      <w:pPr>
        <w:spacing w:after="140"/>
      </w:pPr>
      <w:r>
        <w:t xml:space="preserve">Each force has a Practice-specific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Decision-velocity gap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500+ decision candidates per store per shift; human triage reaches &lt; 20%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 knowledge shortage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 CFR Part 11 evidence requirements + nursing workforce crisis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 velocity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FERC reliability windows + second-level SLO demands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Velocity + knowledge shortage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Line-down $/minute + retirement of experienced tool-and-die experts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Velocity + AI inflection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Network events at millisecond cadence + subscription churn elasticity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Velocity + customer-experience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Minutes-to-plan on disruption; social-media amplification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Knowledge shortage + customer-experience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Field-service workforce ageing; uptime-as-commercial-promise</w:t>
            </w:r>
          </w:p>
        </w:tc>
      </w:tr>
    </w:tbl>
    <w:p>
      <w:pPr>
        <w:spacing w:after="120"/>
      </w:pPr>
      <w:r>
        <w:t xml:space="preserve"/>
      </w:r>
    </w:p>
    <w:p>
      <w:pPr>
        <w:spacing w:after="140"/>
      </w:pPr>
      <w:r>
        <w:t xml:space="preserve">The cross-industry scope is APEX's asymmetric commercial advantage: a diversified client whose CEO sits at the intersection of three of these force profiles can subscribe to services across three Practices and get one governance model, one audit framework, and one identity plane.</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The AI Journey</w:t>
      </w:r>
    </w:p>
    <w:p>
      <w:pPr>
        <w:spacing w:after="140"/>
      </w:pPr>
      <w:r>
        <w:t xml:space="preserve">Enterprise AI moves in eras. Each era built on the previous one; none fully replaced it. APEX is the operating platform for </w:t>
      </w:r>
      <w:r>
        <w:rPr>
          <w:b/>
          <w:bCs/>
        </w:rPr>
        <w:t xml:space="preserve">Era 5</w:t>
      </w:r>
      <w:r>
        <w:t xml:space="preserve">.</w:t>
      </w:r>
    </w:p>
    <w:p>
      <w:pPr>
        <w:pStyle w:val="Heading2"/>
        <w:spacing w:after="140" w:before="300"/>
      </w:pPr>
      <w:r>
        <w:rPr>
          <w:rFonts w:ascii="Aptos Display" w:cs="Aptos Display" w:eastAsia="Aptos Display" w:hAnsi="Aptos Display"/>
          <w:b/>
          <w:bCs/>
          <w:color w:val="0B111E"/>
          <w:sz w:val="30"/>
          <w:szCs w:val="30"/>
        </w:rPr>
        <w:t xml:space="preserve">Era 1 — Rules &amp; Automation (1980s–2010)</w:t>
      </w:r>
    </w:p>
    <w:p>
      <w:pPr>
        <w:spacing w:after="140"/>
      </w:pPr>
      <w:r>
        <w:t xml:space="preserve">Rule engines, workflow automation, BPM. Decisions were encoded as trees of </w:t>
      </w:r>
      <w:r>
        <w:rPr>
          <w:rFonts w:ascii="Cascadia Mono" w:cs="Cascadia Mono" w:eastAsia="Cascadia Mono" w:hAnsi="Cascadia Mono"/>
          <w:color w:val="2B2B2B"/>
          <w:sz w:val="18"/>
          <w:szCs w:val="18"/>
        </w:rPr>
        <w:t xml:space="preserve">if</w:t>
      </w:r>
      <w:r>
        <w:t xml:space="preserve"> clauses by analysts. Worked for narrow, high-volume, well-understood problems. Broke on ambiguity.</w:t>
      </w:r>
    </w:p>
    <w:p>
      <w:pPr>
        <w:pStyle w:val="Heading2"/>
        <w:spacing w:after="140" w:before="300"/>
      </w:pPr>
      <w:r>
        <w:rPr>
          <w:rFonts w:ascii="Aptos Display" w:cs="Aptos Display" w:eastAsia="Aptos Display" w:hAnsi="Aptos Display"/>
          <w:b/>
          <w:bCs/>
          <w:color w:val="0B111E"/>
          <w:sz w:val="30"/>
          <w:szCs w:val="30"/>
        </w:rPr>
        <w:t xml:space="preserve">Era 2 — Analytics &amp; Business Intelligence (2010–2018)</w:t>
      </w:r>
    </w:p>
    <w:p>
      <w:pPr>
        <w:spacing w:after="140"/>
      </w:pPr>
      <w:r>
        <w:t xml:space="preserve">Data warehouses, OLAP cubes, dashboards. The era of "let the operators see more data and they will decide better." Gave decision-makers visibility but did not reduce their burden; if anything, the dashboards added one more meeting.</w:t>
      </w:r>
    </w:p>
    <w:p>
      <w:pPr>
        <w:pStyle w:val="Heading2"/>
        <w:spacing w:after="140" w:before="300"/>
      </w:pPr>
      <w:r>
        <w:rPr>
          <w:rFonts w:ascii="Aptos Display" w:cs="Aptos Display" w:eastAsia="Aptos Display" w:hAnsi="Aptos Display"/>
          <w:b/>
          <w:bCs/>
          <w:color w:val="0B111E"/>
          <w:sz w:val="30"/>
          <w:szCs w:val="30"/>
        </w:rPr>
        <w:t xml:space="preserve">Era 3 — Predictive Machine Learning (2018–2023)</w:t>
      </w:r>
    </w:p>
    <w:p>
      <w:pPr>
        <w:spacing w:after="140"/>
      </w:pPr>
      <w:r>
        <w:t xml:space="preserve">Models trained on historical data to predict outcomes: churn, fraud, failure, demand. Worked on narrow, well-labelled problems. Required specialist MLOps teams. Did not generalise — each model a bespoke project.</w:t>
      </w:r>
    </w:p>
    <w:p>
      <w:pPr>
        <w:pStyle w:val="Heading2"/>
        <w:spacing w:after="140" w:before="300"/>
      </w:pPr>
      <w:r>
        <w:rPr>
          <w:rFonts w:ascii="Aptos Display" w:cs="Aptos Display" w:eastAsia="Aptos Display" w:hAnsi="Aptos Display"/>
          <w:b/>
          <w:bCs/>
          <w:color w:val="0B111E"/>
          <w:sz w:val="30"/>
          <w:szCs w:val="30"/>
        </w:rPr>
        <w:t xml:space="preserve">Era 4 — Generative AI &amp; Copilots (2023–2025)</w:t>
      </w:r>
    </w:p>
    <w:p>
      <w:pPr>
        <w:spacing w:after="140"/>
      </w:pPr>
      <w:r>
        <w:t xml:space="preserve">LLMs enter the enterprise. Copilots augment individual productivity. The era of "chat with your data." Real value, but mostly at the individual level — the organisational operating model did not change.</w:t>
      </w:r>
    </w:p>
    <w:p>
      <w:pPr>
        <w:pStyle w:val="Heading2"/>
        <w:spacing w:after="140" w:before="300"/>
      </w:pPr>
      <w:r>
        <w:rPr>
          <w:rFonts w:ascii="Aptos Display" w:cs="Aptos Display" w:eastAsia="Aptos Display" w:hAnsi="Aptos Display"/>
          <w:b/>
          <w:bCs/>
          <w:color w:val="0B111E"/>
          <w:sz w:val="30"/>
          <w:szCs w:val="30"/>
        </w:rPr>
        <w:t xml:space="preserve">Era 5 — Agentic AI &amp; Autonomous Operations (2025–2030)</w:t>
      </w:r>
    </w:p>
    <w:p>
      <w:pPr>
        <w:spacing w:after="140"/>
      </w:pPr>
      <w:r>
        <w:t xml:space="preserve">Reasoning-tier models plus tool-use plus orchestration runtimes plus governance. Agents become </w:t>
      </w:r>
      <w:r>
        <w:rPr>
          <w:b/>
          <w:bCs/>
        </w:rPr>
        <w:t xml:space="preserve">operational actors</w:t>
      </w:r>
      <w:r>
        <w:t xml:space="preserve"> with bounded authority, traced decisions, and defined human escalation. This is the era APEX is built for.</w:t>
      </w:r>
    </w:p>
    <w:p>
      <w:pPr>
        <w:pStyle w:val="Heading2"/>
        <w:spacing w:after="140" w:before="300"/>
      </w:pPr>
      <w:r>
        <w:rPr>
          <w:rFonts w:ascii="Aptos Display" w:cs="Aptos Display" w:eastAsia="Aptos Display" w:hAnsi="Aptos Display"/>
          <w:b/>
          <w:bCs/>
          <w:color w:val="0B111E"/>
          <w:sz w:val="30"/>
          <w:szCs w:val="30"/>
        </w:rPr>
        <w:t xml:space="preserve">AI Integration Levels</w:t>
      </w:r>
    </w:p>
    <w:p>
      <w:pPr>
        <w:spacing w:after="140"/>
      </w:pPr>
      <w:r>
        <w:t xml:space="preserve">Within Era 5, organisations sit at one of five integration levels. Move up one level per programme wave.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Level 0   No AI in the decision path</w:t>
            </w:r>
          </w:p>
          <w:p>
            <w:pPr>
              <w:spacing w:after="0" w:line="240"/>
            </w:pPr>
            <w:r>
              <w:rPr>
                <w:rFonts w:ascii="Cascadia Mono" w:cs="Cascadia Mono" w:eastAsia="Cascadia Mono" w:hAnsi="Cascadia Mono"/>
                <w:color w:val="1F2937"/>
                <w:sz w:val="18"/>
                <w:szCs w:val="18"/>
              </w:rPr>
              <w:t xml:space="preserve">Level 1   AI as insight (dashboards, recommendations)</w:t>
            </w:r>
          </w:p>
          <w:p>
            <w:pPr>
              <w:spacing w:after="0" w:line="240"/>
            </w:pPr>
            <w:r>
              <w:rPr>
                <w:rFonts w:ascii="Cascadia Mono" w:cs="Cascadia Mono" w:eastAsia="Cascadia Mono" w:hAnsi="Cascadia Mono"/>
                <w:color w:val="1F2937"/>
                <w:sz w:val="18"/>
                <w:szCs w:val="18"/>
              </w:rPr>
              <w:t xml:space="preserve">Level 2   AI as assistant (Copilot in Teams, Word, Excel, code IDEs)</w:t>
            </w:r>
          </w:p>
          <w:p>
            <w:pPr>
              <w:spacing w:after="0" w:line="240"/>
            </w:pPr>
            <w:r>
              <w:rPr>
                <w:rFonts w:ascii="Cascadia Mono" w:cs="Cascadia Mono" w:eastAsia="Cascadia Mono" w:hAnsi="Cascadia Mono"/>
                <w:color w:val="1F2937"/>
                <w:sz w:val="18"/>
                <w:szCs w:val="18"/>
              </w:rPr>
              <w:t xml:space="preserve">Level 3   AI as advisor (structured recommendations on specific decisions)</w:t>
            </w:r>
          </w:p>
          <w:p>
            <w:pPr>
              <w:spacing w:after="0" w:line="240"/>
            </w:pPr>
            <w:r>
              <w:rPr>
                <w:rFonts w:ascii="Cascadia Mono" w:cs="Cascadia Mono" w:eastAsia="Cascadia Mono" w:hAnsi="Cascadia Mono"/>
                <w:color w:val="1F2937"/>
                <w:sz w:val="18"/>
                <w:szCs w:val="18"/>
              </w:rPr>
              <w:t xml:space="preserve">Level 4   AI as agent with HITL (APEX target — Wave 2 end state)</w:t>
            </w:r>
          </w:p>
          <w:p>
            <w:pPr>
              <w:spacing w:after="0" w:line="240"/>
            </w:pPr>
            <w:r>
              <w:rPr>
                <w:rFonts w:ascii="Cascadia Mono" w:cs="Cascadia Mono" w:eastAsia="Cascadia Mono" w:hAnsi="Cascadia Mono"/>
                <w:color w:val="1F2937"/>
                <w:sz w:val="18"/>
                <w:szCs w:val="18"/>
              </w:rPr>
              <w:t xml:space="preserve">Level 5   AI as autonomous operator (North Star — selected services only)</w:t>
            </w:r>
          </w:p>
        </w:tc>
      </w:tr>
    </w:tbl>
    <w:p>
      <w:pPr>
        <w:spacing w:after="140"/>
      </w:pPr>
      <w:r>
        <w:t xml:space="preserve">Most clients enter APEX at </w:t>
      </w:r>
      <w:r>
        <w:rPr>
          <w:b/>
          <w:bCs/>
        </w:rPr>
        <w:t xml:space="preserve">Level 1 or 2</w:t>
      </w:r>
      <w:r>
        <w:t xml:space="preserve"> and exit Wave 1 at </w:t>
      </w:r>
      <w:r>
        <w:rPr>
          <w:b/>
          <w:bCs/>
        </w:rPr>
        <w:t xml:space="preserve">Level 3</w:t>
      </w:r>
      <w:r>
        <w:t xml:space="preserve">, Wave 2 at </w:t>
      </w:r>
      <w:r>
        <w:rPr>
          <w:b/>
          <w:bCs/>
        </w:rPr>
        <w:t xml:space="preserve">Level 4</w:t>
      </w:r>
      <w:r>
        <w:t xml:space="preserve">, and Wave 3 ready to pilot </w:t>
      </w:r>
      <w:r>
        <w:rPr>
          <w:b/>
          <w:bCs/>
        </w:rPr>
        <w:t xml:space="preserve">Level 5</w:t>
      </w:r>
      <w:r>
        <w:t xml:space="preserve"> on the safest services.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Decision-Automation Maturity Model</w:t>
      </w:r>
    </w:p>
    <w:p>
      <w:pPr>
        <w:spacing w:after="140"/>
      </w:pPr>
      <w:r>
        <w:t xml:space="preserve">The APEX maturity model replaces the Industry 4.0 model used for manufacturing. It is the single self-assessment we run with clients on day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1 · DASHBOARDS                                               │</w:t>
            </w:r>
          </w:p>
          <w:p>
            <w:pPr>
              <w:spacing w:after="0" w:line="240"/>
            </w:pPr>
            <w:r>
              <w:rPr>
                <w:rFonts w:ascii="Cascadia Mono" w:cs="Cascadia Mono" w:eastAsia="Cascadia Mono" w:hAnsi="Cascadia Mono"/>
                <w:color w:val="1F2937"/>
                <w:sz w:val="18"/>
                <w:szCs w:val="18"/>
              </w:rPr>
              <w:t xml:space="preserve">│   Humans read, humans decide. Latency: hours.                      │</w:t>
            </w:r>
          </w:p>
          <w:p>
            <w:pPr>
              <w:spacing w:after="0" w:line="240"/>
            </w:pPr>
            <w:r>
              <w:rPr>
                <w:rFonts w:ascii="Cascadia Mono" w:cs="Cascadia Mono" w:eastAsia="Cascadia Mono" w:hAnsi="Cascadia Mono"/>
                <w:color w:val="1F2937"/>
                <w:sz w:val="18"/>
                <w:szCs w:val="18"/>
              </w:rPr>
              <w:t xml:space="preserve">│   Failure mode: silent drift; backlog builds; outliers missed.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2 · ALERTS                                                   │</w:t>
            </w:r>
          </w:p>
          <w:p>
            <w:pPr>
              <w:spacing w:after="0" w:line="240"/>
            </w:pPr>
            <w:r>
              <w:rPr>
                <w:rFonts w:ascii="Cascadia Mono" w:cs="Cascadia Mono" w:eastAsia="Cascadia Mono" w:hAnsi="Cascadia Mono"/>
                <w:color w:val="1F2937"/>
                <w:sz w:val="18"/>
                <w:szCs w:val="18"/>
              </w:rPr>
              <w:t xml:space="preserve">│   System pushes signals; humans decide. Latency: minutes-to-hours. │</w:t>
            </w:r>
          </w:p>
          <w:p>
            <w:pPr>
              <w:spacing w:after="0" w:line="240"/>
            </w:pPr>
            <w:r>
              <w:rPr>
                <w:rFonts w:ascii="Cascadia Mono" w:cs="Cascadia Mono" w:eastAsia="Cascadia Mono" w:hAnsi="Cascadia Mono"/>
                <w:color w:val="1F2937"/>
                <w:sz w:val="18"/>
                <w:szCs w:val="18"/>
              </w:rPr>
              <w:t xml:space="preserve">│   Failure mode: alert fatigue; false positives teach operators to  │</w:t>
            </w:r>
          </w:p>
          <w:p>
            <w:pPr>
              <w:spacing w:after="0" w:line="240"/>
            </w:pPr>
            <w:r>
              <w:rPr>
                <w:rFonts w:ascii="Cascadia Mono" w:cs="Cascadia Mono" w:eastAsia="Cascadia Mono" w:hAnsi="Cascadia Mono"/>
                <w:color w:val="1F2937"/>
                <w:sz w:val="18"/>
                <w:szCs w:val="18"/>
              </w:rPr>
              <w:t xml:space="preserve">│   ignore; true positives get lost in the noise.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3 · RECOMMENDATIONS                                          │</w:t>
            </w:r>
          </w:p>
          <w:p>
            <w:pPr>
              <w:spacing w:after="0" w:line="240"/>
            </w:pPr>
            <w:r>
              <w:rPr>
                <w:rFonts w:ascii="Cascadia Mono" w:cs="Cascadia Mono" w:eastAsia="Cascadia Mono" w:hAnsi="Cascadia Mono"/>
                <w:color w:val="1F2937"/>
                <w:sz w:val="18"/>
                <w:szCs w:val="18"/>
              </w:rPr>
              <w:t xml:space="preserve">│   System proposes specific actions with rationale; humans approve. │</w:t>
            </w:r>
          </w:p>
          <w:p>
            <w:pPr>
              <w:spacing w:after="0" w:line="240"/>
            </w:pPr>
            <w:r>
              <w:rPr>
                <w:rFonts w:ascii="Cascadia Mono" w:cs="Cascadia Mono" w:eastAsia="Cascadia Mono" w:hAnsi="Cascadia Mono"/>
                <w:color w:val="1F2937"/>
                <w:sz w:val="18"/>
                <w:szCs w:val="18"/>
              </w:rPr>
              <w:t xml:space="preserve">│   Latency: minutes. Manager touch-time: 3–5 minutes per decision.  │</w:t>
            </w:r>
          </w:p>
          <w:p>
            <w:pPr>
              <w:spacing w:after="0" w:line="240"/>
            </w:pPr>
            <w:r>
              <w:rPr>
                <w:rFonts w:ascii="Cascadia Mono" w:cs="Cascadia Mono" w:eastAsia="Cascadia Mono" w:hAnsi="Cascadia Mono"/>
                <w:color w:val="1F2937"/>
                <w:sz w:val="18"/>
                <w:szCs w:val="18"/>
              </w:rPr>
              <w:t xml:space="preserve">│   Failure mode: recommendations not trusted; approval backlog;     │</w:t>
            </w:r>
          </w:p>
          <w:p>
            <w:pPr>
              <w:spacing w:after="0" w:line="240"/>
            </w:pPr>
            <w:r>
              <w:rPr>
                <w:rFonts w:ascii="Cascadia Mono" w:cs="Cascadia Mono" w:eastAsia="Cascadia Mono" w:hAnsi="Cascadia Mono"/>
                <w:color w:val="1F2937"/>
                <w:sz w:val="18"/>
                <w:szCs w:val="18"/>
              </w:rPr>
              <w:t xml:space="preserve">│   rationale unverifiable.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4 · ORCHESTRATED HITL  (APEX TARGET)                         │</w:t>
            </w:r>
          </w:p>
          <w:p>
            <w:pPr>
              <w:spacing w:after="0" w:line="240"/>
            </w:pPr>
            <w:r>
              <w:rPr>
                <w:rFonts w:ascii="Cascadia Mono" w:cs="Cascadia Mono" w:eastAsia="Cascadia Mono" w:hAnsi="Cascadia Mono"/>
                <w:color w:val="1F2937"/>
                <w:sz w:val="18"/>
                <w:szCs w:val="18"/>
              </w:rPr>
              <w:t xml:space="preserve">│   Agents act within gates tuned to risk class. Bulk of decisions   │</w:t>
            </w:r>
          </w:p>
          <w:p>
            <w:pPr>
              <w:spacing w:after="0" w:line="240"/>
            </w:pPr>
            <w:r>
              <w:rPr>
                <w:rFonts w:ascii="Cascadia Mono" w:cs="Cascadia Mono" w:eastAsia="Cascadia Mono" w:hAnsi="Cascadia Mono"/>
                <w:color w:val="1F2937"/>
                <w:sz w:val="18"/>
                <w:szCs w:val="18"/>
              </w:rPr>
              <w:t xml:space="preserve">│   are ACK_ONLY or ZERO_TOUCH; the consequential ones are HITL.     │</w:t>
            </w:r>
          </w:p>
          <w:p>
            <w:pPr>
              <w:spacing w:after="0" w:line="240"/>
            </w:pPr>
            <w:r>
              <w:rPr>
                <w:rFonts w:ascii="Cascadia Mono" w:cs="Cascadia Mono" w:eastAsia="Cascadia Mono" w:hAnsi="Cascadia Mono"/>
                <w:color w:val="1F2937"/>
                <w:sz w:val="18"/>
                <w:szCs w:val="18"/>
              </w:rPr>
              <w:t xml:space="preserve">│   Latency: seconds-to-minutes. Manager touch-time: 60–90 seconds   │</w:t>
            </w:r>
          </w:p>
          <w:p>
            <w:pPr>
              <w:spacing w:after="0" w:line="240"/>
            </w:pPr>
            <w:r>
              <w:rPr>
                <w:rFonts w:ascii="Cascadia Mono" w:cs="Cascadia Mono" w:eastAsia="Cascadia Mono" w:hAnsi="Cascadia Mono"/>
                <w:color w:val="1F2937"/>
                <w:sz w:val="18"/>
                <w:szCs w:val="18"/>
              </w:rPr>
              <w:t xml:space="preserve">│   per HITL decision. Full audit trail.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5 · AUTONOMOUS  (NORTH STAR)                                 │</w:t>
            </w:r>
          </w:p>
          <w:p>
            <w:pPr>
              <w:spacing w:after="0" w:line="240"/>
            </w:pPr>
            <w:r>
              <w:rPr>
                <w:rFonts w:ascii="Cascadia Mono" w:cs="Cascadia Mono" w:eastAsia="Cascadia Mono" w:hAnsi="Cascadia Mono"/>
                <w:color w:val="1F2937"/>
                <w:sz w:val="18"/>
                <w:szCs w:val="18"/>
              </w:rPr>
              <w:t xml:space="preserve">│   Selected high-volume, well-bounded services run with no gate at  │</w:t>
            </w:r>
          </w:p>
          <w:p>
            <w:pPr>
              <w:spacing w:after="0" w:line="240"/>
            </w:pPr>
            <w:r>
              <w:rPr>
                <w:rFonts w:ascii="Cascadia Mono" w:cs="Cascadia Mono" w:eastAsia="Cascadia Mono" w:hAnsi="Cascadia Mono"/>
                <w:color w:val="1F2937"/>
                <w:sz w:val="18"/>
                <w:szCs w:val="18"/>
              </w:rPr>
              <w:t xml:space="preserve">│   steady-state; humans monitor exceptions only. Latency: seconds.  │</w:t>
            </w:r>
          </w:p>
          <w:p>
            <w:pPr>
              <w:spacing w:after="0" w:line="240"/>
            </w:pPr>
            <w:r>
              <w:rPr>
                <w:rFonts w:ascii="Cascadia Mono" w:cs="Cascadia Mono" w:eastAsia="Cascadia Mono" w:hAnsi="Cascadia Mono"/>
                <w:color w:val="1F2937"/>
                <w:sz w:val="18"/>
                <w:szCs w:val="18"/>
              </w:rPr>
              <w:t xml:space="preserve">│   Reached only after 6+ months at Level 4 with proven track        │</w:t>
            </w:r>
          </w:p>
          <w:p>
            <w:pPr>
              <w:spacing w:after="0" w:line="240"/>
            </w:pPr>
            <w:r>
              <w:rPr>
                <w:rFonts w:ascii="Cascadia Mono" w:cs="Cascadia Mono" w:eastAsia="Cascadia Mono" w:hAnsi="Cascadia Mono"/>
                <w:color w:val="1F2937"/>
                <w:sz w:val="18"/>
                <w:szCs w:val="18"/>
              </w:rPr>
              <w:t xml:space="preserve">│   record and formal audit approval.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Self-Assessment: Where Is Your Enterprise Today?</w:t>
      </w:r>
    </w:p>
    <w:p>
      <w:pPr>
        <w:spacing w:after="140"/>
      </w:pPr>
      <w:r>
        <w:t xml:space="preserve">Most APEX clients, on day one, sit at </w:t>
      </w:r>
      <w:r>
        <w:rPr>
          <w:b/>
          <w:bCs/>
        </w:rPr>
        <w:t xml:space="preserve">Level 1 or Level 2</w:t>
      </w:r>
      <w:r>
        <w:t xml:space="preserve"> for the function they want APEX to transform. A smaller number are at </w:t>
      </w:r>
      <w:r>
        <w:rPr>
          <w:b/>
          <w:bCs/>
        </w:rPr>
        <w:t xml:space="preserve">Level 3</w:t>
      </w:r>
      <w:r>
        <w:t xml:space="preserve"> already — typically where a prior programme shipped recommendation systems that were partially adopted.</w:t>
      </w:r>
    </w:p>
    <w:p>
      <w:pPr>
        <w:spacing w:after="140"/>
      </w:pPr>
      <w:r>
        <w:rPr>
          <w:b/>
          <w:bCs/>
        </w:rPr>
        <w:t xml:space="preserve">Wave 1 targets Level 3.</w:t>
      </w:r>
      <w:r>
        <w:t xml:space="preserve"> Agents reason and propose; humans approve every decision. Trust is built by volume — the first 500 approvals are typically unanimous-or-close-to-it, which earns the programme the credibility to proceed.</w:t>
      </w:r>
    </w:p>
    <w:p>
      <w:pPr>
        <w:spacing w:after="140"/>
      </w:pPr>
      <w:r>
        <w:rPr>
          <w:b/>
          <w:bCs/>
        </w:rPr>
        <w:t xml:space="preserve">Wave 2 targets Level 4.</w:t>
      </w:r>
      <w:r>
        <w:t xml:space="preserve"> Once decision quality is proven on a service, its HITL gate is down-shifted for the bulk cases (ACK_ONLY) while keeping HITL on the consequential cases (high-$, high-regulatory, high-customer-impact). Manager touch drops by an order of magnitude.</w:t>
      </w:r>
    </w:p>
    <w:p>
      <w:pPr>
        <w:spacing w:after="140"/>
      </w:pPr>
      <w:r>
        <w:rPr>
          <w:b/>
          <w:bCs/>
        </w:rPr>
        <w:t xml:space="preserve">Wave 3 targets pilot Level 5</w:t>
      </w:r>
      <w:r>
        <w:t xml:space="preserve"> on a narrow subset of services where the cost/benefit of a gate is clearly negative (e.g., phantom-OOS restocking decisions at $5 of inventory risk) — with an audit review at 6-month intervals.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IT Simplification</w:t>
      </w:r>
    </w:p>
    <w:p>
      <w:pPr>
        <w:pStyle w:val="Heading2"/>
        <w:spacing w:after="140" w:before="300"/>
      </w:pPr>
      <w:r>
        <w:rPr>
          <w:rFonts w:ascii="Aptos Display" w:cs="Aptos Display" w:eastAsia="Aptos Display" w:hAnsi="Aptos Display"/>
          <w:b/>
          <w:bCs/>
          <w:color w:val="0B111E"/>
          <w:sz w:val="30"/>
          <w:szCs w:val="30"/>
        </w:rPr>
        <w:t xml:space="preserve">The Platform Thesis</w:t>
      </w:r>
    </w:p>
    <w:p>
      <w:pPr>
        <w:spacing w:after="140"/>
      </w:pPr>
      <w:r>
        <w:t xml:space="preserve">Before APEX, a typical Fortune 500 enterprise has </w:t>
      </w:r>
      <w:r>
        <w:rPr>
          <w:b/>
          <w:bCs/>
        </w:rPr>
        <w:t xml:space="preserve">twelve to twenty point tools</w:t>
      </w:r>
      <w:r>
        <w:t xml:space="preserve"> for decision-support in each function: dashboards, alerting systems, recommendation engines, ticketing, audit archives, communications apps, approval workflows, and so on. Each tool has its own data model, its own identity layer, its own operations discipline, and its own vendor contract.</w:t>
      </w:r>
    </w:p>
    <w:p>
      <w:pPr>
        <w:spacing w:after="140"/>
      </w:pPr>
      <w:r>
        <w:t xml:space="preserve">After APEX, the enterprise has </w:t>
      </w:r>
      <w:r>
        <w:rPr>
          <w:b/>
          <w:bCs/>
        </w:rPr>
        <w:t xml:space="preserve">one platform</w:t>
      </w:r>
      <w:r>
        <w:t xml:space="preserve"> with many services. The data model is canonical. The identity layer is Entra ID. The operations discipline is one App Insights workbook per tenant. The vendor contract is Microsoft plus Deloitte-delivered Practice content.</w:t>
      </w:r>
    </w:p>
    <w:p>
      <w:pPr>
        <w:pStyle w:val="Heading2"/>
        <w:spacing w:after="140" w:before="300"/>
      </w:pPr>
      <w:r>
        <w:rPr>
          <w:rFonts w:ascii="Aptos Display" w:cs="Aptos Display" w:eastAsia="Aptos Display" w:hAnsi="Aptos Display"/>
          <w:b/>
          <w:bCs/>
          <w:color w:val="0B111E"/>
          <w:sz w:val="30"/>
          <w:szCs w:val="30"/>
        </w:rPr>
        <w:t xml:space="preserve">Before APEX vs. After APEX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model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product-specific models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canonical schema family per domain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Identity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Per-tool local identity + SSO patchwork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ID + managed identity end-to-end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Distributed across tool logs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append-only </w:t>
            </w:r>
            <w:r>
              <w:rPr>
                <w:rFonts w:ascii="Cascadia Mono" w:cs="Cascadia Mono" w:eastAsia="Cascadia Mono" w:hAnsi="Cascadia Mono"/>
                <w:color w:val="2B2B2B"/>
                <w:sz w:val="18"/>
                <w:szCs w:val="18"/>
              </w:rPr>
              <w:t xml:space="preserve">silver_decision_audit</w:t>
            </w:r>
            <w:r>
              <w:t xml:space="preserve"> table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evidence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Manually reconstructed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Query a single audit table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Tool sprawl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12–20 point tools per function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 platform, multiple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Onboarding new function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months; custom build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4–6 weeks; subscribe to catalog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Vendor relationships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Dozens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 Deloitte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Cost transparency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Per-tool, hard to aggregate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Per-tenant, per-service, fully tagged</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APEX as the Intelligence Layer</w:t>
      </w:r>
    </w:p>
    <w:p>
      <w:pPr>
        <w:spacing w:after="140"/>
      </w:pPr>
      <w:r>
        <w:t xml:space="preserve">APEX does not replace the client's Systems of Record. ERP stays. WMS stays. EHR stays. SCADA stays. POS stays. APEX sits </w:t>
      </w:r>
      <w:r>
        <w:rPr>
          <w:b/>
          <w:bCs/>
        </w:rPr>
        <w:t xml:space="preserve">on top</w:t>
      </w:r>
      <w:r>
        <w:t xml:space="preserve"> as the intelligence layer — canonicalising SOR data in Silver, exposing Gold feature views to agents, orchestrating decisions, and closing the loop back to the SOR via controlled write paths (e.g., ledger staging, work-order creation).</w:t>
      </w:r>
    </w:p>
    <w:p>
      <w:pPr>
        <w:spacing w:after="140"/>
      </w:pPr>
      <w:r>
        <w:t xml:space="preserve">This thesis matters because it bounds the ask. APEX is not an eighteen-month rip-and-replace. It is a four-to-six-month overlay that starts producing measurable value in months, not years.</w:t>
      </w:r>
    </w:p>
    <w:p>
      <w:pPr>
        <w:pStyle w:val="Heading2"/>
        <w:spacing w:after="140" w:before="300"/>
      </w:pPr>
      <w:r>
        <w:rPr>
          <w:rFonts w:ascii="Aptos Display" w:cs="Aptos Display" w:eastAsia="Aptos Display" w:hAnsi="Aptos Display"/>
          <w:b/>
          <w:bCs/>
          <w:color w:val="0B111E"/>
          <w:sz w:val="30"/>
          <w:szCs w:val="30"/>
        </w:rPr>
        <w:t xml:space="preserve">The Microsoft-Native Stack</w:t>
      </w:r>
    </w:p>
    <w:p>
      <w:pPr>
        <w:spacing w:after="140"/>
      </w:pPr>
      <w:r>
        <w:t xml:space="preserve">APEX runs on a seven-layer Microsoft-native stack. Every layer is a product the client either already has in their enterprise agreement or can add through their existing Microsoft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L7  Experience         Teams · Power Platform · Copilot · M365 · Associate mobile</w:t>
            </w:r>
          </w:p>
          <w:p>
            <w:pPr>
              <w:spacing w:after="0" w:line="240"/>
            </w:pPr>
            <w:r>
              <w:rPr>
                <w:rFonts w:ascii="Cascadia Mono" w:cs="Cascadia Mono" w:eastAsia="Cascadia Mono" w:hAnsi="Cascadia Mono"/>
                <w:color w:val="1F2937"/>
                <w:sz w:val="18"/>
                <w:szCs w:val="18"/>
              </w:rPr>
              <w:t xml:space="preserve">L6  Orchestration      Azure AI Agent Service · Logic Apps · Durable Functions</w:t>
            </w:r>
          </w:p>
          <w:p>
            <w:pPr>
              <w:spacing w:after="0" w:line="240"/>
            </w:pPr>
            <w:r>
              <w:rPr>
                <w:rFonts w:ascii="Cascadia Mono" w:cs="Cascadia Mono" w:eastAsia="Cascadia Mono" w:hAnsi="Cascadia Mono"/>
                <w:color w:val="1F2937"/>
                <w:sz w:val="18"/>
                <w:szCs w:val="18"/>
              </w:rPr>
              <w:t xml:space="preserve">L5  Intelligence       Azure AI Foundry · Azure OpenAI · Azure AI Search · Embeddings</w:t>
            </w:r>
          </w:p>
          <w:p>
            <w:pPr>
              <w:spacing w:after="0" w:line="240"/>
            </w:pPr>
            <w:r>
              <w:rPr>
                <w:rFonts w:ascii="Cascadia Mono" w:cs="Cascadia Mono" w:eastAsia="Cascadia Mono" w:hAnsi="Cascadia Mono"/>
                <w:color w:val="1F2937"/>
                <w:sz w:val="18"/>
                <w:szCs w:val="18"/>
              </w:rPr>
              <w:t xml:space="preserve">L4  Protocol           MCP servers (Container Apps / Functions)</w:t>
            </w:r>
          </w:p>
          <w:p>
            <w:pPr>
              <w:spacing w:after="0" w:line="240"/>
            </w:pPr>
            <w:r>
              <w:rPr>
                <w:rFonts w:ascii="Cascadia Mono" w:cs="Cascadia Mono" w:eastAsia="Cascadia Mono" w:hAnsi="Cascadia Mono"/>
                <w:color w:val="1F2937"/>
                <w:sz w:val="18"/>
                <w:szCs w:val="18"/>
              </w:rPr>
              <w:t xml:space="preserve">L3  Data plane         Fabric Lakehouse · Warehouse · Eventstream · OneLake</w:t>
            </w:r>
          </w:p>
          <w:p>
            <w:pPr>
              <w:spacing w:after="0" w:line="240"/>
            </w:pPr>
            <w:r>
              <w:rPr>
                <w:rFonts w:ascii="Cascadia Mono" w:cs="Cascadia Mono" w:eastAsia="Cascadia Mono" w:hAnsi="Cascadia Mono"/>
                <w:color w:val="1F2937"/>
                <w:sz w:val="18"/>
                <w:szCs w:val="18"/>
              </w:rPr>
              <w:t xml:space="preserve">L2  Integration        Data Pipelines · Dataflow Gen2 · Mirrored Databases</w:t>
            </w:r>
          </w:p>
          <w:p>
            <w:pPr>
              <w:spacing w:after="0" w:line="240"/>
            </w:pPr>
            <w:r>
              <w:rPr>
                <w:rFonts w:ascii="Cascadia Mono" w:cs="Cascadia Mono" w:eastAsia="Cascadia Mono" w:hAnsi="Cascadia Mono"/>
                <w:color w:val="1F2937"/>
                <w:sz w:val="18"/>
                <w:szCs w:val="18"/>
              </w:rPr>
              <w:t xml:space="preserve">L1  Foundation         Entra ID · Managed Identity · Purview · App Insights · Azure Monitor</w:t>
            </w:r>
          </w:p>
        </w:tc>
      </w:tr>
    </w:tbl>
    <w:p>
      <w:pPr>
        <w:spacing w:after="140"/>
      </w:pPr>
      <w:r>
        <w:t xml:space="preserve">Every arrow between layers is an identity-authenticated, trace-instrumented, managed-by-infrastructure-as-code boundary. No weak seams.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The Human Element</w:t>
      </w:r>
    </w:p>
    <w:p>
      <w:pPr>
        <w:spacing w:after="140"/>
      </w:pPr>
      <w:r>
        <w:t xml:space="preserve">A platform that replaces decisions without involving the humans who used to make them fails — politically, operationally, and often legally. APEX is designed around the opposite thesis: </w:t>
      </w:r>
      <w:r>
        <w:rPr>
          <w:b/>
          <w:bCs/>
        </w:rPr>
        <w:t xml:space="preserve">agents change the nature of knowledge work, not the presence of knowledge workers.</w:t>
      </w:r>
    </w:p>
    <w:p>
      <w:pPr>
        <w:pStyle w:val="Heading2"/>
        <w:spacing w:after="140" w:before="300"/>
      </w:pPr>
      <w:r>
        <w:rPr>
          <w:rFonts w:ascii="Aptos Display" w:cs="Aptos Display" w:eastAsia="Aptos Display" w:hAnsi="Aptos Display"/>
          <w:b/>
          <w:bCs/>
          <w:color w:val="0B111E"/>
          <w:sz w:val="30"/>
          <w:szCs w:val="30"/>
        </w:rPr>
        <w:t xml:space="preserve">The Fear Factor</w:t>
      </w:r>
    </w:p>
    <w:p>
      <w:pPr>
        <w:spacing w:after="140"/>
      </w:pPr>
      <w:r>
        <w:t xml:space="preserve">On every APEX engagement, the same four fears surface in the first weeks. They must be answered directly.</w:t>
      </w:r>
    </w:p>
    <w:p>
      <w:pPr>
        <w:pStyle w:val="Heading3"/>
        <w:spacing w:after="120" w:before="260"/>
      </w:pPr>
      <w:r>
        <w:rPr>
          <w:rFonts w:ascii="Aptos" w:cs="Aptos" w:eastAsia="Aptos" w:hAnsi="Aptos"/>
          <w:b/>
          <w:bCs/>
          <w:color w:val="0B111E"/>
          <w:sz w:val="24"/>
          <w:szCs w:val="24"/>
        </w:rPr>
        <w:t xml:space="preserve">Fear 1: "Will AI replace me?"</w:t>
      </w:r>
    </w:p>
    <w:p>
      <w:pPr>
        <w:spacing w:after="140"/>
      </w:pPr>
      <w:r>
        <w:t xml:space="preserve">The honest answer: your role changes, but it doesn't disappear — and the new role is higher-leverage than the old one.</w:t>
      </w:r>
    </w:p>
    <w:p>
      <w:pPr>
        <w:spacing w:after="140"/>
      </w:pPr>
      <w:r>
        <w:t xml:space="preserve">A store manager's shift before APEX was 65% data-gathering (walking aisles, reading dashboards, opening spreadsheets) and 35% decision-making. After APEX it inverts: 15% data-gathering, 85% judgement. The role becomes consequential in a way it wasn't when the operator spent most of the shift chasing data. Empirically, the manager who was going to quit stays longer after APEX ships, because the work becomes more interesting.</w:t>
      </w:r>
    </w:p>
    <w:p>
      <w:pPr>
        <w:pStyle w:val="Heading3"/>
        <w:spacing w:after="120" w:before="260"/>
      </w:pPr>
      <w:r>
        <w:rPr>
          <w:rFonts w:ascii="Aptos" w:cs="Aptos" w:eastAsia="Aptos" w:hAnsi="Aptos"/>
          <w:b/>
          <w:bCs/>
          <w:color w:val="0B111E"/>
          <w:sz w:val="24"/>
          <w:szCs w:val="24"/>
        </w:rPr>
        <w:t xml:space="preserve">Fear 2: "Can I trust an agent's decision?"</w:t>
      </w:r>
    </w:p>
    <w:p>
      <w:pPr>
        <w:spacing w:after="140"/>
      </w:pPr>
      <w:r>
        <w:t xml:space="preserve">The honest answer: you will not be asked to. You will be asked to </w:t>
      </w:r>
      <w:r>
        <w:rPr>
          <w:b/>
          <w:bCs/>
        </w:rPr>
        <w:t xml:space="preserve">approve</w:t>
      </w:r>
      <w:r>
        <w:t xml:space="preserve"> the agent's proposed decision, with full visibility into how it reached it.</w:t>
      </w:r>
    </w:p>
    <w:p>
      <w:pPr>
        <w:spacing w:after="140"/>
      </w:pPr>
      <w:r>
        <w:t xml:space="preserve">Every APEX HITL card shows the reasoning chain, the tools called, the data read, and the specific recommendation. The approver can approve, modify, or reject. In Wave 1, the HITL gate is wide — every consequential decision goes through a human. In Wave 2, patterns emerge: decisions of class X are unanimously approved 98% of the time, so they downgrade to ACK_ONLY. The approver did not lose control; they redirected their attention to the decisions that still warrant it.</w:t>
      </w:r>
    </w:p>
    <w:p>
      <w:pPr>
        <w:pStyle w:val="Heading3"/>
        <w:spacing w:after="120" w:before="260"/>
      </w:pPr>
      <w:r>
        <w:rPr>
          <w:rFonts w:ascii="Aptos" w:cs="Aptos" w:eastAsia="Aptos" w:hAnsi="Aptos"/>
          <w:b/>
          <w:bCs/>
          <w:color w:val="0B111E"/>
          <w:sz w:val="24"/>
          <w:szCs w:val="24"/>
        </w:rPr>
        <w:t xml:space="preserve">Fear 3: "What about auditability and compliance?"</w:t>
      </w:r>
    </w:p>
    <w:p>
      <w:pPr>
        <w:spacing w:after="140"/>
      </w:pPr>
      <w:r>
        <w:t xml:space="preserve">The honest answer: auditability is better than what you have today, not worse.</w:t>
      </w:r>
    </w:p>
    <w:p>
      <w:pPr>
        <w:spacing w:after="140"/>
      </w:pPr>
      <w:r>
        <w:t xml:space="preserve">Today's decision audit is mostly implicit: a Teams thread, an email chain, a spreadsheet comment, sometimes a notebook. Reconstructing a decision for a regulator is a week's work. Under APEX, the decision audit is explicit: one row in a Silver table, with operation_Id, input_hash, output_hash, decider_oid, rationale, and rollback pointer. Customer-managed keys. Immutable. Query-able. Regulators have responded well.</w:t>
      </w:r>
    </w:p>
    <w:p>
      <w:pPr>
        <w:pStyle w:val="Heading3"/>
        <w:spacing w:after="120" w:before="260"/>
      </w:pPr>
      <w:r>
        <w:rPr>
          <w:rFonts w:ascii="Aptos" w:cs="Aptos" w:eastAsia="Aptos" w:hAnsi="Aptos"/>
          <w:b/>
          <w:bCs/>
          <w:color w:val="0B111E"/>
          <w:sz w:val="24"/>
          <w:szCs w:val="24"/>
        </w:rPr>
        <w:t xml:space="preserve">Fear 4: "We've tried this before and it failed."</w:t>
      </w:r>
    </w:p>
    <w:p>
      <w:pPr>
        <w:spacing w:after="140"/>
      </w:pPr>
      <w:r>
        <w:t xml:space="preserve">The honest answer: it probably did, and probably for one of three reasons — the data wasn't canonical, the governance wasn't contractual, or the change management was underfunded. APEX addresses all three. But the fear should not be dismissed; it should be interrogated, and the specific prior-failure-modes should be named in the kickoff workshop.</w:t>
      </w:r>
    </w:p>
    <w:p>
      <w:pPr>
        <w:pStyle w:val="Heading2"/>
        <w:spacing w:after="140" w:before="300"/>
      </w:pPr>
      <w:r>
        <w:rPr>
          <w:rFonts w:ascii="Aptos Display" w:cs="Aptos Display" w:eastAsia="Aptos Display" w:hAnsi="Aptos Display"/>
          <w:b/>
          <w:bCs/>
          <w:color w:val="0B111E"/>
          <w:sz w:val="30"/>
          <w:szCs w:val="30"/>
        </w:rPr>
        <w:t xml:space="preserve">The Generational Handoff</w:t>
      </w:r>
    </w:p>
    <w:p>
      <w:pPr>
        <w:spacing w:after="140"/>
      </w:pPr>
      <w:r>
        <w:t xml:space="preserve">The experienced operators in every client organisation are also, almost by definition, the people whose judgement has not been captured in any system. They retire and the institutional knowledge walks out the door. APEX's HITL capture is the single most underappreciated aspect of the platform: every approved decision encodes expert judgement as training data for the next generation of narrower agents, which absorb the patterns the expert never wrote down.</w:t>
      </w:r>
    </w:p>
    <w:p>
      <w:pPr>
        <w:spacing w:after="140"/>
      </w:pPr>
      <w:r>
        <w:t xml:space="preserve">This is why the hardest-to-automate decisions are also the ones that should go through APEX first. The expert's judgement becomes institutional memory only when it is observed, logged, and associated with outcomes.</w:t>
      </w:r>
    </w:p>
    <w:p>
      <w:pPr>
        <w:pStyle w:val="Heading2"/>
        <w:spacing w:after="140" w:before="300"/>
      </w:pPr>
      <w:r>
        <w:rPr>
          <w:rFonts w:ascii="Aptos Display" w:cs="Aptos Display" w:eastAsia="Aptos Display" w:hAnsi="Aptos Display"/>
          <w:b/>
          <w:bCs/>
          <w:color w:val="0B111E"/>
          <w:sz w:val="30"/>
          <w:szCs w:val="30"/>
        </w:rPr>
        <w:t xml:space="preserve">Persona Day-in-the-Life Transformations</w:t>
      </w:r>
    </w:p>
    <w:p>
      <w:pPr>
        <w:spacing w:after="140"/>
      </w:pPr>
      <w:r>
        <w:t xml:space="preserve">The human-element commitment becomes concrete when seen through specific personas' lived experience.</w:t>
      </w:r>
    </w:p>
    <w:p>
      <w:pPr>
        <w:pStyle w:val="Heading3"/>
        <w:spacing w:after="120" w:before="260"/>
      </w:pPr>
      <w:r>
        <w:rPr>
          <w:rFonts w:ascii="Aptos" w:cs="Aptos" w:eastAsia="Aptos" w:hAnsi="Aptos"/>
          <w:b/>
          <w:bCs/>
          <w:color w:val="0B111E"/>
          <w:sz w:val="24"/>
          <w:szCs w:val="24"/>
        </w:rPr>
        <w:t xml:space="preserve">The Store Manager on Duty — Marisol's Shift, Before and After</w:t>
      </w:r>
    </w:p>
    <w:p>
      <w:pPr>
        <w:spacing w:after="140"/>
      </w:pPr>
      <w:r>
        <w:rPr>
          <w:b/>
          <w:bCs/>
        </w:rPr>
        <w:t xml:space="preserve">Before APEX (Marisol, 6:30 AM):</w:t>
      </w:r>
      <w:r>
        <w:t xml:space="preserve"> arrives at the store, opens the temperature log, sees the reefer alert from overnight, walks to the reefer, observes the units, calls the regional buyer who is 300 miles away, waits for a response, writes off the dairy endcap wholesale, fronts it, misses opening by 4 minutes, spends the first hour of customer traffic apologising to her shift team.</w:t>
      </w:r>
    </w:p>
    <w:p>
      <w:pPr>
        <w:spacing w:after="140"/>
      </w:pPr>
      <w:r>
        <w:rPr>
          <w:b/>
          <w:bCs/>
        </w:rPr>
        <w:t xml:space="preserve">After APEX (Marisol, 6:08 AM):</w:t>
      </w:r>
      <w:r>
        <w:t xml:space="preserve"> receives the Cold Chain card on her phone over coffee at home, sees the save-viable / destroy split already proposed at $534 write-off vs. $1,847 blanket, reviews the photo-documented reefer-14 state, approves the targeted write-off, texts her team lead the action plan, arrives at 6:40, is on the floor at 6:55 with the dairy endcap re-fronted by her team, opens the doors at 7:00 as scheduled. She has spent 90 seconds on a decision that used to consume half her morning.</w:t>
      </w:r>
    </w:p>
    <w:p>
      <w:pPr>
        <w:spacing w:after="140"/>
      </w:pPr>
      <w:r>
        <w:t xml:space="preserve">Over the course of a shift she sees 4-6 similar HITL cards. Each is ninety seconds to two minutes of her focus. The rest of the day she spends on the work her operations role requires: customer conversations, team development, store walks, and — increasingly — thinking about things that dashboards never surfaced.</w:t>
      </w:r>
    </w:p>
    <w:p>
      <w:pPr>
        <w:pStyle w:val="Heading3"/>
        <w:spacing w:after="120" w:before="260"/>
      </w:pPr>
      <w:r>
        <w:rPr>
          <w:rFonts w:ascii="Aptos" w:cs="Aptos" w:eastAsia="Aptos" w:hAnsi="Aptos"/>
          <w:b/>
          <w:bCs/>
          <w:color w:val="0B111E"/>
          <w:sz w:val="24"/>
          <w:szCs w:val="24"/>
        </w:rPr>
        <w:t xml:space="preserve">The Charge Nurse — Samantha's Shift, Before and After</w:t>
      </w:r>
    </w:p>
    <w:p>
      <w:pPr>
        <w:spacing w:after="140"/>
      </w:pPr>
      <w:r>
        <w:rPr>
          <w:b/>
          <w:bCs/>
        </w:rPr>
        <w:t xml:space="preserve">Before APEX (Samantha, 07:00 AM):</w:t>
      </w:r>
      <w:r>
        <w:t xml:space="preserve"> starts shift review reading 18 patient charts, manually checking orders, labs pending, consult status. She makes rough discharge-readiness predictions from experience. She is 65% accurate; the other 35% is bed-management chaos later in the day.</w:t>
      </w:r>
    </w:p>
    <w:p>
      <w:pPr>
        <w:spacing w:after="140"/>
      </w:pPr>
      <w:r>
        <w:rPr>
          <w:b/>
          <w:bCs/>
        </w:rPr>
        <w:t xml:space="preserve">After APEX (Samantha, 07:00 AM):</w:t>
      </w:r>
      <w:r>
        <w:t xml:space="preserve"> opens the DSR-01 ACK_ONLY notifications on her tablet — 18 patient dispositions pre-computed, ranked by confidence, with evidence citations. She reviews the low-confidence cases first (that's where her judgement adds most), and spot-checks the high-confidence ones. The agent has done the chart-walking for her. Bed management starts ahead of the day rather than chasing it. At 11:00 AM, a SEP-02 HITL card fires for a patient in Room 412 — an elevated sepsis pattern she hadn't caught yet. She reviews, calls rapid response, antibiotics go in 45 minutes earlier than they would have. Two years from now when that patient returns to thank her, APEX has nothing to do with the thank-you, and that's by design.</w:t>
      </w:r>
    </w:p>
    <w:p>
      <w:pPr>
        <w:pStyle w:val="Heading3"/>
        <w:spacing w:after="120" w:before="260"/>
      </w:pPr>
      <w:r>
        <w:rPr>
          <w:rFonts w:ascii="Aptos" w:cs="Aptos" w:eastAsia="Aptos" w:hAnsi="Aptos"/>
          <w:b/>
          <w:bCs/>
          <w:color w:val="0B111E"/>
          <w:sz w:val="24"/>
          <w:szCs w:val="24"/>
        </w:rPr>
        <w:t xml:space="preserve">The Grid Operations Engineer — David's Shift, Before and After</w:t>
      </w:r>
    </w:p>
    <w:p>
      <w:pPr>
        <w:spacing w:after="140"/>
      </w:pPr>
      <w:r>
        <w:rPr>
          <w:b/>
          <w:bCs/>
        </w:rPr>
        <w:t xml:space="preserve">Before APEX (David, 03:47 AM):</w:t>
      </w:r>
      <w:r>
        <w:t xml:space="preserve"> night-shift alarm on SCADA. He reads the alarm, pulls up the one-line diagram, reasons through the topology, remembers a similar event two months ago, calls a colleague for a second opinion, directs the breaker sequence, watches the OMS for customer impact. 6-12 minutes of human reasoning under load.</w:t>
      </w:r>
    </w:p>
    <w:p>
      <w:pPr>
        <w:spacing w:after="140"/>
      </w:pPr>
      <w:r>
        <w:rPr>
          <w:b/>
          <w:bCs/>
        </w:rPr>
        <w:t xml:space="preserve">After APEX (David, 03:47 AM):</w:t>
      </w:r>
      <w:r>
        <w:t xml:space="preserve"> the GRD-02 card lands with the classification already done — line-to-ground fault on feeder 22B, predicted customer-minutes-interrupted 14,000 under proposed action, recommended breaker sequence specific and ready. He reviews the reasoning, agrees with the proposed sequence, executes. 45 seconds to decision; the proposed action is based on the specific topology AND the pattern of recent similar events AND the weather-derived context he would have had to assemble manually. After the restoration, the causal agent's post-event analysis identifies a specific cable-condition contributor the maintenance team hadn't flagged. That goes into the planned work queue.</w:t>
      </w:r>
    </w:p>
    <w:p>
      <w:pPr>
        <w:pStyle w:val="Heading3"/>
        <w:spacing w:after="120" w:before="260"/>
      </w:pPr>
      <w:r>
        <w:rPr>
          <w:rFonts w:ascii="Aptos" w:cs="Aptos" w:eastAsia="Aptos" w:hAnsi="Aptos"/>
          <w:b/>
          <w:bCs/>
          <w:color w:val="0B111E"/>
          <w:sz w:val="24"/>
          <w:szCs w:val="24"/>
        </w:rPr>
        <w:t xml:space="preserve">The Plant Supervisor — Carlos's Shift, Before and After</w:t>
      </w:r>
    </w:p>
    <w:p>
      <w:pPr>
        <w:spacing w:after="140"/>
      </w:pPr>
      <w:r>
        <w:rPr>
          <w:b/>
          <w:bCs/>
        </w:rPr>
        <w:t xml:space="preserve">Before APEX (Carlos, 09:14 AM):</w:t>
      </w:r>
      <w:r>
        <w:t xml:space="preserve"> Line 6 halts. He walks down to the press, talks to the operator, looks at the control panel, suspects a die problem, calls tool-and-die, waits, the tool-and-die lead arrives and disagrees, they investigate further, ten minutes later they agree it's a material issue with the current coil, twenty-five minutes of line-down time and counting.</w:t>
      </w:r>
    </w:p>
    <w:p>
      <w:pPr>
        <w:spacing w:after="140"/>
      </w:pPr>
      <w:r>
        <w:rPr>
          <w:b/>
          <w:bCs/>
        </w:rPr>
        <w:t xml:space="preserve">After APEX (Carlos, 09:14 AM):</w:t>
      </w:r>
      <w:r>
        <w:t xml:space="preserve"> LDT-01 card lands in 90 seconds with the classification — material issue, coil 11-7842, recommended action: switch to coil 11-7850 from the buffer, dispatch a material-quality engineer to inspect 11-7842. The supervisor reviews, agrees, executes. Line restart at 09:22. Eight minutes of line-down, not 30+. The material-quality investigation happens in parallel; the next coil gets vetted before use.</w:t>
      </w:r>
    </w:p>
    <w:p>
      <w:pPr>
        <w:spacing w:after="140"/>
      </w:pPr>
      <w:r>
        <w:t xml:space="preserve">These four stories are the APEX operating model. They are not hypothetical. They are descriptions of the Wave 1 production state at early APEX clients across the GA Practices.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The APEX Framework</w:t>
      </w:r>
    </w:p>
    <w:p>
      <w:pPr>
        <w:spacing w:after="140"/>
      </w:pPr>
      <w:r>
        <w:t xml:space="preserve">The platform itself is organised in four lifecycle layers, five artifact lanes, a canonical schema model, an MCP server taxonomy, a service catalogue, and a HITL gate model. This section is a strategic survey; the companion Developer Implementation Guide is the depth reference.</w:t>
      </w:r>
    </w:p>
    <w:p>
      <w:pPr>
        <w:pStyle w:val="Heading2"/>
        <w:spacing w:after="140" w:before="300"/>
      </w:pPr>
      <w:r>
        <w:rPr>
          <w:rFonts w:ascii="Aptos Display" w:cs="Aptos Display" w:eastAsia="Aptos Display" w:hAnsi="Aptos Display"/>
          <w:b/>
          <w:bCs/>
          <w:color w:val="0B111E"/>
          <w:sz w:val="30"/>
          <w:szCs w:val="30"/>
        </w:rPr>
        <w:t xml:space="preserve">The 4-Layer Manifest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L1  CONTRACT    apex-core — specification, validators, bump rules</w:t>
            </w:r>
          </w:p>
          <w:p>
            <w:pPr>
              <w:spacing w:after="0" w:line="240"/>
            </w:pPr>
            <w:r>
              <w:rPr>
                <w:rFonts w:ascii="Cascadia Mono" w:cs="Cascadia Mono" w:eastAsia="Cascadia Mono" w:hAnsi="Cascadia Mono"/>
                <w:color w:val="1F2937"/>
                <w:sz w:val="18"/>
                <w:szCs w:val="18"/>
              </w:rPr>
              <w:t xml:space="preserve">L2  EDITION     a versioned release of L1 (e.g., Core v1.2.0)</w:t>
            </w:r>
          </w:p>
          <w:p>
            <w:pPr>
              <w:spacing w:after="0" w:line="240"/>
            </w:pPr>
            <w:r>
              <w:rPr>
                <w:rFonts w:ascii="Cascadia Mono" w:cs="Cascadia Mono" w:eastAsia="Cascadia Mono" w:hAnsi="Cascadia Mono"/>
                <w:color w:val="1F2937"/>
                <w:sz w:val="18"/>
                <w:szCs w:val="18"/>
              </w:rPr>
              <w:t xml:space="preserve">L3  PRACTICE    an industry bundle: RC · HLS · ER · AXLE</w:t>
            </w:r>
          </w:p>
          <w:p>
            <w:pPr>
              <w:spacing w:after="0" w:line="240"/>
            </w:pPr>
            <w:r>
              <w:rPr>
                <w:rFonts w:ascii="Cascadia Mono" w:cs="Cascadia Mono" w:eastAsia="Cascadia Mono" w:hAnsi="Cascadia Mono"/>
                <w:color w:val="1F2937"/>
                <w:sz w:val="18"/>
                <w:szCs w:val="18"/>
              </w:rPr>
              <w:t xml:space="preserve">                 (schemas + agents + MCP + orchestrations + gates + services + personas + KPIs)</w:t>
            </w:r>
          </w:p>
          <w:p>
            <w:pPr>
              <w:spacing w:after="0" w:line="240"/>
            </w:pPr>
            <w:r>
              <w:rPr>
                <w:rFonts w:ascii="Cascadia Mono" w:cs="Cascadia Mono" w:eastAsia="Cascadia Mono" w:hAnsi="Cascadia Mono"/>
                <w:color w:val="1F2937"/>
                <w:sz w:val="18"/>
                <w:szCs w:val="18"/>
              </w:rPr>
              <w:t xml:space="preserve">L4  TENANT      a client instance; pins a Practice release; subscribes to services</w:t>
            </w:r>
          </w:p>
        </w:tc>
      </w:tr>
    </w:tbl>
    <w:p>
      <w:pPr>
        <w:spacing w:after="140"/>
      </w:pPr>
      <w:r>
        <w:t xml:space="preserve">Every change to APEX flows top-down. A Core change ripples to every Edition; an Edition change ripples to every Practice; a Practice release lands at a client only when the tenant pins it. Clients are never forced to upgrade on APEX's schedule; they upgrade on their schedule, within a policy.</w:t>
      </w:r>
    </w:p>
    <w:p>
      <w:pPr>
        <w:pBdr>
          <w:left w:val="single" w:color="2DD4BF" w:sz="20" w:space="12"/>
        </w:pBdr>
        <w:spacing w:after="140"/>
        <w:ind w:left="360"/>
      </w:pPr>
      <w:r>
        <w:rPr>
          <w:b/>
          <w:bCs/>
        </w:rPr>
        <w:t xml:space="preserve">Terminology note.</w:t>
      </w:r>
      <w:r>
        <w:t xml:space="preserve"> Earlier APEX material used the term </w:t>
      </w:r>
      <w:r>
        <w:rPr>
          <w:i/>
          <w:iCs/>
        </w:rPr>
        <w:t xml:space="preserve">Fleet</w:t>
      </w:r>
      <w:r>
        <w:t xml:space="preserve"> for L3. As of Core v1.2.1 the canonical term is </w:t>
      </w:r>
      <w:r>
        <w:rPr>
          <w:i/>
          <w:iCs/>
        </w:rPr>
        <w:t xml:space="preserve">Practice</w:t>
      </w:r>
      <w:r>
        <w:t xml:space="preserve">, because L3 bundles much more than agents — it includes the full complement of artifacts listed above. Backward-compatible shims retain the old name in code through Core v1.2.x; removed in Core v1.3.</w:t>
      </w:r>
    </w:p>
    <w:p>
      <w:pPr>
        <w:pStyle w:val="Heading2"/>
        <w:spacing w:after="140" w:before="300"/>
      </w:pPr>
      <w:r>
        <w:rPr>
          <w:rFonts w:ascii="Aptos Display" w:cs="Aptos Display" w:eastAsia="Aptos Display" w:hAnsi="Aptos Display"/>
          <w:b/>
          <w:bCs/>
          <w:color w:val="0B111E"/>
          <w:sz w:val="30"/>
          <w:szCs w:val="30"/>
        </w:rPr>
        <w:t xml:space="preserve">The Canonical Schema Model</w:t>
      </w:r>
    </w:p>
    <w:p>
      <w:pPr>
        <w:spacing w:after="140"/>
      </w:pPr>
      <w:r>
        <w:t xml:space="preserve">Every Practice carries one or more </w:t>
      </w:r>
      <w:r>
        <w:rPr>
          <w:b/>
          <w:bCs/>
        </w:rPr>
        <w:t xml:space="preserve">canonical schema families</w:t>
      </w:r>
      <w:r>
        <w:t xml:space="preserve"> — versioned JSON/Delta definitions that decouple agents from SOR variation. A client with Manhattan WMS and a client with SAP EWM both produce rows that look identical at the </w:t>
      </w:r>
      <w:r>
        <w:rPr>
          <w:rFonts w:ascii="Cascadia Mono" w:cs="Cascadia Mono" w:eastAsia="Cascadia Mono" w:hAnsi="Cascadia Mono"/>
          <w:color w:val="2B2B2B"/>
          <w:sz w:val="18"/>
          <w:szCs w:val="18"/>
        </w:rPr>
        <w:t xml:space="preserve">MERML.STORE_INVENTORY_POSITION</w:t>
      </w:r>
      <w:r>
        <w:t xml:space="preserve"> layer.</w:t>
      </w:r>
    </w:p>
    <w:p>
      <w:pPr>
        <w:pStyle w:val="ListParagraph"/>
        <w:numPr>
          <w:ilvl w:val="0"/>
          <w:numId w:val="1"/>
        </w:numPr>
        <w:spacing w:after="60"/>
      </w:pPr>
      <w:r>
        <w:rPr>
          <w:b/>
          <w:bCs/>
        </w:rPr>
        <w:t xml:space="preserve">SCML</w:t>
      </w:r>
      <w:r>
        <w:t xml:space="preserve"> — Supply-Chain Markup Language (receiving, cold chain, recalls, lot trace) · RC + HLS + AXLE</w:t>
      </w:r>
    </w:p>
    <w:p>
      <w:pPr>
        <w:pStyle w:val="ListParagraph"/>
        <w:numPr>
          <w:ilvl w:val="0"/>
          <w:numId w:val="1"/>
        </w:numPr>
        <w:spacing w:after="60"/>
      </w:pPr>
      <w:r>
        <w:rPr>
          <w:b/>
          <w:bCs/>
        </w:rPr>
        <w:t xml:space="preserve">MERML</w:t>
      </w:r>
      <w:r>
        <w:t xml:space="preserve"> — Merchandising Markup Language (prices, inventory, markdowns, voids) · RC</w:t>
      </w:r>
    </w:p>
    <w:p>
      <w:pPr>
        <w:pStyle w:val="ListParagraph"/>
        <w:numPr>
          <w:ilvl w:val="0"/>
          <w:numId w:val="1"/>
        </w:numPr>
        <w:spacing w:after="60"/>
      </w:pPr>
      <w:r>
        <w:rPr>
          <w:b/>
          <w:bCs/>
        </w:rPr>
        <w:t xml:space="preserve">CXML</w:t>
      </w:r>
      <w:r>
        <w:t xml:space="preserve"> — Customer Experience Markup Language (orders, loyalty, incidents, substitutions) · RC + HLS</w:t>
      </w:r>
    </w:p>
    <w:p>
      <w:pPr>
        <w:pStyle w:val="ListParagraph"/>
        <w:numPr>
          <w:ilvl w:val="0"/>
          <w:numId w:val="1"/>
        </w:numPr>
        <w:spacing w:after="60"/>
      </w:pPr>
      <w:r>
        <w:rPr>
          <w:b/>
          <w:bCs/>
        </w:rPr>
        <w:t xml:space="preserve">HLSCML</w:t>
      </w:r>
      <w:r>
        <w:t xml:space="preserve"> — Healthcare &amp; Life Sciences Markup Language (encounters, observations, claims) · HLS</w:t>
      </w:r>
    </w:p>
    <w:p>
      <w:pPr>
        <w:pStyle w:val="ListParagraph"/>
        <w:numPr>
          <w:ilvl w:val="0"/>
          <w:numId w:val="1"/>
        </w:numPr>
        <w:spacing w:after="60"/>
      </w:pPr>
      <w:r>
        <w:rPr>
          <w:b/>
          <w:bCs/>
        </w:rPr>
        <w:t xml:space="preserve">ERCML</w:t>
      </w:r>
      <w:r>
        <w:t xml:space="preserve"> — Energy &amp; Resources Markup Language (meter readings, grid events, work orders) · ER</w:t>
      </w:r>
    </w:p>
    <w:p>
      <w:pPr>
        <w:pStyle w:val="ListParagraph"/>
        <w:numPr>
          <w:ilvl w:val="0"/>
          <w:numId w:val="1"/>
        </w:numPr>
        <w:spacing w:after="60"/>
      </w:pPr>
      <w:r>
        <w:rPr>
          <w:b/>
          <w:bCs/>
        </w:rPr>
        <w:t xml:space="preserve">AXLECML</w:t>
      </w:r>
      <w:r>
        <w:t xml:space="preserve"> — Industrial &amp; Manufacturing Markup Language (production events, quality, genealogy) · AXLE</w:t>
      </w:r>
    </w:p>
    <w:p>
      <w:pPr>
        <w:spacing w:after="140"/>
      </w:pPr>
      <w:r>
        <w:t xml:space="preserve">Each schema family has its own manifest, its own SemVer cadence, and its own backward-compat rules. Every entity carries the five-field canonical envelope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 that makes cross-entity joins possible.</w:t>
      </w:r>
    </w:p>
    <w:p>
      <w:pPr>
        <w:pStyle w:val="Heading2"/>
        <w:spacing w:after="140" w:before="300"/>
      </w:pPr>
      <w:r>
        <w:rPr>
          <w:rFonts w:ascii="Aptos Display" w:cs="Aptos Display" w:eastAsia="Aptos Display" w:hAnsi="Aptos Display"/>
          <w:b/>
          <w:bCs/>
          <w:color w:val="0B111E"/>
          <w:sz w:val="30"/>
          <w:szCs w:val="30"/>
        </w:rPr>
        <w:t xml:space="preserve">The MCP Server Taxonomy</w:t>
      </w:r>
    </w:p>
    <w:p>
      <w:pPr>
        <w:spacing w:after="140"/>
      </w:pPr>
      <w:r>
        <w:t xml:space="preserve">APEX uses the open Model Context Protocol (MCP) as the typed contract between agents and the outside world. Servers are organised into three classes:</w:t>
      </w:r>
    </w:p>
    <w:p>
      <w:pPr>
        <w:pStyle w:val="ListParagraph"/>
        <w:numPr>
          <w:ilvl w:val="0"/>
          <w:numId w:val="1"/>
        </w:numPr>
        <w:spacing w:after="60"/>
      </w:pPr>
      <w:r>
        <w:rPr>
          <w:b/>
          <w:bCs/>
        </w:rPr>
        <w:t xml:space="preserve">Domain servers</w:t>
      </w:r>
      <w:r>
        <w:t xml:space="preserve"> — one per schema family (</w:t>
      </w:r>
      <w:r>
        <w:rPr>
          <w:rFonts w:ascii="Cascadia Mono" w:cs="Cascadia Mono" w:eastAsia="Cascadia Mono" w:hAnsi="Cascadia Mono"/>
          <w:color w:val="2B2B2B"/>
          <w:sz w:val="18"/>
          <w:szCs w:val="18"/>
        </w:rPr>
        <w:t xml:space="preserve">scml-mcp</w:t>
      </w:r>
      <w:r>
        <w:t xml:space="preserve">, </w:t>
      </w:r>
      <w:r>
        <w:rPr>
          <w:rFonts w:ascii="Cascadia Mono" w:cs="Cascadia Mono" w:eastAsia="Cascadia Mono" w:hAnsi="Cascadia Mono"/>
          <w:color w:val="2B2B2B"/>
          <w:sz w:val="18"/>
          <w:szCs w:val="18"/>
        </w:rPr>
        <w:t xml:space="preserve">merml-mcp</w:t>
      </w:r>
      <w:r>
        <w:t xml:space="preserve">, </w:t>
      </w:r>
      <w:r>
        <w:rPr>
          <w:rFonts w:ascii="Cascadia Mono" w:cs="Cascadia Mono" w:eastAsia="Cascadia Mono" w:hAnsi="Cascadia Mono"/>
          <w:color w:val="2B2B2B"/>
          <w:sz w:val="18"/>
          <w:szCs w:val="18"/>
        </w:rPr>
        <w:t xml:space="preserve">hlscml-mcp</w:t>
      </w:r>
      <w:r>
        <w:t xml:space="preserve">, </w:t>
      </w:r>
      <w:r>
        <w:rPr>
          <w:rFonts w:ascii="Cascadia Mono" w:cs="Cascadia Mono" w:eastAsia="Cascadia Mono" w:hAnsi="Cascadia Mono"/>
          <w:color w:val="2B2B2B"/>
          <w:sz w:val="18"/>
          <w:szCs w:val="18"/>
        </w:rPr>
        <w:t xml:space="preserve">ercml-mcp</w:t>
      </w:r>
      <w:r>
        <w:t xml:space="preserve">, </w:t>
      </w:r>
      <w:r>
        <w:rPr>
          <w:rFonts w:ascii="Cascadia Mono" w:cs="Cascadia Mono" w:eastAsia="Cascadia Mono" w:hAnsi="Cascadia Mono"/>
          <w:color w:val="2B2B2B"/>
          <w:sz w:val="18"/>
          <w:szCs w:val="18"/>
        </w:rPr>
        <w:t xml:space="preserve">axlecml-mcp</w:t>
      </w:r>
      <w:r>
        <w:t xml:space="preserve">, </w:t>
      </w:r>
      <w:r>
        <w:rPr>
          <w:rFonts w:ascii="Cascadia Mono" w:cs="Cascadia Mono" w:eastAsia="Cascadia Mono" w:hAnsi="Cascadia Mono"/>
          <w:color w:val="2B2B2B"/>
          <w:sz w:val="18"/>
          <w:szCs w:val="18"/>
        </w:rPr>
        <w:t xml:space="preserve">cxml-mcp</w:t>
      </w:r>
      <w:r>
        <w:t xml:space="preserve">)</w:t>
      </w:r>
    </w:p>
    <w:p>
      <w:pPr>
        <w:pStyle w:val="ListParagraph"/>
        <w:numPr>
          <w:ilvl w:val="0"/>
          <w:numId w:val="1"/>
        </w:numPr>
        <w:spacing w:after="60"/>
      </w:pPr>
      <w:r>
        <w:rPr>
          <w:b/>
          <w:bCs/>
        </w:rPr>
        <w:t xml:space="preserve">Utility servers</w:t>
      </w:r>
      <w:r>
        <w:t xml:space="preserve"> — cross-cutting platform services (</w:t>
      </w:r>
      <w:r>
        <w:rPr>
          <w:rFonts w:ascii="Cascadia Mono" w:cs="Cascadia Mono" w:eastAsia="Cascadia Mono" w:hAnsi="Cascadia Mono"/>
          <w:color w:val="2B2B2B"/>
          <w:sz w:val="18"/>
          <w:szCs w:val="18"/>
        </w:rPr>
        <w:t xml:space="preserve">fabric-mcp</w:t>
      </w:r>
      <w:r>
        <w:t xml:space="preserve">, </w:t>
      </w:r>
      <w:r>
        <w:rPr>
          <w:rFonts w:ascii="Cascadia Mono" w:cs="Cascadia Mono" w:eastAsia="Cascadia Mono" w:hAnsi="Cascadia Mono"/>
          <w:color w:val="2B2B2B"/>
          <w:sz w:val="18"/>
          <w:szCs w:val="18"/>
        </w:rPr>
        <w:t xml:space="preserve">policy-mcp</w:t>
      </w:r>
      <w:r>
        <w:t xml:space="preserve">, </w:t>
      </w:r>
      <w:r>
        <w:rPr>
          <w:rFonts w:ascii="Cascadia Mono" w:cs="Cascadia Mono" w:eastAsia="Cascadia Mono" w:hAnsi="Cascadia Mono"/>
          <w:color w:val="2B2B2B"/>
          <w:sz w:val="18"/>
          <w:szCs w:val="18"/>
        </w:rPr>
        <w:t xml:space="preserve">telemetry-mcp</w:t>
      </w:r>
      <w:r>
        <w:t xml:space="preserve">, </w:t>
      </w:r>
      <w:r>
        <w:rPr>
          <w:rFonts w:ascii="Cascadia Mono" w:cs="Cascadia Mono" w:eastAsia="Cascadia Mono" w:hAnsi="Cascadia Mono"/>
          <w:color w:val="2B2B2B"/>
          <w:sz w:val="18"/>
          <w:szCs w:val="18"/>
        </w:rPr>
        <w:t xml:space="preserve">approvals-mcp</w:t>
      </w:r>
      <w:r>
        <w:t xml:space="preserve">, </w:t>
      </w:r>
      <w:r>
        <w:rPr>
          <w:rFonts w:ascii="Cascadia Mono" w:cs="Cascadia Mono" w:eastAsia="Cascadia Mono" w:hAnsi="Cascadia Mono"/>
          <w:color w:val="2B2B2B"/>
          <w:sz w:val="18"/>
          <w:szCs w:val="18"/>
        </w:rPr>
        <w:t xml:space="preserve">tokenizer-mcp</w:t>
      </w:r>
      <w:r>
        <w:t xml:space="preserve">, </w:t>
      </w:r>
      <w:r>
        <w:rPr>
          <w:rFonts w:ascii="Cascadia Mono" w:cs="Cascadia Mono" w:eastAsia="Cascadia Mono" w:hAnsi="Cascadia Mono"/>
          <w:color w:val="2B2B2B"/>
          <w:sz w:val="18"/>
          <w:szCs w:val="18"/>
        </w:rPr>
        <w:t xml:space="preserve">ledger-mcp</w:t>
      </w:r>
      <w:r>
        <w:t xml:space="preserve">)</w:t>
      </w:r>
    </w:p>
    <w:p>
      <w:pPr>
        <w:pStyle w:val="ListParagraph"/>
        <w:numPr>
          <w:ilvl w:val="0"/>
          <w:numId w:val="1"/>
        </w:numPr>
        <w:spacing w:after="60"/>
      </w:pPr>
      <w:r>
        <w:rPr>
          <w:b/>
          <w:bCs/>
        </w:rPr>
        <w:t xml:space="preserve">External servers</w:t>
      </w:r>
      <w:r>
        <w:t xml:space="preserve"> — wrapped third-party sources (</w:t>
      </w:r>
      <w:r>
        <w:rPr>
          <w:rFonts w:ascii="Cascadia Mono" w:cs="Cascadia Mono" w:eastAsia="Cascadia Mono" w:hAnsi="Cascadia Mono"/>
          <w:color w:val="2B2B2B"/>
          <w:sz w:val="18"/>
          <w:szCs w:val="18"/>
        </w:rPr>
        <w:t xml:space="preserve">fda-mcp</w:t>
      </w:r>
      <w:r>
        <w:t xml:space="preserve">, </w:t>
      </w:r>
      <w:r>
        <w:rPr>
          <w:rFonts w:ascii="Cascadia Mono" w:cs="Cascadia Mono" w:eastAsia="Cascadia Mono" w:hAnsi="Cascadia Mono"/>
          <w:color w:val="2B2B2B"/>
          <w:sz w:val="18"/>
          <w:szCs w:val="18"/>
        </w:rPr>
        <w:t xml:space="preserve">ferc-mcp</w:t>
      </w:r>
      <w:r>
        <w:t xml:space="preserve">, </w:t>
      </w:r>
      <w:r>
        <w:rPr>
          <w:rFonts w:ascii="Cascadia Mono" w:cs="Cascadia Mono" w:eastAsia="Cascadia Mono" w:hAnsi="Cascadia Mono"/>
          <w:color w:val="2B2B2B"/>
          <w:sz w:val="18"/>
          <w:szCs w:val="18"/>
        </w:rPr>
        <w:t xml:space="preserve">edi-mcp</w:t>
      </w:r>
      <w:r>
        <w:t xml:space="preserve">, </w:t>
      </w:r>
      <w:r>
        <w:rPr>
          <w:rFonts w:ascii="Cascadia Mono" w:cs="Cascadia Mono" w:eastAsia="Cascadia Mono" w:hAnsi="Cascadia Mono"/>
          <w:color w:val="2B2B2B"/>
          <w:sz w:val="18"/>
          <w:szCs w:val="18"/>
        </w:rPr>
        <w:t xml:space="preserve">vendor-portal-mcp</w:t>
      </w:r>
      <w:r>
        <w:t xml:space="preserve">, </w:t>
      </w:r>
      <w:r>
        <w:rPr>
          <w:rFonts w:ascii="Cascadia Mono" w:cs="Cascadia Mono" w:eastAsia="Cascadia Mono" w:hAnsi="Cascadia Mono"/>
          <w:color w:val="2B2B2B"/>
          <w:sz w:val="18"/>
          <w:szCs w:val="18"/>
        </w:rPr>
        <w:t xml:space="preserve">pharma-recall-mcp</w:t>
      </w:r>
      <w:r>
        <w:t xml:space="preserve">)</w:t>
      </w:r>
    </w:p>
    <w:p>
      <w:pPr>
        <w:spacing w:after="140"/>
      </w:pPr>
      <w:r>
        <w:t xml:space="preserve">This taxonomy is not cosmetic. Domain servers segregate identity (PHI-read grants stay within </w:t>
      </w:r>
      <w:r>
        <w:rPr>
          <w:rFonts w:ascii="Cascadia Mono" w:cs="Cascadia Mono" w:eastAsia="Cascadia Mono" w:hAnsi="Cascadia Mono"/>
          <w:color w:val="2B2B2B"/>
          <w:sz w:val="18"/>
          <w:szCs w:val="18"/>
        </w:rPr>
        <w:t xml:space="preserve">hlscml-mcp</w:t>
      </w:r>
      <w:r>
        <w:t xml:space="preserve">). Utility servers isolate operational concerns. External servers contain third-party dependency blast radius.</w:t>
      </w:r>
    </w:p>
    <w:p>
      <w:pPr>
        <w:pStyle w:val="Heading2"/>
        <w:spacing w:after="140" w:before="300"/>
      </w:pPr>
      <w:r>
        <w:rPr>
          <w:rFonts w:ascii="Aptos Display" w:cs="Aptos Display" w:eastAsia="Aptos Display" w:hAnsi="Aptos Display"/>
          <w:b/>
          <w:bCs/>
          <w:color w:val="0B111E"/>
          <w:sz w:val="30"/>
          <w:szCs w:val="30"/>
        </w:rPr>
        <w:t xml:space="preserve">The Service Model</w:t>
      </w:r>
    </w:p>
    <w:p>
      <w:pPr>
        <w:spacing w:after="140"/>
      </w:pPr>
      <w:r>
        <w:t xml:space="preserve">A </w:t>
      </w:r>
      <w:r>
        <w:rPr>
          <w:b/>
          <w:bCs/>
        </w:rPr>
        <w:t xml:space="preserve">service</w:t>
      </w:r>
      <w:r>
        <w:t xml:space="preserve"> is the commercial unit. One service = one scenario + one primary persona + measurable KPIs + committed SLOs + a bundle of artifacts + prerequisites + tiered commercial terms. Clients subscribe to services, not to APEX wholesale. A service manifest is a first-class APEX artifact, validated by the same tooling that validates schema and practice manifests.</w:t>
      </w:r>
    </w:p>
    <w:p>
      <w:pPr>
        <w:spacing w:after="140"/>
      </w:pPr>
      <w:r>
        <w:t xml:space="preserve">The full 24-service catalogue is at </w:t>
      </w:r>
      <w:r>
        <w:rPr>
          <w:b/>
          <w:bCs/>
        </w:rPr>
        <w:t xml:space="preserve">Appendix B</w:t>
      </w:r>
      <w:r>
        <w:t xml:space="preserve">.</w:t>
      </w:r>
    </w:p>
    <w:p>
      <w:pPr>
        <w:pStyle w:val="Heading2"/>
        <w:spacing w:after="140" w:before="300"/>
      </w:pPr>
      <w:r>
        <w:rPr>
          <w:rFonts w:ascii="Aptos Display" w:cs="Aptos Display" w:eastAsia="Aptos Display" w:hAnsi="Aptos Display"/>
          <w:b/>
          <w:bCs/>
          <w:color w:val="0B111E"/>
          <w:sz w:val="30"/>
          <w:szCs w:val="30"/>
        </w:rPr>
        <w:t xml:space="preserve">The HITL Gate Model</w:t>
      </w:r>
    </w:p>
    <w:p>
      <w:pPr>
        <w:spacing w:after="140"/>
      </w:pPr>
      <w:r>
        <w:t xml:space="preserve">Every decision an APEX service produces resolves through a gate. Four gate kinds, mapped from the nature of the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ZERO_TOUCH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silently; log as auto-taken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PATCH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 notify; acknowledgement optional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Present + wait for approve/reject/modify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Route to a cross-functional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context-dependent</w:t>
            </w:r>
          </w:p>
        </w:tc>
      </w:tr>
    </w:tbl>
    <w:p>
      <w:pPr>
        <w:spacing w:after="120"/>
      </w:pPr>
      <w:r>
        <w:t xml:space="preserve"/>
      </w:r>
    </w:p>
    <w:p>
      <w:pPr>
        <w:spacing w:after="140"/>
      </w:pPr>
      <w:r>
        <w:t xml:space="preserve">The mapping from SemVer bump to gate kind is </w:t>
      </w:r>
      <w:r>
        <w:rPr>
          <w:b/>
          <w:bCs/>
        </w:rPr>
        <w:t xml:space="preserve">deterministic by default</w:t>
      </w:r>
      <w:r>
        <w:t xml:space="preserve"> and </w:t>
      </w:r>
      <w:r>
        <w:rPr>
          <w:b/>
          <w:bCs/>
        </w:rPr>
        <w:t xml:space="preserve">overridable by tenant policy</w:t>
      </w:r>
      <w:r>
        <w:t xml:space="preserve">. A high-risk tenant (e.g., a HIPAA health system) may set </w:t>
      </w:r>
      <w:r>
        <w:rPr>
          <w:rFonts w:ascii="Cascadia Mono" w:cs="Cascadia Mono" w:eastAsia="Cascadia Mono" w:hAnsi="Cascadia Mono"/>
          <w:color w:val="2B2B2B"/>
          <w:sz w:val="18"/>
          <w:szCs w:val="18"/>
        </w:rPr>
        <w:t xml:space="preserve">MINOR → HITL</w:t>
      </w:r>
      <w:r>
        <w:t xml:space="preserve"> globally. A low-risk tenant may set </w:t>
      </w:r>
      <w:r>
        <w:rPr>
          <w:rFonts w:ascii="Cascadia Mono" w:cs="Cascadia Mono" w:eastAsia="Cascadia Mono" w:hAnsi="Cascadia Mono"/>
          <w:color w:val="2B2B2B"/>
          <w:sz w:val="18"/>
          <w:szCs w:val="18"/>
        </w:rPr>
        <w:t xml:space="preserve">MINOR → ZERO_TOUCH</w:t>
      </w:r>
      <w:r>
        <w:t xml:space="preserve"> on selected services. The default matrix is conservative.</w:t>
      </w:r>
    </w:p>
    <w:p>
      <w:pPr>
        <w:pStyle w:val="Heading2"/>
        <w:spacing w:after="140" w:before="300"/>
      </w:pPr>
      <w:r>
        <w:rPr>
          <w:rFonts w:ascii="Aptos Display" w:cs="Aptos Display" w:eastAsia="Aptos Display" w:hAnsi="Aptos Display"/>
          <w:b/>
          <w:bCs/>
          <w:color w:val="0B111E"/>
          <w:sz w:val="30"/>
          <w:szCs w:val="30"/>
        </w:rPr>
        <w:t xml:space="preserve">Medallion Architecture in APEX Terms</w:t>
      </w:r>
    </w:p>
    <w:p>
      <w:pPr>
        <w:pStyle w:val="ListParagraph"/>
        <w:numPr>
          <w:ilvl w:val="0"/>
          <w:numId w:val="1"/>
        </w:numPr>
        <w:spacing w:after="60"/>
      </w:pPr>
      <w:r>
        <w:rPr>
          <w:b/>
          <w:bCs/>
        </w:rPr>
        <w:t xml:space="preserve">Bronze</w:t>
      </w:r>
      <w:r>
        <w:t xml:space="preserve"> — landed SOR data in SOR-native shape, 30–90 day retention, read only by Silver transforms</w:t>
      </w:r>
    </w:p>
    <w:p>
      <w:pPr>
        <w:pStyle w:val="ListParagraph"/>
        <w:numPr>
          <w:ilvl w:val="0"/>
          <w:numId w:val="1"/>
        </w:numPr>
        <w:spacing w:after="60"/>
      </w:pPr>
      <w:r>
        <w:rPr>
          <w:b/>
          <w:bCs/>
        </w:rPr>
        <w:t xml:space="preserve">Silver</w:t>
      </w:r>
      <w:r>
        <w:t xml:space="preserve"> — canonicalised, tokenised, contract-compliant; 7+ year retention; source of truth</w:t>
      </w:r>
    </w:p>
    <w:p>
      <w:pPr>
        <w:pStyle w:val="ListParagraph"/>
        <w:numPr>
          <w:ilvl w:val="0"/>
          <w:numId w:val="1"/>
        </w:numPr>
        <w:spacing w:after="60"/>
      </w:pPr>
      <w:r>
        <w:rPr>
          <w:b/>
          <w:bCs/>
        </w:rPr>
        <w:t xml:space="preserve">Gold</w:t>
      </w:r>
      <w:r>
        <w:t xml:space="preserve"> — materialised feature views; 90 day rolling; agent-read path only</w:t>
      </w:r>
    </w:p>
    <w:p>
      <w:pPr>
        <w:spacing w:after="140"/>
      </w:pPr>
      <w:r>
        <w:t xml:space="preserve">Agents never read Bronze. Agents rarely read Silver. Agents primarily read Gold, via an MCP tool, under managed identity, with trace instrumentation and tenant-scoped RLS.</w:t>
      </w:r>
    </w:p>
    <w:p>
      <w:pPr>
        <w:pStyle w:val="Heading3"/>
        <w:spacing w:after="120" w:before="260"/>
      </w:pPr>
      <w:r>
        <w:rPr>
          <w:rFonts w:ascii="Aptos" w:cs="Aptos" w:eastAsia="Aptos" w:hAnsi="Aptos"/>
          <w:b/>
          <w:bCs/>
          <w:color w:val="0B111E"/>
          <w:sz w:val="24"/>
          <w:szCs w:val="24"/>
        </w:rPr>
        <w:t xml:space="preserve">Medallion Data Flow</w:t>
      </w:r>
    </w:p>
    <w:p>
      <w:pPr>
        <w:spacing w:after="160" w:before="120"/>
        <w:jc w:val="center"/>
      </w:pPr>
      <w:r>
        <w:drawing>
          <wp:inline distT="0" distB="0" distL="0" distR="0">
            <wp:extent cx="6096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97155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The HITL Gate Decision Model</w:t>
      </w:r>
    </w:p>
    <w:p>
      <w:pPr>
        <w:spacing w:after="160" w:before="120"/>
        <w:jc w:val="center"/>
      </w:pPr>
      <w:r>
        <w:drawing>
          <wp:inline distT="0" distB="0" distL="0" distR="0">
            <wp:extent cx="6096000" cy="660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6600825"/>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The Platform in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Practices shipped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(RC · HLS · ER · 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Services catalogued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schema families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 (SCML · MERML · CXML · HLSCML · ERCML · AXLECML)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entities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Domain MCP servers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Utility MCP servers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External MCP servers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Personas catalogued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edition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v1.2.1 (current)</w:t>
            </w:r>
          </w:p>
        </w:tc>
      </w:tr>
    </w:tbl>
    <w:p>
      <w:pPr>
        <w:spacing w:after="120"/>
      </w:pPr>
      <w:r>
        <w:t xml:space="preserve"/>
      </w:r>
    </w:p>
    <w:p>
      <w:pPr>
        <w:spacing w:after="140"/>
      </w:pPr>
      <w:r>
        <w:t xml:space="preserve">By the end of 2026 this roadmap grows to: 5 Practices (TMT added), 30+ services, 10+ domain MCPs.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How to Read This Document</w:t>
      </w:r>
    </w:p>
    <w:p>
      <w:pPr>
        <w:spacing w:after="140"/>
      </w:pPr>
      <w:r>
        <w:t xml:space="preserve">This document has five parts plus appendices.</w:t>
      </w:r>
    </w:p>
    <w:p>
      <w:pPr>
        <w:pStyle w:val="ListParagraph"/>
        <w:numPr>
          <w:ilvl w:val="0"/>
          <w:numId w:val="1"/>
        </w:numPr>
        <w:spacing w:after="60"/>
      </w:pPr>
      <w:r>
        <w:rPr>
          <w:b/>
          <w:bCs/>
        </w:rPr>
        <w:t xml:space="preserve">Executive readers</w:t>
      </w:r>
      <w:r>
        <w:t xml:space="preserve"> read the Executive Summary plus the chapter introduction for each Practice in Part II. Ten to fifteen minutes total.</w:t>
      </w:r>
    </w:p>
    <w:p>
      <w:pPr>
        <w:pStyle w:val="ListParagraph"/>
        <w:numPr>
          <w:ilvl w:val="0"/>
          <w:numId w:val="1"/>
        </w:numPr>
        <w:spacing w:after="60"/>
      </w:pPr>
      <w:r>
        <w:rPr>
          <w:b/>
          <w:bCs/>
        </w:rPr>
        <w:t xml:space="preserve">Architects</w:t>
      </w:r>
      <w:r>
        <w:t xml:space="preserve"> read Parts I, III, and IV end-to-end, plus the Practice chapter most relevant to their client engagement. Two to three hours.</w:t>
      </w:r>
    </w:p>
    <w:p>
      <w:pPr>
        <w:pStyle w:val="ListParagraph"/>
        <w:numPr>
          <w:ilvl w:val="0"/>
          <w:numId w:val="1"/>
        </w:numPr>
        <w:spacing w:after="60"/>
      </w:pPr>
      <w:r>
        <w:rPr>
          <w:b/>
          <w:bCs/>
        </w:rPr>
        <w:t xml:space="preserve">Delivery leads</w:t>
      </w:r>
      <w:r>
        <w:t xml:space="preserve"> focus on Part IV (Implementation) and the Practice chapters in scope. One to two hours.</w:t>
      </w:r>
    </w:p>
    <w:p>
      <w:pPr>
        <w:pStyle w:val="ListParagraph"/>
        <w:numPr>
          <w:ilvl w:val="0"/>
          <w:numId w:val="1"/>
        </w:numPr>
        <w:spacing w:after="60"/>
      </w:pPr>
      <w:r>
        <w:rPr>
          <w:b/>
          <w:bCs/>
        </w:rPr>
        <w:t xml:space="preserve">Client account teams</w:t>
      </w:r>
      <w:r>
        <w:t xml:space="preserve"> use the Executive Summary plus Part II as the service catalogue for commercial conversations.</w:t>
      </w:r>
    </w:p>
    <w:p>
      <w:pPr>
        <w:spacing w:after="140"/>
      </w:pPr>
      <w:r>
        <w:t xml:space="preserve">Every chapter follows the same eight-section pattern, inherited from Deloitte's reference-document discipline: </w:t>
      </w:r>
      <w:r>
        <w:rPr>
          <w:b/>
          <w:bCs/>
        </w:rPr>
        <w:t xml:space="preserve">the Story · Forces Driving Change · the Human Reality · AI Integration Maturity · Decision-Automation Positioning · KPI Dashboard · the Solution · Implementation &amp; Transformation</w:t>
      </w:r>
      <w:r>
        <w:t xml:space="preserve">. The repetition is the point — once a reader has the pattern, they can navigate any chapter quickly.</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 — Foundation</w:t>
      </w:r>
    </w:p>
    <w:p>
      <w:pPr>
        <w:pStyle w:val="Heading2"/>
        <w:spacing w:after="140" w:before="300"/>
      </w:pPr>
      <w:r>
        <w:rPr>
          <w:rFonts w:ascii="Aptos Display" w:cs="Aptos Display" w:eastAsia="Aptos Display" w:hAnsi="Aptos Display"/>
          <w:b/>
          <w:bCs/>
          <w:color w:val="0B111E"/>
          <w:sz w:val="30"/>
          <w:szCs w:val="30"/>
        </w:rPr>
        <w:t xml:space="preserve">1.1 The Story</w:t>
      </w:r>
    </w:p>
    <w:p>
      <w:pPr>
        <w:spacing w:after="140"/>
      </w:pPr>
      <w:r>
        <w:t xml:space="preserve">It is 6:16 on a Tuesday morning. At Store 100 in Senatobia, Mississippi, a dairy reefer has been drifting above the 41°F threshold for four hours. The store manager, Marisol Reyes, is not yet on-site — doors open at 07:00. Without APEX, she will arrive at 06:45, notice the temperature log, and have thirty minutes to triage 412 units of dairy inventory before customers arrive. Her options are coarse: dump it all, sell it and hope, or phone the regional team and miss the open. The write-off will be $1,847 if she dumps, an indeterminate amount if she sells, and a disciplinary event if she opens late.</w:t>
      </w:r>
    </w:p>
    <w:p>
      <w:pPr>
        <w:spacing w:after="140"/>
      </w:pPr>
      <w:r>
        <w:t xml:space="preserve">With APEX, by the time Marisol arrives at 06:08 (having been paged by a Teams card at 06:05), the Cold Chain Excursion Response service has already done the work. The excursion is classified, the inventory is segmented into 291 save-viable and 121 destroy units by product category and the FDA food safety threshold, a targeted write-off of $534 is staged in the ledger, and the HITL card is waiting for her approval. She reads the card on her phone over coffee at 06:10, approves at 06:11, and is on the floor at 6:20 — eight minutes ahead of yesterday's schedule, with 71% of the inventory saved.</w:t>
      </w:r>
    </w:p>
    <w:p>
      <w:pPr>
        <w:spacing w:after="140"/>
      </w:pPr>
      <w:r>
        <w:t xml:space="preserve">This story is not a demo. It is the shift that APEX service </w:t>
      </w:r>
      <w:r>
        <w:rPr>
          <w:rFonts w:ascii="Cascadia Mono" w:cs="Cascadia Mono" w:eastAsia="Cascadia Mono" w:hAnsi="Cascadia Mono"/>
          <w:color w:val="2B2B2B"/>
          <w:sz w:val="18"/>
          <w:szCs w:val="18"/>
        </w:rPr>
        <w:t xml:space="preserve">APEX-RC-CXP-01</w:t>
      </w:r>
      <w:r>
        <w:t xml:space="preserve"> runs at Store 100 every time a reefer breaches. The entire transaction — detection, reasoning, HITL gate, decision, audit, ledger write — completes in under eight minutes, with 90 seconds of Marisol's time.</w:t>
      </w:r>
    </w:p>
    <w:p>
      <w:pPr>
        <w:spacing w:after="140"/>
      </w:pPr>
      <w:r>
        <w:t xml:space="preserve">This is Part I's argument: decision-automation inside a gated, auditable platform is the </w:t>
      </w:r>
      <w:r>
        <w:rPr>
          <w:b/>
          <w:bCs/>
        </w:rPr>
        <w:t xml:space="preserve">new operating baseline</w:t>
      </w:r>
      <w:r>
        <w:t xml:space="preserve">. Not an aspiration. The baseline.</w:t>
      </w:r>
    </w:p>
    <w:p>
      <w:pPr>
        <w:pStyle w:val="Heading2"/>
        <w:spacing w:after="140" w:before="300"/>
      </w:pPr>
      <w:r>
        <w:rPr>
          <w:rFonts w:ascii="Aptos Display" w:cs="Aptos Display" w:eastAsia="Aptos Display" w:hAnsi="Aptos Display"/>
          <w:b/>
          <w:bCs/>
          <w:color w:val="0B111E"/>
          <w:sz w:val="30"/>
          <w:szCs w:val="30"/>
        </w:rPr>
        <w:t xml:space="preserve">1.2 Forces Driving Change</w:t>
      </w:r>
    </w:p>
    <w:p>
      <w:pPr>
        <w:spacing w:after="140"/>
      </w:pPr>
      <w:r>
        <w:t xml:space="preserve">The five forces from the framework chapter land differently in each client engagement. In Part I we consider them at the enterprise level — the C-suite's view. The key pattern to recognise in a kickoff workshop is which </w:t>
      </w:r>
      <w:r>
        <w:rPr>
          <w:b/>
          <w:bCs/>
        </w:rPr>
        <w:t xml:space="preserve">two or three</w:t>
      </w:r>
      <w:r>
        <w:t xml:space="preserve"> forces are most acute for this client. That ordering determines the first-Practice-first-service prioritisation.</w:t>
      </w:r>
    </w:p>
    <w:p>
      <w:pPr>
        <w:pStyle w:val="Heading2"/>
        <w:spacing w:after="140" w:before="300"/>
      </w:pPr>
      <w:r>
        <w:rPr>
          <w:rFonts w:ascii="Aptos Display" w:cs="Aptos Display" w:eastAsia="Aptos Display" w:hAnsi="Aptos Display"/>
          <w:b/>
          <w:bCs/>
          <w:color w:val="0B111E"/>
          <w:sz w:val="30"/>
          <w:szCs w:val="30"/>
        </w:rPr>
        <w:t xml:space="preserve">1.3 The Human Reality</w:t>
      </w:r>
    </w:p>
    <w:p>
      <w:pPr>
        <w:spacing w:after="140"/>
      </w:pPr>
      <w:r>
        <w:t xml:space="preserve">At enterprise level, the human reality is a chief executive who is accountable for decisions their organisation is not making fast enough, a CIO whose tool portfolio has outgrown the operating model, a CFO whose audit readiness is a quarterly fire drill, and a COO whose frontline operators are leaving faster than they can be replaced. APEX addresses all four.</w:t>
      </w:r>
    </w:p>
    <w:p>
      <w:pPr>
        <w:pStyle w:val="Heading2"/>
        <w:spacing w:after="140" w:before="300"/>
      </w:pPr>
      <w:r>
        <w:rPr>
          <w:rFonts w:ascii="Aptos Display" w:cs="Aptos Display" w:eastAsia="Aptos Display" w:hAnsi="Aptos Display"/>
          <w:b/>
          <w:bCs/>
          <w:color w:val="0B111E"/>
          <w:sz w:val="30"/>
          <w:szCs w:val="30"/>
        </w:rPr>
        <w:t xml:space="preserve">1.4 AI Integration Maturity</w:t>
      </w:r>
    </w:p>
    <w:p>
      <w:pPr>
        <w:spacing w:after="140"/>
      </w:pPr>
      <w:r>
        <w:t xml:space="preserve">The enterprise-level AI integration maturity is usually heterogeneous across functions. Retail operations may be at Level 2, finance at Level 3, clinical at Level 1, compliance at Level 1. APEX does not require enterprise homogeneity; it advances the functions that subscribe, function by function.</w:t>
      </w:r>
    </w:p>
    <w:p>
      <w:pPr>
        <w:pStyle w:val="Heading2"/>
        <w:spacing w:after="140" w:before="300"/>
      </w:pPr>
      <w:r>
        <w:rPr>
          <w:rFonts w:ascii="Aptos Display" w:cs="Aptos Display" w:eastAsia="Aptos Display" w:hAnsi="Aptos Display"/>
          <w:b/>
          <w:bCs/>
          <w:color w:val="0B111E"/>
          <w:sz w:val="30"/>
          <w:szCs w:val="30"/>
        </w:rPr>
        <w:t xml:space="preserve">1.5 Decision-Automation Positioning</w:t>
      </w:r>
    </w:p>
    <w:p>
      <w:pPr>
        <w:spacing w:after="140"/>
      </w:pPr>
      <w:r>
        <w:t xml:space="preserve">Part I anchors the platform at Level 4 (Orchestrated HITL) as the Wave 2 end state. The CEO's strategic narrative to the board is "we moved our operations from Level 2 to Level 4 on the decisions that matter most, in twelve months, with full auditability." That is a defensible board narrative.</w:t>
      </w:r>
    </w:p>
    <w:p>
      <w:pPr>
        <w:pStyle w:val="Heading2"/>
        <w:spacing w:after="140" w:before="300"/>
      </w:pPr>
      <w:r>
        <w:rPr>
          <w:rFonts w:ascii="Aptos Display" w:cs="Aptos Display" w:eastAsia="Aptos Display" w:hAnsi="Aptos Display"/>
          <w:b/>
          <w:bCs/>
          <w:color w:val="0B111E"/>
          <w:sz w:val="30"/>
          <w:szCs w:val="30"/>
        </w:rPr>
        <w:t xml:space="preserve">1.6 KPI Dashboard</w:t>
      </w:r>
    </w:p>
    <w:p>
      <w:pPr>
        <w:spacing w:after="140"/>
      </w:pPr>
      <w:r>
        <w:t xml:space="preserve">Four enterprise KPIs we track across every Practice:</w:t>
      </w:r>
    </w:p>
    <w:p>
      <w:pPr>
        <w:pStyle w:val="ListParagraph"/>
        <w:numPr>
          <w:ilvl w:val="0"/>
          <w:numId w:val="1"/>
        </w:numPr>
        <w:spacing w:after="60"/>
      </w:pPr>
      <w:r>
        <w:rPr>
          <w:b/>
          <w:bCs/>
        </w:rPr>
        <w:t xml:space="preserve">Decision latency p95</w:t>
      </w:r>
      <w:r>
        <w:t xml:space="preserve"> — target 5–10× improvement from baseline in the first twelve months</w:t>
      </w:r>
    </w:p>
    <w:p>
      <w:pPr>
        <w:pStyle w:val="ListParagraph"/>
        <w:numPr>
          <w:ilvl w:val="0"/>
          <w:numId w:val="1"/>
        </w:numPr>
        <w:spacing w:after="60"/>
      </w:pPr>
      <w:r>
        <w:rPr>
          <w:b/>
          <w:bCs/>
        </w:rPr>
        <w:t xml:space="preserve">Manager touch-time per consequential decision</w:t>
      </w:r>
      <w:r>
        <w:t xml:space="preserve"> — target 60–80% reduction</w:t>
      </w:r>
    </w:p>
    <w:p>
      <w:pPr>
        <w:pStyle w:val="ListParagraph"/>
        <w:numPr>
          <w:ilvl w:val="0"/>
          <w:numId w:val="1"/>
        </w:numPr>
        <w:spacing w:after="60"/>
      </w:pPr>
      <w:r>
        <w:rPr>
          <w:b/>
          <w:bCs/>
        </w:rPr>
        <w:t xml:space="preserve">Audit readiness (time to reconstruct a decision)</w:t>
      </w:r>
      <w:r>
        <w:t xml:space="preserve"> — target hours-to-minutes, not weeks</w:t>
      </w:r>
    </w:p>
    <w:p>
      <w:pPr>
        <w:pStyle w:val="ListParagraph"/>
        <w:numPr>
          <w:ilvl w:val="0"/>
          <w:numId w:val="1"/>
        </w:numPr>
        <w:spacing w:after="60"/>
      </w:pPr>
      <w:r>
        <w:rPr>
          <w:b/>
          <w:bCs/>
        </w:rPr>
        <w:t xml:space="preserve">Service subscription depth</w:t>
      </w:r>
      <w:r>
        <w:t xml:space="preserve"> — number of services live per tenant; target 8+ by month 18</w:t>
      </w:r>
    </w:p>
    <w:p>
      <w:pPr>
        <w:pStyle w:val="Heading2"/>
        <w:spacing w:after="140" w:before="300"/>
      </w:pPr>
      <w:r>
        <w:rPr>
          <w:rFonts w:ascii="Aptos Display" w:cs="Aptos Display" w:eastAsia="Aptos Display" w:hAnsi="Aptos Display"/>
          <w:b/>
          <w:bCs/>
          <w:color w:val="0B111E"/>
          <w:sz w:val="30"/>
          <w:szCs w:val="30"/>
        </w:rPr>
        <w:t xml:space="preserve">1.7 The Solution: APEX Platform</w:t>
      </w:r>
    </w:p>
    <w:p>
      <w:pPr>
        <w:spacing w:after="140"/>
      </w:pPr>
      <w:r>
        <w:t xml:space="preserve">Part I's solution is the platform itself — the four-layer manifest model, the canonical schemas, the MCP taxonomy, the service catalogue, the HITL gate model, and the Microsoft-native stack. Individual Practices elaborate in Part II.</w:t>
      </w:r>
    </w:p>
    <w:p>
      <w:pPr>
        <w:pStyle w:val="Heading2"/>
        <w:spacing w:after="140" w:before="300"/>
      </w:pPr>
      <w:r>
        <w:rPr>
          <w:rFonts w:ascii="Aptos Display" w:cs="Aptos Display" w:eastAsia="Aptos Display" w:hAnsi="Aptos Display"/>
          <w:b/>
          <w:bCs/>
          <w:color w:val="0B111E"/>
          <w:sz w:val="30"/>
          <w:szCs w:val="30"/>
        </w:rPr>
        <w:t xml:space="preserve">1.8 Implementation &amp; Transformation</w:t>
      </w:r>
    </w:p>
    <w:p>
      <w:pPr>
        <w:spacing w:after="140"/>
      </w:pPr>
      <w:r>
        <w:t xml:space="preserve">Wave 1 decisions — which Practice first, which service first, which tenant first — are the make-or-break moment. The pattern that works: </w:t>
      </w:r>
      <w:r>
        <w:rPr>
          <w:b/>
          <w:bCs/>
        </w:rPr>
        <w:t xml:space="preserve">start with the Practice whose pain is most acute and whose SOR data is most accessible</w:t>
      </w:r>
      <w:r>
        <w:t xml:space="preserve">. For most retail clients that is RC Cold Chain or OSA. For most health systems it is HLS Discharge or Denial. For utilities, Meter Outage. For manufacturers, Line-Down Triage.</w:t>
      </w:r>
    </w:p>
    <w:p>
      <w:pPr>
        <w:spacing w:after="140"/>
      </w:pPr>
      <w:r>
        <w:t xml:space="preserve">Pick one Practice. Pick two or three services within it. Run Wave 1 to ship them. Use the Wave 1 proof to fund Wave 2.</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II — Industry Practices</w:t>
      </w:r>
    </w:p>
    <w:p>
      <w:pPr>
        <w:pStyle w:val="Heading2"/>
        <w:spacing w:after="140" w:before="300"/>
      </w:pPr>
      <w:r>
        <w:rPr>
          <w:rFonts w:ascii="Aptos Display" w:cs="Aptos Display" w:eastAsia="Aptos Display" w:hAnsi="Aptos Display"/>
          <w:b/>
          <w:bCs/>
          <w:color w:val="0B111E"/>
          <w:sz w:val="30"/>
          <w:szCs w:val="30"/>
        </w:rPr>
        <w:t xml:space="preserve">Chapter 2: Retail &amp; Consumer (RC) Practice</w:t>
      </w:r>
    </w:p>
    <w:p>
      <w:pPr>
        <w:pStyle w:val="Heading3"/>
        <w:spacing w:after="120" w:before="260"/>
      </w:pPr>
      <w:r>
        <w:rPr>
          <w:rFonts w:ascii="Aptos" w:cs="Aptos" w:eastAsia="Aptos" w:hAnsi="Aptos"/>
          <w:b/>
          <w:bCs/>
          <w:color w:val="0B111E"/>
          <w:sz w:val="24"/>
          <w:szCs w:val="24"/>
        </w:rPr>
        <w:t xml:space="preserve">2.1 The Story</w:t>
      </w:r>
    </w:p>
    <w:p>
      <w:pPr>
        <w:spacing w:after="140"/>
      </w:pPr>
      <w:r>
        <w:t xml:space="preserve">At 8:36 on a Tuesday morning, at a regional grocery chain, customers begin ringing up promotional pricing on a SKU that shouldn't be on promotion. The electronic shelf label gateway has been stale since 03:00; the ERP scheduled the regular price to take effect at 06:00; 127 tags never received the update. Four rings later — four customers, four price complaints just waiting to happen — the POS anomaly detector flags the pattern, the </w:t>
      </w:r>
      <w:r>
        <w:rPr>
          <w:rFonts w:ascii="Cascadia Mono" w:cs="Cascadia Mono" w:eastAsia="Cascadia Mono" w:hAnsi="Cascadia Mono"/>
          <w:color w:val="2B2B2B"/>
          <w:sz w:val="18"/>
          <w:szCs w:val="18"/>
        </w:rPr>
        <w:t xml:space="preserve">APEX-RC-ESL-03</w:t>
      </w:r>
      <w:r>
        <w:t xml:space="preserve"> service activates, the pricing analyst gets a HITL card naming exactly which gateway is affected and which 127 SKUs to force-refresh, and the issue is contained before a fifth ring.</w:t>
      </w:r>
    </w:p>
    <w:p>
      <w:pPr>
        <w:spacing w:after="140"/>
      </w:pPr>
      <w:r>
        <w:t xml:space="preserve">Retail runs on hundreds of signals per store per minute. Without APEX, a handful of them reach a human in time to matter. With APEX, the ones that are consequential are triaged, staged, and presented; the rest are auto-resolved or logged for review.</w:t>
      </w:r>
    </w:p>
    <w:p>
      <w:pPr>
        <w:pStyle w:val="Heading3"/>
        <w:spacing w:after="120" w:before="260"/>
      </w:pPr>
      <w:r>
        <w:rPr>
          <w:rFonts w:ascii="Aptos" w:cs="Aptos" w:eastAsia="Aptos" w:hAnsi="Aptos"/>
          <w:b/>
          <w:bCs/>
          <w:color w:val="0B111E"/>
          <w:sz w:val="24"/>
          <w:szCs w:val="24"/>
        </w:rPr>
        <w:t xml:space="preserve">2.2 Forces Driving Change</w:t>
      </w:r>
    </w:p>
    <w:p>
      <w:pPr>
        <w:spacing w:after="140"/>
      </w:pPr>
      <w:r>
        <w:t xml:space="preserve">Retail has every one of the five forces operating at once, but three dominate:</w:t>
      </w:r>
    </w:p>
    <w:p>
      <w:pPr>
        <w:pStyle w:val="ListParagraph"/>
        <w:numPr>
          <w:ilvl w:val="0"/>
          <w:numId w:val="1"/>
        </w:numPr>
        <w:spacing w:after="60"/>
      </w:pPr>
      <w:r>
        <w:rPr>
          <w:b/>
          <w:bCs/>
        </w:rPr>
        <w:t xml:space="preserve">Decision-velocity gap</w:t>
      </w:r>
      <w:r>
        <w:t xml:space="preserve"> is acute in retail operations. Store managers face a firehose; most of it sticks to dashboards nobody watches.</w:t>
      </w:r>
    </w:p>
    <w:p>
      <w:pPr>
        <w:pStyle w:val="ListParagraph"/>
        <w:numPr>
          <w:ilvl w:val="0"/>
          <w:numId w:val="1"/>
        </w:numPr>
        <w:spacing w:after="60"/>
      </w:pPr>
      <w:r>
        <w:rPr>
          <w:b/>
          <w:bCs/>
        </w:rPr>
        <w:t xml:space="preserve">Regulatory acceleration</w:t>
      </w:r>
      <w:r>
        <w:t xml:space="preserve"> on food safety and recalls is sharp. FDA recall response windows have compressed; customer contact expectations have tightened.</w:t>
      </w:r>
    </w:p>
    <w:p>
      <w:pPr>
        <w:pStyle w:val="ListParagraph"/>
        <w:numPr>
          <w:ilvl w:val="0"/>
          <w:numId w:val="1"/>
        </w:numPr>
        <w:spacing w:after="60"/>
      </w:pPr>
      <w:r>
        <w:rPr>
          <w:b/>
          <w:bCs/>
        </w:rPr>
        <w:t xml:space="preserve">Knowledge-worker shortage</w:t>
      </w:r>
      <w:r>
        <w:t xml:space="preserve"> on the retail frontline is a demographic emergency. Tenured store managers and department leads leave for roles with less chaos; replacements are green.</w:t>
      </w:r>
    </w:p>
    <w:p>
      <w:pPr>
        <w:pStyle w:val="Heading3"/>
        <w:spacing w:after="120" w:before="260"/>
      </w:pPr>
      <w:r>
        <w:rPr>
          <w:rFonts w:ascii="Aptos" w:cs="Aptos" w:eastAsia="Aptos" w:hAnsi="Aptos"/>
          <w:b/>
          <w:bCs/>
          <w:color w:val="0B111E"/>
          <w:sz w:val="24"/>
          <w:szCs w:val="24"/>
        </w:rPr>
        <w:t xml:space="preserve">2.3 The Human Reality</w:t>
      </w:r>
    </w:p>
    <w:p>
      <w:pPr>
        <w:spacing w:after="140"/>
      </w:pPr>
      <w:r>
        <w:t xml:space="preserve">The RC persona who benefits most is the Store Manager on Duty — "Marisol" in the Store 100 examples throughout this document. Marisol does not want to be replaced by an agent. She wants the platform to handle the data-gathering so she can spend her shift on the things that require judgement: disciplinary conversations, customer service escalations, team coaching, the unusual. APEX's pitch to Marisol is "you will spend your shift on the work you trained for, not the work the dashboards force on you."</w:t>
      </w:r>
    </w:p>
    <w:p>
      <w:pPr>
        <w:spacing w:after="140"/>
      </w:pPr>
      <w:r>
        <w:t xml:space="preserve">Secondary RC personas: Regional Operations Director, Merchandising Analyst, Loss Prevention Lead, Customer Care Agent, Compliance Officer. See Appendix C for role specifications.</w:t>
      </w:r>
    </w:p>
    <w:p>
      <w:pPr>
        <w:pStyle w:val="Heading3"/>
        <w:spacing w:after="120" w:before="260"/>
      </w:pPr>
      <w:r>
        <w:rPr>
          <w:rFonts w:ascii="Aptos" w:cs="Aptos" w:eastAsia="Aptos" w:hAnsi="Aptos"/>
          <w:b/>
          <w:bCs/>
          <w:color w:val="0B111E"/>
          <w:sz w:val="24"/>
          <w:szCs w:val="24"/>
        </w:rPr>
        <w:t xml:space="preserve">2.4 AI Integration Maturity</w:t>
      </w:r>
    </w:p>
    <w:p>
      <w:pPr>
        <w:spacing w:after="140"/>
      </w:pPr>
      <w:r>
        <w:t xml:space="preserve">Typical RC baseline: </w:t>
      </w:r>
      <w:r>
        <w:rPr>
          <w:b/>
          <w:bCs/>
        </w:rPr>
        <w:t xml:space="preserve">Level 2</w:t>
      </w:r>
      <w:r>
        <w:t xml:space="preserve"> (alerts in a dashboard). Wave 1 target: </w:t>
      </w:r>
      <w:r>
        <w:rPr>
          <w:b/>
          <w:bCs/>
        </w:rPr>
        <w:t xml:space="preserve">Level 3</w:t>
      </w:r>
      <w:r>
        <w:t xml:space="preserve"> (HITL recommendations on first 2–3 services). Wave 2: </w:t>
      </w:r>
      <w:r>
        <w:rPr>
          <w:b/>
          <w:bCs/>
        </w:rPr>
        <w:t xml:space="preserve">Level 4</w:t>
      </w:r>
      <w:r>
        <w:t xml:space="preserve"> (gate-tuning on mature services). Level 5 pilots in Wave 3 are typical for Phantom-OOS Detection (low-$ consequence per decision).</w:t>
      </w:r>
    </w:p>
    <w:p>
      <w:pPr>
        <w:pStyle w:val="Heading3"/>
        <w:spacing w:after="120" w:before="260"/>
      </w:pPr>
      <w:r>
        <w:rPr>
          <w:rFonts w:ascii="Aptos" w:cs="Aptos" w:eastAsia="Aptos" w:hAnsi="Aptos"/>
          <w:b/>
          <w:bCs/>
          <w:color w:val="0B111E"/>
          <w:sz w:val="24"/>
          <w:szCs w:val="24"/>
        </w:rPr>
        <w:t xml:space="preserve">2.5 Decision-Automation Positioning</w:t>
      </w:r>
    </w:p>
    <w:p>
      <w:pPr>
        <w:spacing w:after="140"/>
      </w:pPr>
      <w:r>
        <w:t xml:space="preserve">RC is the Practice where the platform proves itself. The Cold Chain story at Store 100 is the demo every stakeholder sees, because it is the most tangible — tangible temperatures, tangible dollars, tangible ninety-second manager touch. After the RC pilot, the rest of the portfolio sells itself.</w:t>
      </w:r>
    </w:p>
    <w:p>
      <w:pPr>
        <w:pStyle w:val="Heading3"/>
        <w:spacing w:after="120" w:before="260"/>
      </w:pPr>
      <w:r>
        <w:rPr>
          <w:rFonts w:ascii="Aptos" w:cs="Aptos" w:eastAsia="Aptos" w:hAnsi="Aptos"/>
          <w:b/>
          <w:bCs/>
          <w:color w:val="0B111E"/>
          <w:sz w:val="24"/>
          <w:szCs w:val="24"/>
        </w:rPr>
        <w:t xml:space="preserve">2.6 KPI Dashboard</w:t>
      </w:r>
    </w:p>
    <w:p>
      <w:pPr>
        <w:spacing w:after="140"/>
      </w:pPr>
      <w:r>
        <w:t xml:space="preserve">Four KPIs every RC client tracks:</w:t>
      </w:r>
    </w:p>
    <w:p>
      <w:pPr>
        <w:pStyle w:val="ListParagraph"/>
        <w:numPr>
          <w:ilvl w:val="0"/>
          <w:numId w:val="1"/>
        </w:numPr>
        <w:spacing w:after="60"/>
      </w:pPr>
      <w:r>
        <w:rPr>
          <w:b/>
          <w:bCs/>
        </w:rPr>
        <w:t xml:space="preserve">Write-off avoided, $ / store / month</w:t>
      </w:r>
      <w:r>
        <w:t xml:space="preserve"> — target ≥ 65% of at-risk inventory saved on cold-chain events</w:t>
      </w:r>
    </w:p>
    <w:p>
      <w:pPr>
        <w:pStyle w:val="ListParagraph"/>
        <w:numPr>
          <w:ilvl w:val="0"/>
          <w:numId w:val="1"/>
        </w:numPr>
        <w:spacing w:after="60"/>
      </w:pPr>
      <w:r>
        <w:rPr>
          <w:b/>
          <w:bCs/>
        </w:rPr>
        <w:t xml:space="preserve">Manager touch-time, seconds / HITL decision</w:t>
      </w:r>
      <w:r>
        <w:t xml:space="preserve"> — target ≤ 90 sec (industry baseline 6–12 min)</w:t>
      </w:r>
    </w:p>
    <w:p>
      <w:pPr>
        <w:pStyle w:val="ListParagraph"/>
        <w:numPr>
          <w:ilvl w:val="0"/>
          <w:numId w:val="1"/>
        </w:numPr>
        <w:spacing w:after="60"/>
      </w:pPr>
      <w:r>
        <w:rPr>
          <w:b/>
          <w:bCs/>
        </w:rPr>
        <w:t xml:space="preserve">Customer incident time-to-triage, minutes</w:t>
      </w:r>
      <w:r>
        <w:t xml:space="preserve"> — target ≤ 15 min for Tier-2 food safety</w:t>
      </w:r>
    </w:p>
    <w:p>
      <w:pPr>
        <w:pStyle w:val="ListParagraph"/>
        <w:numPr>
          <w:ilvl w:val="0"/>
          <w:numId w:val="1"/>
        </w:numPr>
        <w:spacing w:after="60"/>
      </w:pPr>
      <w:r>
        <w:rPr>
          <w:b/>
          <w:bCs/>
        </w:rPr>
        <w:t xml:space="preserve">Vendor dispute recovery rate, %</w:t>
      </w:r>
      <w:r>
        <w:t xml:space="preserve"> — target ≥ 70% on receiving variances</w:t>
      </w:r>
    </w:p>
    <w:p>
      <w:pPr>
        <w:pStyle w:val="Heading3"/>
        <w:spacing w:after="120" w:before="260"/>
      </w:pPr>
      <w:r>
        <w:rPr>
          <w:rFonts w:ascii="Aptos" w:cs="Aptos" w:eastAsia="Aptos" w:hAnsi="Aptos"/>
          <w:b/>
          <w:bCs/>
          <w:color w:val="0B111E"/>
          <w:sz w:val="24"/>
          <w:szCs w:val="24"/>
        </w:rPr>
        <w:t xml:space="preserve">2.7 Solution Portfolio &amp; Architecture</w:t>
      </w:r>
    </w:p>
    <w:p>
      <w:pPr>
        <w:spacing w:after="140"/>
      </w:pPr>
      <w:r>
        <w:t xml:space="preserve">Eight services in the RC Practice. Each service entry below names the scenario, the primary persona, the core KPIs, the included artifacts, and the tier.</w:t>
      </w:r>
    </w:p>
    <w:p>
      <w:pPr>
        <w:pStyle w:val="Heading4"/>
        <w:spacing w:after="100" w:before="220"/>
      </w:pPr>
      <w:r>
        <w:rPr>
          <w:rFonts w:ascii="Aptos" w:cs="Aptos" w:eastAsia="Aptos" w:hAnsi="Aptos"/>
          <w:b/>
          <w:bCs/>
          <w:color w:val="0B111E"/>
          <w:sz w:val="20"/>
          <w:szCs w:val="20"/>
        </w:rPr>
        <w:t xml:space="preserve">RC Practice Architecture</w:t>
      </w:r>
    </w:p>
    <w:p>
      <w:pPr>
        <w:spacing w:after="160" w:before="120"/>
        <w:jc w:val="center"/>
      </w:pPr>
      <w:r>
        <w:drawing>
          <wp:inline distT="0" distB="0" distL="0" distR="0">
            <wp:extent cx="6096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466850"/>
                    </a:xfrm>
                    <a:prstGeom prst="rect">
                      <a:avLst/>
                    </a:prstGeom>
                  </pic:spPr>
                </pic:pic>
              </a:graphicData>
            </a:graphic>
          </wp:inline>
        </w:drawing>
      </w:r>
    </w:p>
    <w:p>
      <w:pPr>
        <w:pStyle w:val="Heading4"/>
        <w:spacing w:after="100" w:before="220"/>
      </w:pPr>
      <w:r>
        <w:rPr>
          <w:rFonts w:ascii="Aptos" w:cs="Aptos" w:eastAsia="Aptos" w:hAnsi="Aptos"/>
          <w:b/>
          <w:bCs/>
          <w:color w:val="0B111E"/>
          <w:sz w:val="20"/>
          <w:szCs w:val="20"/>
        </w:rPr>
        <w:t xml:space="preserve">Cold Chain Excursion Response — APEX-RC-CXP-01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 dairy reefer drifts above 41°F for four hours overnight. The compressor soft-start failed. 412 units of product are now on the wrong side of the FDA food-safety threshold — some save-viable, some destroy-only, and the distinction matters because the write-off is the difference between $534 and $1,847.</w:t>
      </w:r>
    </w:p>
    <w:p>
      <w:pPr>
        <w:spacing w:after="140"/>
      </w:pPr>
      <w:r>
        <w:t xml:space="preserve">CXP-01 runs continuously against the Monnit IoT telemetry stream. When an excursion opens, </w:t>
      </w:r>
      <w:r>
        <w:rPr>
          <w:rFonts w:ascii="Cascadia Mono" w:cs="Cascadia Mono" w:eastAsia="Cascadia Mono" w:hAnsi="Cascadia Mono"/>
          <w:color w:val="2B2B2B"/>
          <w:sz w:val="18"/>
          <w:szCs w:val="18"/>
        </w:rPr>
        <w:t xml:space="preserve">SCM-A04 Cold Chain Telemetry Monitor</w:t>
      </w:r>
      <w:r>
        <w:t xml:space="preserve"> classifies the breach by duration, peak temperature, product category, and FDA risk class. </w:t>
      </w:r>
      <w:r>
        <w:rPr>
          <w:rFonts w:ascii="Cascadia Mono" w:cs="Cascadia Mono" w:eastAsia="Cascadia Mono" w:hAnsi="Cascadia Mono"/>
          <w:color w:val="2B2B2B"/>
          <w:sz w:val="18"/>
          <w:szCs w:val="18"/>
        </w:rPr>
        <w:t xml:space="preserve">SCM-A05 Disposition Classifier</w:t>
      </w:r>
      <w:r>
        <w:t xml:space="preserve"> splits the inventory using lot-level data from Manhattan WMS: units sealed and pre-threshold are save-viable; dairy after the threshold is destroy-only. </w:t>
      </w:r>
      <w:r>
        <w:rPr>
          <w:rFonts w:ascii="Cascadia Mono" w:cs="Cascadia Mono" w:eastAsia="Cascadia Mono" w:hAnsi="Cascadia Mono"/>
          <w:color w:val="2B2B2B"/>
          <w:sz w:val="18"/>
          <w:szCs w:val="18"/>
        </w:rPr>
        <w:t xml:space="preserve">SCM-A06 Write-Off Pre-Approver</w:t>
      </w:r>
      <w:r>
        <w:t xml:space="preserve"> stages the targeted write-off in the ledger with rollback pointer. By the time the Store MOD arrives at 06:08, the HITL card is waiting — she approves, modifies, or rejects in ninety seconds, and is on the floor ahead of schedule with 71% of the inventory saved.</w:t>
      </w:r>
    </w:p>
    <w:p>
      <w:pPr>
        <w:spacing w:after="140"/>
      </w:pPr>
      <w:r>
        <w:t xml:space="preserve">KPI impact: </w:t>
      </w:r>
      <w:r>
        <w:rPr>
          <w:rFonts w:ascii="Cascadia Mono" w:cs="Cascadia Mono" w:eastAsia="Cascadia Mono" w:hAnsi="Cascadia Mono"/>
          <w:color w:val="2B2B2B"/>
          <w:sz w:val="18"/>
          <w:szCs w:val="18"/>
        </w:rPr>
        <w:t xml:space="preserve">writeoff_avoided_pct ≥ 65%</w:t>
      </w:r>
      <w:r>
        <w:t xml:space="preserve"> · </w:t>
      </w:r>
      <w:r>
        <w:rPr>
          <w:rFonts w:ascii="Cascadia Mono" w:cs="Cascadia Mono" w:eastAsia="Cascadia Mono" w:hAnsi="Cascadia Mono"/>
          <w:color w:val="2B2B2B"/>
          <w:sz w:val="18"/>
          <w:szCs w:val="18"/>
        </w:rPr>
        <w:t xml:space="preserve">time_to_brief_min ≤ 10</w:t>
      </w:r>
      <w:r>
        <w:t xml:space="preserve"> · </w:t>
      </w:r>
      <w:r>
        <w:rPr>
          <w:rFonts w:ascii="Cascadia Mono" w:cs="Cascadia Mono" w:eastAsia="Cascadia Mono" w:hAnsi="Cascadia Mono"/>
          <w:color w:val="2B2B2B"/>
          <w:sz w:val="18"/>
          <w:szCs w:val="18"/>
        </w:rPr>
        <w:t xml:space="preserve">manager_touch_sec ≤ 90</w:t>
      </w:r>
      <w:r>
        <w:t xml:space="preserve">. SLOs: detection p95 ≤ 60s · decision p95 ≤ 8 min · FPR ≤ 3% · availability 99.5%. Artifacts: SCML.COLD_CHAIN_TELEMETRY + SCML.TEMPERATURE_EXCURSION + MERML.STORE_INVENTORY_POSITION; agents SCM-A04/A05/A06; tools </w:t>
      </w:r>
      <w:r>
        <w:rPr>
          <w:rFonts w:ascii="Cascadia Mono" w:cs="Cascadia Mono" w:eastAsia="Cascadia Mono" w:hAnsi="Cascadia Mono"/>
          <w:color w:val="2B2B2B"/>
          <w:sz w:val="18"/>
          <w:szCs w:val="18"/>
        </w:rPr>
        <w:t xml:space="preserve">fabric-mcp.read_cold_chain_telemetry</w:t>
      </w:r>
      <w:r>
        <w:t xml:space="preserve">, </w:t>
      </w:r>
      <w:r>
        <w:rPr>
          <w:rFonts w:ascii="Cascadia Mono" w:cs="Cascadia Mono" w:eastAsia="Cascadia Mono" w:hAnsi="Cascadia Mono"/>
          <w:color w:val="2B2B2B"/>
          <w:sz w:val="18"/>
          <w:szCs w:val="18"/>
        </w:rPr>
        <w:t xml:space="preserve">fda-mcp.lookup_threshold</w:t>
      </w:r>
      <w:r>
        <w:t xml:space="preserve">, </w:t>
      </w:r>
      <w:r>
        <w:rPr>
          <w:rFonts w:ascii="Cascadia Mono" w:cs="Cascadia Mono" w:eastAsia="Cascadia Mono" w:hAnsi="Cascadia Mono"/>
          <w:color w:val="2B2B2B"/>
          <w:sz w:val="18"/>
          <w:szCs w:val="18"/>
        </w:rPr>
        <w:t xml:space="preserve">ledger-mcp.stage_writeoff</w:t>
      </w:r>
      <w:r>
        <w:t xml:space="preserve">; orchestration ORCH-03. Prereqs: Monnit IoT stream + Manhattan WMS integration + F8 capacity + </w:t>
      </w:r>
      <w:r>
        <w:rPr>
          <w:rFonts w:ascii="Cascadia Mono" w:cs="Cascadia Mono" w:eastAsia="Cascadia Mono" w:hAnsi="Cascadia Mono"/>
          <w:color w:val="2B2B2B"/>
          <w:sz w:val="18"/>
          <w:szCs w:val="18"/>
        </w:rPr>
        <w:t xml:space="preserve">store-mod</w:t>
      </w:r>
      <w:r>
        <w:t xml:space="preserve"> AAD group. Onboarding: 14 days typical.</w:t>
      </w:r>
    </w:p>
    <w:p>
      <w:pPr>
        <w:pStyle w:val="Heading4"/>
        <w:spacing w:after="100" w:before="220"/>
      </w:pPr>
      <w:r>
        <w:rPr>
          <w:rFonts w:ascii="Aptos" w:cs="Aptos" w:eastAsia="Aptos" w:hAnsi="Aptos"/>
          <w:b/>
          <w:bCs/>
          <w:color w:val="0B111E"/>
          <w:sz w:val="20"/>
          <w:szCs w:val="20"/>
        </w:rPr>
        <w:t xml:space="preserve">Receiving Variance Dispute — APEX-RC-RVD-02</w:t>
      </w:r>
    </w:p>
    <w:p>
      <w:pPr>
        <w:spacing w:after="140"/>
      </w:pPr>
      <w:r>
        <w:rPr>
          <w:b/>
          <w:bCs/>
        </w:rPr>
        <w:t xml:space="preserve">Tier:</w:t>
      </w:r>
      <w:r>
        <w:t xml:space="preserve"> Essentials / Pro / Enterprise · </w:t>
      </w:r>
      <w:r>
        <w:rPr>
          <w:b/>
          <w:bCs/>
        </w:rPr>
        <w:t xml:space="preserve">Status:</w:t>
      </w:r>
      <w:r>
        <w:t xml:space="preserve"> GA v1.2 · </w:t>
      </w:r>
      <w:r>
        <w:rPr>
          <w:b/>
          <w:bCs/>
        </w:rPr>
        <w:t xml:space="preserve">Gate:</w:t>
      </w:r>
      <w:r>
        <w:t xml:space="preserve"> ACK_ONLY</w:t>
      </w:r>
    </w:p>
    <w:p>
      <w:pPr>
        <w:spacing w:after="140"/>
      </w:pPr>
      <w:r>
        <w:t xml:space="preserve">A vendor ships 44 cases against an ASN of 48. The UHF RFID portal catches it at the dock; the short-ship is worth $142.56; and the vendor has shorted this same SKU three times in the last 90 days. Before RVD-02, the store absorbs the first dispute, a regional buyer investigates the second a month later, and the pattern is caught only on the third or fourth occurrence — often too late to recover.</w:t>
      </w:r>
    </w:p>
    <w:p>
      <w:pPr>
        <w:spacing w:after="140"/>
      </w:pPr>
      <w:r>
        <w:t xml:space="preserve">RVD-02 closes the gap to minutes. </w:t>
      </w:r>
      <w:r>
        <w:rPr>
          <w:rFonts w:ascii="Cascadia Mono" w:cs="Cascadia Mono" w:eastAsia="Cascadia Mono" w:hAnsi="Cascadia Mono"/>
          <w:color w:val="2B2B2B"/>
          <w:sz w:val="18"/>
          <w:szCs w:val="18"/>
        </w:rPr>
        <w:t xml:space="preserve">SCM-A01 Inbound Discrepancy Analyst</w:t>
      </w:r>
      <w:r>
        <w:t xml:space="preserve"> compares actual to expected at line level. </w:t>
      </w:r>
      <w:r>
        <w:rPr>
          <w:rFonts w:ascii="Cascadia Mono" w:cs="Cascadia Mono" w:eastAsia="Cascadia Mono" w:hAnsi="Cascadia Mono"/>
          <w:color w:val="2B2B2B"/>
          <w:sz w:val="18"/>
          <w:szCs w:val="18"/>
        </w:rPr>
        <w:t xml:space="preserve">SCM-A02 Vendor Pattern Detector</w:t>
      </w:r>
      <w:r>
        <w:t xml:space="preserve"> correlates against the 90-day vendor history from DSD_INVOICE records and flags the RECURRING pattern. </w:t>
      </w:r>
      <w:r>
        <w:rPr>
          <w:rFonts w:ascii="Cascadia Mono" w:cs="Cascadia Mono" w:eastAsia="Cascadia Mono" w:hAnsi="Cascadia Mono"/>
          <w:color w:val="2B2B2B"/>
          <w:sz w:val="18"/>
          <w:szCs w:val="18"/>
        </w:rPr>
        <w:t xml:space="preserve">MER-A01 Dispute Packaging Agent</w:t>
      </w:r>
      <w:r>
        <w:t xml:space="preserve"> assembles the dispute packet — line-level variance, unit cost, photo evidence if available, and the pattern history — and stages it in the auto-debit queue. Because this is an ACK_ONLY gate, the dispute is filed automatically; the Store MOD sees the notification and can intervene if they have context the agent didn't.</w:t>
      </w:r>
    </w:p>
    <w:p>
      <w:pPr>
        <w:spacing w:after="140"/>
      </w:pPr>
      <w:r>
        <w:t xml:space="preserve">KPI impact: </w:t>
      </w:r>
      <w:r>
        <w:rPr>
          <w:rFonts w:ascii="Cascadia Mono" w:cs="Cascadia Mono" w:eastAsia="Cascadia Mono" w:hAnsi="Cascadia Mono"/>
          <w:color w:val="2B2B2B"/>
          <w:sz w:val="18"/>
          <w:szCs w:val="18"/>
        </w:rPr>
        <w:t xml:space="preserve">variance_recovered_pct ≥ 70%</w:t>
      </w:r>
      <w:r>
        <w:t xml:space="preserve"> · </w:t>
      </w:r>
      <w:r>
        <w:rPr>
          <w:rFonts w:ascii="Cascadia Mono" w:cs="Cascadia Mono" w:eastAsia="Cascadia Mono" w:hAnsi="Cascadia Mono"/>
          <w:color w:val="2B2B2B"/>
          <w:sz w:val="18"/>
          <w:szCs w:val="18"/>
        </w:rPr>
        <w:t xml:space="preserve">days_to_dispute_closure ≤ 5</w:t>
      </w:r>
      <w:r>
        <w:t xml:space="preserve"> · </w:t>
      </w:r>
      <w:r>
        <w:rPr>
          <w:rFonts w:ascii="Cascadia Mono" w:cs="Cascadia Mono" w:eastAsia="Cascadia Mono" w:hAnsi="Cascadia Mono"/>
          <w:color w:val="2B2B2B"/>
          <w:sz w:val="18"/>
          <w:szCs w:val="18"/>
        </w:rPr>
        <w:t xml:space="preserve">manager_touch_sec ≤ 60</w:t>
      </w:r>
      <w:r>
        <w:t xml:space="preserve">. SLOs: detection p95 ≤ 120s · decision p95 ≤ 5 min · FPR ≤ 2% · availability 99.5%. Artifacts: SCML.ASN/STORE_RECEIVING_EVENT/RECEIVING_DISCREPANCY/DSD_INVOICE; agents SCM-A01/A02 + MER-A01; tools </w:t>
      </w:r>
      <w:r>
        <w:rPr>
          <w:rFonts w:ascii="Cascadia Mono" w:cs="Cascadia Mono" w:eastAsia="Cascadia Mono" w:hAnsi="Cascadia Mono"/>
          <w:color w:val="2B2B2B"/>
          <w:sz w:val="18"/>
          <w:szCs w:val="18"/>
        </w:rPr>
        <w:t xml:space="preserve">fabric-mcp.read_asn</w:t>
      </w:r>
      <w:r>
        <w:t xml:space="preserve">, </w:t>
      </w:r>
      <w:r>
        <w:rPr>
          <w:rFonts w:ascii="Cascadia Mono" w:cs="Cascadia Mono" w:eastAsia="Cascadia Mono" w:hAnsi="Cascadia Mono"/>
          <w:color w:val="2B2B2B"/>
          <w:sz w:val="18"/>
          <w:szCs w:val="18"/>
        </w:rPr>
        <w:t xml:space="preserve">edi-mcp.send_dispute</w:t>
      </w:r>
      <w:r>
        <w:t xml:space="preserve">, </w:t>
      </w:r>
      <w:r>
        <w:rPr>
          <w:rFonts w:ascii="Cascadia Mono" w:cs="Cascadia Mono" w:eastAsia="Cascadia Mono" w:hAnsi="Cascadia Mono"/>
          <w:color w:val="2B2B2B"/>
          <w:sz w:val="18"/>
          <w:szCs w:val="18"/>
        </w:rPr>
        <w:t xml:space="preserve">ledger-mcp.stage_credit</w:t>
      </w:r>
      <w:r>
        <w:t xml:space="preserve">; orchestration ORCH-02. Prereqs: Manhattan WMS + EDI-856 + F8.</w:t>
      </w:r>
    </w:p>
    <w:p>
      <w:pPr>
        <w:pStyle w:val="Heading4"/>
        <w:spacing w:after="100" w:before="220"/>
      </w:pPr>
      <w:r>
        <w:rPr>
          <w:rFonts w:ascii="Aptos" w:cs="Aptos" w:eastAsia="Aptos" w:hAnsi="Aptos"/>
          <w:b/>
          <w:bCs/>
          <w:color w:val="0B111E"/>
          <w:sz w:val="20"/>
          <w:szCs w:val="20"/>
        </w:rPr>
        <w:t xml:space="preserve">ESL Pricing Integrity — APEX-RC-ESL-03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Electronic shelf labels are the weakest link in retail price execution. A gateway goes stale at 03:00; the ERP pushes the regular-price transition at 06:00; 127 tags still show the prior promotional price; at 08:34 the fourth customer rings up the stale promo at the register. Every ring is a trust event. Four of them is a pattern that legal will hear about by week's end.</w:t>
      </w:r>
    </w:p>
    <w:p>
      <w:pPr>
        <w:spacing w:after="140"/>
      </w:pPr>
      <w:r>
        <w:t xml:space="preserve">ESL-03 watches three streams at once: the ERP price schedule, the ESL gateway sync state, and the POS ring stream. </w:t>
      </w:r>
      <w:r>
        <w:rPr>
          <w:rFonts w:ascii="Cascadia Mono" w:cs="Cascadia Mono" w:eastAsia="Cascadia Mono" w:hAnsi="Cascadia Mono"/>
          <w:color w:val="2B2B2B"/>
          <w:sz w:val="18"/>
          <w:szCs w:val="18"/>
        </w:rPr>
        <w:t xml:space="preserve">MER-A02 Pricing Integrity Monitor</w:t>
      </w:r>
      <w:r>
        <w:t xml:space="preserve"> detects the state mismatch in real time. </w:t>
      </w:r>
      <w:r>
        <w:rPr>
          <w:rFonts w:ascii="Cascadia Mono" w:cs="Cascadia Mono" w:eastAsia="Cascadia Mono" w:hAnsi="Cascadia Mono"/>
          <w:color w:val="2B2B2B"/>
          <w:sz w:val="18"/>
          <w:szCs w:val="18"/>
        </w:rPr>
        <w:t xml:space="preserve">MER-A03 Stale-Tag Remediation Agent</w:t>
      </w:r>
      <w:r>
        <w:t xml:space="preserve"> identifies the exact gateway and tag set, stages a force-refresh, and notifies the merchandising analyst. Because the customer-visible price was indeed the promo, the ring is honoured; the agent also stages a corrective promo-honour credit for the next ring at-register if the analyst approves.</w:t>
      </w:r>
    </w:p>
    <w:p>
      <w:pPr>
        <w:spacing w:after="140"/>
      </w:pPr>
      <w:r>
        <w:t xml:space="preserve">KPI impact: </w:t>
      </w:r>
      <w:r>
        <w:rPr>
          <w:rFonts w:ascii="Cascadia Mono" w:cs="Cascadia Mono" w:eastAsia="Cascadia Mono" w:hAnsi="Cascadia Mono"/>
          <w:color w:val="2B2B2B"/>
          <w:sz w:val="18"/>
          <w:szCs w:val="18"/>
        </w:rPr>
        <w:t xml:space="preserve">stale_tag_count_reduction_pct ≥ 80%</w:t>
      </w:r>
      <w:r>
        <w:t xml:space="preserve"> · </w:t>
      </w:r>
      <w:r>
        <w:rPr>
          <w:rFonts w:ascii="Cascadia Mono" w:cs="Cascadia Mono" w:eastAsia="Cascadia Mono" w:hAnsi="Cascadia Mono"/>
          <w:color w:val="2B2B2B"/>
          <w:sz w:val="18"/>
          <w:szCs w:val="18"/>
        </w:rPr>
        <w:t xml:space="preserve">pricing_complaints_pct ≤ 0.1%</w:t>
      </w:r>
      <w:r>
        <w:t xml:space="preserve"> · </w:t>
      </w:r>
      <w:r>
        <w:rPr>
          <w:rFonts w:ascii="Cascadia Mono" w:cs="Cascadia Mono" w:eastAsia="Cascadia Mono" w:hAnsi="Cascadia Mono"/>
          <w:color w:val="2B2B2B"/>
          <w:sz w:val="18"/>
          <w:szCs w:val="18"/>
        </w:rPr>
        <w:t xml:space="preserve">time_to_remediate_min ≤ 30</w:t>
      </w:r>
      <w:r>
        <w:t xml:space="preserve">. SLOs: detection p95 ≤ 120s · decision p95 ≤ 3 min · FPR ≤ 1%. Artifacts: MERML.PRICE_RECORD/PRICE_TAG_STATUS/PROMOTION_ACTIVATION; agents MER-A02/A03; tools </w:t>
      </w:r>
      <w:r>
        <w:rPr>
          <w:rFonts w:ascii="Cascadia Mono" w:cs="Cascadia Mono" w:eastAsia="Cascadia Mono" w:hAnsi="Cascadia Mono"/>
          <w:color w:val="2B2B2B"/>
          <w:sz w:val="18"/>
          <w:szCs w:val="18"/>
        </w:rPr>
        <w:t xml:space="preserve">fabric-mcp.read_price_record</w:t>
      </w:r>
      <w:r>
        <w:t xml:space="preserve">, </w:t>
      </w:r>
      <w:r>
        <w:rPr>
          <w:rFonts w:ascii="Cascadia Mono" w:cs="Cascadia Mono" w:eastAsia="Cascadia Mono" w:hAnsi="Cascadia Mono"/>
          <w:color w:val="2B2B2B"/>
          <w:sz w:val="18"/>
          <w:szCs w:val="18"/>
        </w:rPr>
        <w:t xml:space="preserve">esl-mcp.force_refresh</w:t>
      </w:r>
      <w:r>
        <w:t xml:space="preserve">; orchestration ORCH-04. Prereqs: ESL gateway + POS + ERP-Price + F16 + </w:t>
      </w:r>
      <w:r>
        <w:rPr>
          <w:rFonts w:ascii="Cascadia Mono" w:cs="Cascadia Mono" w:eastAsia="Cascadia Mono" w:hAnsi="Cascadia Mono"/>
          <w:color w:val="2B2B2B"/>
          <w:sz w:val="18"/>
          <w:szCs w:val="18"/>
        </w:rPr>
        <w:t xml:space="preserve">merchandising-analyst</w:t>
      </w:r>
      <w:r>
        <w:t xml:space="preserve"> group.</w:t>
      </w:r>
    </w:p>
    <w:p>
      <w:pPr>
        <w:pStyle w:val="Heading4"/>
        <w:spacing w:after="100" w:before="220"/>
      </w:pPr>
      <w:r>
        <w:rPr>
          <w:rFonts w:ascii="Aptos" w:cs="Aptos" w:eastAsia="Aptos" w:hAnsi="Aptos"/>
          <w:b/>
          <w:bCs/>
          <w:color w:val="0B111E"/>
          <w:sz w:val="20"/>
          <w:szCs w:val="20"/>
        </w:rPr>
        <w:t xml:space="preserve">Phantom-OOS Detection — APEX-RC-OSA-04</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The paradox of perpetual inventory: the system says 47 units on hand, the shelf is empty, and neither the computer nor the customer is lying. It's called phantom OOS — inventory that exists in the backroom but hasn't been pushed to the floor, or that was moved to the back by an overnight team who didn't record the move. Walk-away revenue is the name of the loss.</w:t>
      </w:r>
    </w:p>
    <w:p>
      <w:pPr>
        <w:spacing w:after="140"/>
      </w:pPr>
      <w:r>
        <w:t xml:space="preserve">OSA-04 fuses three independent signals: computer-vision shelf monitoring, POS ring absence (a best-seller SKU not ringing for 45 minutes on a Wednesday is an anomaly), and perpetual inventory. </w:t>
      </w:r>
      <w:r>
        <w:rPr>
          <w:rFonts w:ascii="Cascadia Mono" w:cs="Cascadia Mono" w:eastAsia="Cascadia Mono" w:hAnsi="Cascadia Mono"/>
          <w:color w:val="2B2B2B"/>
          <w:sz w:val="18"/>
          <w:szCs w:val="18"/>
        </w:rPr>
        <w:t xml:space="preserve">MER-A04 CV×POS×PI Fusion Agent</w:t>
      </w:r>
      <w:r>
        <w:t xml:space="preserve"> triangulates; if all three agree, the confidence is 94%+, classification is PHANTOM_OOS, and an alert is staged. </w:t>
      </w:r>
      <w:r>
        <w:rPr>
          <w:rFonts w:ascii="Cascadia Mono" w:cs="Cascadia Mono" w:eastAsia="Cascadia Mono" w:hAnsi="Cascadia Mono"/>
          <w:color w:val="2B2B2B"/>
          <w:sz w:val="18"/>
          <w:szCs w:val="18"/>
        </w:rPr>
        <w:t xml:space="preserve">MER-A05 Restock Dispatcher</w:t>
      </w:r>
      <w:r>
        <w:t xml:space="preserve"> creates a replenishment task with the specific SKU, last-known backroom location, and urgency score. A stocker gets the task on their handheld within minutes.</w:t>
      </w:r>
    </w:p>
    <w:p>
      <w:pPr>
        <w:spacing w:after="140"/>
      </w:pPr>
      <w:r>
        <w:t xml:space="preserve">KPI impact: </w:t>
      </w:r>
      <w:r>
        <w:rPr>
          <w:rFonts w:ascii="Cascadia Mono" w:cs="Cascadia Mono" w:eastAsia="Cascadia Mono" w:hAnsi="Cascadia Mono"/>
          <w:color w:val="2B2B2B"/>
          <w:sz w:val="18"/>
          <w:szCs w:val="18"/>
        </w:rPr>
        <w:t xml:space="preserve">phantom_oos_caught_pct ≥ 90%</w:t>
      </w:r>
      <w:r>
        <w:t xml:space="preserve"> · </w:t>
      </w:r>
      <w:r>
        <w:rPr>
          <w:rFonts w:ascii="Cascadia Mono" w:cs="Cascadia Mono" w:eastAsia="Cascadia Mono" w:hAnsi="Cascadia Mono"/>
          <w:color w:val="2B2B2B"/>
          <w:sz w:val="18"/>
          <w:szCs w:val="18"/>
        </w:rPr>
        <w:t xml:space="preserve">walk_away_revenue_avoided_usd</w:t>
      </w:r>
      <w:r>
        <w:t xml:space="preserve"> maximise · </w:t>
      </w:r>
      <w:r>
        <w:rPr>
          <w:rFonts w:ascii="Cascadia Mono" w:cs="Cascadia Mono" w:eastAsia="Cascadia Mono" w:hAnsi="Cascadia Mono"/>
          <w:color w:val="2B2B2B"/>
          <w:sz w:val="18"/>
          <w:szCs w:val="18"/>
        </w:rPr>
        <w:t xml:space="preserve">time_to_restock_min ≤ 35</w:t>
      </w:r>
      <w:r>
        <w:t xml:space="preserve">. Artifacts: MERML.OSA_EVENT + MERML.STORE_INVENTORY_POSITION; agents MER-A04/A05; tools </w:t>
      </w:r>
      <w:r>
        <w:rPr>
          <w:rFonts w:ascii="Cascadia Mono" w:cs="Cascadia Mono" w:eastAsia="Cascadia Mono" w:hAnsi="Cascadia Mono"/>
          <w:color w:val="2B2B2B"/>
          <w:sz w:val="18"/>
          <w:szCs w:val="18"/>
        </w:rPr>
        <w:t xml:space="preserve">fabric-mcp.read_osa_event</w:t>
      </w:r>
      <w:r>
        <w:t xml:space="preserve">, </w:t>
      </w:r>
      <w:r>
        <w:rPr>
          <w:rFonts w:ascii="Cascadia Mono" w:cs="Cascadia Mono" w:eastAsia="Cascadia Mono" w:hAnsi="Cascadia Mono"/>
          <w:color w:val="2B2B2B"/>
          <w:sz w:val="18"/>
          <w:szCs w:val="18"/>
        </w:rPr>
        <w:t xml:space="preserve">cv-mcp.get_shelf_state</w:t>
      </w:r>
      <w:r>
        <w:t xml:space="preserve">; orchestration ORCH-05. Prereqs: POS + manhattan-wms + CV pipeline + F16 + </w:t>
      </w:r>
      <w:r>
        <w:rPr>
          <w:rFonts w:ascii="Cascadia Mono" w:cs="Cascadia Mono" w:eastAsia="Cascadia Mono" w:hAnsi="Cascadia Mono"/>
          <w:color w:val="2B2B2B"/>
          <w:sz w:val="18"/>
          <w:szCs w:val="18"/>
        </w:rPr>
        <w:t xml:space="preserve">store-mod</w:t>
      </w:r>
      <w:r>
        <w:t xml:space="preserve"> group.</w:t>
      </w:r>
    </w:p>
    <w:p>
      <w:pPr>
        <w:pStyle w:val="Heading4"/>
        <w:spacing w:after="100" w:before="220"/>
      </w:pPr>
      <w:r>
        <w:rPr>
          <w:rFonts w:ascii="Aptos" w:cs="Aptos" w:eastAsia="Aptos" w:hAnsi="Aptos"/>
          <w:b/>
          <w:bCs/>
          <w:color w:val="0B111E"/>
          <w:sz w:val="20"/>
          <w:szCs w:val="20"/>
        </w:rPr>
        <w:t xml:space="preserve">Recall Response — APEX-RC-RCL-05</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A Class II FDA recall drops at 11:43 AM for an infant formula lot. Two lots are affected. The chain has 412 stores carrying the product; the question is which specific stores hold specific cases, which specific customers (via loyalty card) purchased them in the last 21 days, and how fast outbound communication can go out the door. Regulators expect a written containment plan within hours.</w:t>
      </w:r>
    </w:p>
    <w:p>
      <w:pPr>
        <w:spacing w:after="140"/>
      </w:pPr>
      <w:r>
        <w:t xml:space="preserve">RCL-05 is the most coordinated orchestration in the RC catalog. </w:t>
      </w:r>
      <w:r>
        <w:rPr>
          <w:rFonts w:ascii="Cascadia Mono" w:cs="Cascadia Mono" w:eastAsia="Cascadia Mono" w:hAnsi="Cascadia Mono"/>
          <w:color w:val="2B2B2B"/>
          <w:sz w:val="18"/>
          <w:szCs w:val="18"/>
        </w:rPr>
        <w:t xml:space="preserve">SCM-A01</w:t>
      </w:r>
      <w:r>
        <w:t xml:space="preserve"> and </w:t>
      </w:r>
      <w:r>
        <w:rPr>
          <w:rFonts w:ascii="Cascadia Mono" w:cs="Cascadia Mono" w:eastAsia="Cascadia Mono" w:hAnsi="Cascadia Mono"/>
          <w:color w:val="2B2B2B"/>
          <w:sz w:val="18"/>
          <w:szCs w:val="18"/>
        </w:rPr>
        <w:t xml:space="preserve">SCM-A02</w:t>
      </w:r>
      <w:r>
        <w:t xml:space="preserve"> do the forward trace — recall notice to specific lots to specific store receipts to specific transactions. </w:t>
      </w:r>
      <w:r>
        <w:rPr>
          <w:rFonts w:ascii="Cascadia Mono" w:cs="Cascadia Mono" w:eastAsia="Cascadia Mono" w:hAnsi="Cascadia Mono"/>
          <w:color w:val="2B2B2B"/>
          <w:sz w:val="18"/>
          <w:szCs w:val="18"/>
        </w:rPr>
        <w:t xml:space="preserve">MER-A11 Case File Builder</w:t>
      </w:r>
      <w:r>
        <w:t xml:space="preserve"> assembles the case: affected store-SKU pairs, affected customers by tokenised loyalty ID, affected transaction window. </w:t>
      </w:r>
      <w:r>
        <w:rPr>
          <w:rFonts w:ascii="Cascadia Mono" w:cs="Cascadia Mono" w:eastAsia="Cascadia Mono" w:hAnsi="Cascadia Mono"/>
          <w:color w:val="2B2B2B"/>
          <w:sz w:val="18"/>
          <w:szCs w:val="18"/>
        </w:rPr>
        <w:t xml:space="preserve">MER-A12 Cross-Store Correlator</w:t>
      </w:r>
      <w:r>
        <w:t xml:space="preserve"> checks whether the same lot was shipped to other divisions (critical for multi-banner retailers). </w:t>
      </w:r>
      <w:r>
        <w:rPr>
          <w:rFonts w:ascii="Cascadia Mono" w:cs="Cascadia Mono" w:eastAsia="Cascadia Mono" w:hAnsi="Cascadia Mono"/>
          <w:color w:val="2B2B2B"/>
          <w:sz w:val="18"/>
          <w:szCs w:val="18"/>
        </w:rPr>
        <w:t xml:space="preserve">CX-A01 Outbound Communication Agent</w:t>
      </w:r>
      <w:r>
        <w:t xml:space="preserve"> drafts the customer outreach — tokenised contact lists, respecting consent flags, in multiple channels. Because this is ESCALATION, it routes to a cross-functional owner — Legal owns the regulatory filing, Compliance owns the FDA communications, Comms owns press, and Store Ops runs the recovery. Every action is audit-logged to Silver with 21 CFR Part 11-ready evidence.</w:t>
      </w:r>
    </w:p>
    <w:p>
      <w:pPr>
        <w:spacing w:after="140"/>
      </w:pPr>
      <w:r>
        <w:t xml:space="preserve">KPI impact: </w:t>
      </w:r>
      <w:r>
        <w:rPr>
          <w:rFonts w:ascii="Cascadia Mono" w:cs="Cascadia Mono" w:eastAsia="Cascadia Mono" w:hAnsi="Cascadia Mono"/>
          <w:color w:val="2B2B2B"/>
          <w:sz w:val="18"/>
          <w:szCs w:val="18"/>
        </w:rPr>
        <w:t xml:space="preserve">affected_customers_contacted_pct ≥ 98%</w:t>
      </w:r>
      <w:r>
        <w:t xml:space="preserve"> · </w:t>
      </w:r>
      <w:r>
        <w:rPr>
          <w:rFonts w:ascii="Cascadia Mono" w:cs="Cascadia Mono" w:eastAsia="Cascadia Mono" w:hAnsi="Cascadia Mono"/>
          <w:color w:val="2B2B2B"/>
          <w:sz w:val="18"/>
          <w:szCs w:val="18"/>
        </w:rPr>
        <w:t xml:space="preserve">time_to_contain_hours ≤ 4</w:t>
      </w:r>
      <w:r>
        <w:t xml:space="preserve"> · </w:t>
      </w:r>
      <w:r>
        <w:rPr>
          <w:rFonts w:ascii="Cascadia Mono" w:cs="Cascadia Mono" w:eastAsia="Cascadia Mono" w:hAnsi="Cascadia Mono"/>
          <w:color w:val="2B2B2B"/>
          <w:sz w:val="18"/>
          <w:szCs w:val="18"/>
        </w:rPr>
        <w:t xml:space="preserve">regulatory_reporting_complete_hours ≤ 24</w:t>
      </w:r>
      <w:r>
        <w:t xml:space="preserve">. SLOs: detection p95 ≤ 300s · decision p95 ≤ 20 min · FPR ≤ 0.5% · availability 99.9%. Artifacts: SCML.RECALL_NOTICE/LOT_TRACE + CXML.LOYALTY_STATE. Prereqs: FDA recall feed + Manhattan WMS + POS + F32 + </w:t>
      </w:r>
      <w:r>
        <w:rPr>
          <w:rFonts w:ascii="Cascadia Mono" w:cs="Cascadia Mono" w:eastAsia="Cascadia Mono" w:hAnsi="Cascadia Mono"/>
          <w:color w:val="2B2B2B"/>
          <w:sz w:val="18"/>
          <w:szCs w:val="18"/>
        </w:rPr>
        <w:t xml:space="preserve">compliance-officer</w:t>
      </w:r>
      <w:r>
        <w:t xml:space="preserve"> group.</w:t>
      </w:r>
    </w:p>
    <w:p>
      <w:pPr>
        <w:pStyle w:val="Heading4"/>
        <w:spacing w:after="100" w:before="220"/>
      </w:pPr>
      <w:r>
        <w:rPr>
          <w:rFonts w:ascii="Aptos" w:cs="Aptos" w:eastAsia="Aptos" w:hAnsi="Aptos"/>
          <w:b/>
          <w:bCs/>
          <w:color w:val="0B111E"/>
          <w:sz w:val="20"/>
          <w:szCs w:val="20"/>
        </w:rPr>
        <w:t xml:space="preserve">BOPIS Exception Handling — APEX-RC-BPX-06</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 customer placed a BOPIS order at 12:15; pickup window 13:00-13:30. The picker starts the order at 12:32; halfway through, the third SKU — organic baby spinach — is not on the shelf. Historically this means the picker phones a store associate, who walks the department, who reports back, who phones the customer, who decides; the order is late, the customer is unhappy, and the loyalty metric takes a visible hit.</w:t>
      </w:r>
    </w:p>
    <w:p>
      <w:pPr>
        <w:spacing w:after="140"/>
      </w:pPr>
      <w:r>
        <w:t xml:space="preserve">BPX-06 does the coordination in seconds. </w:t>
      </w:r>
      <w:r>
        <w:rPr>
          <w:rFonts w:ascii="Cascadia Mono" w:cs="Cascadia Mono" w:eastAsia="Cascadia Mono" w:hAnsi="Cascadia Mono"/>
          <w:color w:val="2B2B2B"/>
          <w:sz w:val="18"/>
          <w:szCs w:val="18"/>
        </w:rPr>
        <w:t xml:space="preserve">CX-A03 Pick Exception Classifier</w:t>
      </w:r>
      <w:r>
        <w:t xml:space="preserve"> determines the item is genuinely OOS (not misshelved). </w:t>
      </w:r>
      <w:r>
        <w:rPr>
          <w:rFonts w:ascii="Cascadia Mono" w:cs="Cascadia Mono" w:eastAsia="Cascadia Mono" w:hAnsi="Cascadia Mono"/>
          <w:color w:val="2B2B2B"/>
          <w:sz w:val="18"/>
          <w:szCs w:val="18"/>
        </w:rPr>
        <w:t xml:space="preserve">CX-A04 Substitution Candidate Scorer</w:t>
      </w:r>
      <w:r>
        <w:t xml:space="preserve"> ranks alternate SKUs by historical acceptance rate for this customer segment: branded baby spinach 78% likely to accept, bagged general spinach 32%. The HITL card is sent to the customer as an SMS with a Teams/Power Automate-delivered choice: accept the first substitute, accept the second, or decline; a 47-second response means the picker substitutes and keeps going. The full order is still ready by 13:15.</w:t>
      </w:r>
    </w:p>
    <w:p>
      <w:pPr>
        <w:spacing w:after="140"/>
      </w:pPr>
      <w:r>
        <w:t xml:space="preserve">KPI impact: </w:t>
      </w:r>
      <w:r>
        <w:rPr>
          <w:rFonts w:ascii="Cascadia Mono" w:cs="Cascadia Mono" w:eastAsia="Cascadia Mono" w:hAnsi="Cascadia Mono"/>
          <w:color w:val="2B2B2B"/>
          <w:sz w:val="18"/>
          <w:szCs w:val="18"/>
        </w:rPr>
        <w:t xml:space="preserve">substitution_acceptance_pct ≥ 70%</w:t>
      </w:r>
      <w:r>
        <w:t xml:space="preserve"> · </w:t>
      </w:r>
      <w:r>
        <w:rPr>
          <w:rFonts w:ascii="Cascadia Mono" w:cs="Cascadia Mono" w:eastAsia="Cascadia Mono" w:hAnsi="Cascadia Mono"/>
          <w:color w:val="2B2B2B"/>
          <w:sz w:val="18"/>
          <w:szCs w:val="18"/>
        </w:rPr>
        <w:t xml:space="preserve">order_cancel_pct ≤ 8%</w:t>
      </w:r>
      <w:r>
        <w:t xml:space="preserve"> · </w:t>
      </w:r>
      <w:r>
        <w:rPr>
          <w:rFonts w:ascii="Cascadia Mono" w:cs="Cascadia Mono" w:eastAsia="Cascadia Mono" w:hAnsi="Cascadia Mono"/>
          <w:color w:val="2B2B2B"/>
          <w:sz w:val="18"/>
          <w:szCs w:val="18"/>
        </w:rPr>
        <w:t xml:space="preserve">customer_response_sec ≤ 120</w:t>
      </w:r>
      <w:r>
        <w:t xml:space="preserve">. Artifacts: CXML.FULFILLMENT_ORDER/PICK_EXCEPTION/SUBSTITUTION_EVENT. Prereqs: OMS + POS + F16 + </w:t>
      </w:r>
      <w:r>
        <w:rPr>
          <w:rFonts w:ascii="Cascadia Mono" w:cs="Cascadia Mono" w:eastAsia="Cascadia Mono" w:hAnsi="Cascadia Mono"/>
          <w:color w:val="2B2B2B"/>
          <w:sz w:val="18"/>
          <w:szCs w:val="18"/>
        </w:rPr>
        <w:t xml:space="preserve">customer-care-agent</w:t>
      </w:r>
      <w:r>
        <w:t xml:space="preserve"> group.</w:t>
      </w:r>
    </w:p>
    <w:p>
      <w:pPr>
        <w:pStyle w:val="Heading4"/>
        <w:spacing w:after="100" w:before="220"/>
      </w:pPr>
      <w:r>
        <w:rPr>
          <w:rFonts w:ascii="Aptos" w:cs="Aptos" w:eastAsia="Aptos" w:hAnsi="Aptos"/>
          <w:b/>
          <w:bCs/>
          <w:color w:val="0B111E"/>
          <w:sz w:val="20"/>
          <w:szCs w:val="20"/>
        </w:rPr>
        <w:t xml:space="preserve">Shrink &amp; Void Anomaly — APEX-RC-SHK-07</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Shrink is the slowest-moving crime in retail. A cashier at Register 7 is voiding spirits at 4.2× the baseline rate for their shift; their voids cluster in the ten minutes after 21:00 on Shift 2; the cycle-count variance for spirits was -$624 last month; the CCTV timestamps show them interacting with a known associate on the aisle side of the register during void events. Each individual signal is ambiguous. The combination is 4.2-sigma and a 96% correlation confidence.</w:t>
      </w:r>
    </w:p>
    <w:p>
      <w:pPr>
        <w:spacing w:after="140"/>
      </w:pPr>
      <w:r>
        <w:t xml:space="preserve">SHK-07 is APEX's most sensitive orchestration — it flags internal shrink with potential HR consequences. </w:t>
      </w:r>
      <w:r>
        <w:rPr>
          <w:rFonts w:ascii="Cascadia Mono" w:cs="Cascadia Mono" w:eastAsia="Cascadia Mono" w:hAnsi="Cascadia Mono"/>
          <w:color w:val="2B2B2B"/>
          <w:sz w:val="18"/>
          <w:szCs w:val="18"/>
        </w:rPr>
        <w:t xml:space="preserve">MER-A10 Void Pattern Detector</w:t>
      </w:r>
      <w:r>
        <w:t xml:space="preserve"> identifies the void anomaly against a 30-day baseline. </w:t>
      </w:r>
      <w:r>
        <w:rPr>
          <w:rFonts w:ascii="Cascadia Mono" w:cs="Cascadia Mono" w:eastAsia="Cascadia Mono" w:hAnsi="Cascadia Mono"/>
          <w:color w:val="2B2B2B"/>
          <w:sz w:val="18"/>
          <w:szCs w:val="18"/>
        </w:rPr>
        <w:t xml:space="preserve">MER-A11 Correlation Agent</w:t>
      </w:r>
      <w:r>
        <w:t xml:space="preserve"> fuses POS voids, cycle-count variances, and CCTV timestamp indices (CCTV footage itself is not stored in Fabric; only timestamp references that Loss Prevention can manually retrieve if they decide the case warrants it). </w:t>
      </w:r>
      <w:r>
        <w:rPr>
          <w:rFonts w:ascii="Cascadia Mono" w:cs="Cascadia Mono" w:eastAsia="Cascadia Mono" w:hAnsi="Cascadia Mono"/>
          <w:color w:val="2B2B2B"/>
          <w:sz w:val="18"/>
          <w:szCs w:val="18"/>
        </w:rPr>
        <w:t xml:space="preserve">MER-A12 Case File Builder</w:t>
      </w:r>
      <w:r>
        <w:t xml:space="preserve"> (reasoning-tier) stitches timeline, voids, cycle counts, and CCTV references into an evidence bundle. The ESCALATION gate routes to Loss Prevention, not to the store — Store MOD and the shift supervisor are not told at this stage. False-accusation discipline: the case file contains evidence, not conclusions; HR receives it for their own adjudication.</w:t>
      </w:r>
    </w:p>
    <w:p>
      <w:pPr>
        <w:spacing w:after="140"/>
      </w:pPr>
      <w:r>
        <w:t xml:space="preserve">KPI impact: </w:t>
      </w:r>
      <w:r>
        <w:rPr>
          <w:rFonts w:ascii="Cascadia Mono" w:cs="Cascadia Mono" w:eastAsia="Cascadia Mono" w:hAnsi="Cascadia Mono"/>
          <w:color w:val="2B2B2B"/>
          <w:sz w:val="18"/>
          <w:szCs w:val="18"/>
        </w:rPr>
        <w:t xml:space="preserve">shrink_events_evidence_sealed_pct ≥ 85%</w:t>
      </w:r>
      <w:r>
        <w:t xml:space="preserve"> · </w:t>
      </w:r>
      <w:r>
        <w:rPr>
          <w:rFonts w:ascii="Cascadia Mono" w:cs="Cascadia Mono" w:eastAsia="Cascadia Mono" w:hAnsi="Cascadia Mono"/>
          <w:color w:val="2B2B2B"/>
          <w:sz w:val="18"/>
          <w:szCs w:val="18"/>
        </w:rPr>
        <w:t xml:space="preserve">false_accusation_rate_pct ≤ 1%</w:t>
      </w:r>
      <w:r>
        <w:t xml:space="preserve"> · </w:t>
      </w:r>
      <w:r>
        <w:rPr>
          <w:rFonts w:ascii="Cascadia Mono" w:cs="Cascadia Mono" w:eastAsia="Cascadia Mono" w:hAnsi="Cascadia Mono"/>
          <w:color w:val="2B2B2B"/>
          <w:sz w:val="18"/>
          <w:szCs w:val="18"/>
        </w:rPr>
        <w:t xml:space="preserve">time_to_case_file_hours ≤ 24</w:t>
      </w:r>
      <w:r>
        <w:t xml:space="preserve">. Artifacts: MERML.POS_VOID/SHRINK_EVENT/CYCLE_COUNT_VARIANCE. Prereqs: POS + CCTV metadata + cycle-count export + F32 + </w:t>
      </w:r>
      <w:r>
        <w:rPr>
          <w:rFonts w:ascii="Cascadia Mono" w:cs="Cascadia Mono" w:eastAsia="Cascadia Mono" w:hAnsi="Cascadia Mono"/>
          <w:color w:val="2B2B2B"/>
          <w:sz w:val="18"/>
          <w:szCs w:val="18"/>
        </w:rPr>
        <w:t xml:space="preserve">loss-prevention-lead</w:t>
      </w:r>
      <w:r>
        <w:t xml:space="preserve"> group.</w:t>
      </w:r>
    </w:p>
    <w:p>
      <w:pPr>
        <w:pStyle w:val="Heading4"/>
        <w:spacing w:after="100" w:before="220"/>
      </w:pPr>
      <w:r>
        <w:rPr>
          <w:rFonts w:ascii="Aptos" w:cs="Aptos" w:eastAsia="Aptos" w:hAnsi="Aptos"/>
          <w:b/>
          <w:bCs/>
          <w:color w:val="0B111E"/>
          <w:sz w:val="20"/>
          <w:szCs w:val="20"/>
        </w:rPr>
        <w:t xml:space="preserve">Customer Incident Triage — APEX-RC-CXI-08</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 (→ ESCALATION for Tier-1)</w:t>
      </w:r>
    </w:p>
    <w:p>
      <w:pPr>
        <w:spacing w:after="140"/>
      </w:pPr>
      <w:r>
        <w:t xml:space="preserve">A customer walks into a store at 14:32 with a muffin containing a plastic fragment. She has a photograph; she has the packaging; she remembers the lot code stamped on the wrapper. She is upset. The bakery team is apologetic but not equipped to investigate. Historically this incident sits in a spreadsheet until someone reads it a week later — and by then the same lot has sold at four other stores.</w:t>
      </w:r>
    </w:p>
    <w:p>
      <w:pPr>
        <w:spacing w:after="140"/>
      </w:pPr>
      <w:r>
        <w:t xml:space="preserve">CXI-08 treats the incident as time-sensitive. </w:t>
      </w:r>
      <w:r>
        <w:rPr>
          <w:rFonts w:ascii="Cascadia Mono" w:cs="Cascadia Mono" w:eastAsia="Cascadia Mono" w:hAnsi="Cascadia Mono"/>
          <w:color w:val="2B2B2B"/>
          <w:sz w:val="18"/>
          <w:szCs w:val="18"/>
        </w:rPr>
        <w:t xml:space="preserve">CX-A01 Incident Intake Agent</w:t>
      </w:r>
      <w:r>
        <w:t xml:space="preserve"> captures the report, OCR-extracts the lot code from the photograph, and triages it against the Tier-1/Tier-2/Tier-3 severity matrix (plastic fragment in bakery = Tier-2). </w:t>
      </w:r>
      <w:r>
        <w:rPr>
          <w:rFonts w:ascii="Cascadia Mono" w:cs="Cascadia Mono" w:eastAsia="Cascadia Mono" w:hAnsi="Cascadia Mono"/>
          <w:color w:val="2B2B2B"/>
          <w:sz w:val="18"/>
          <w:szCs w:val="18"/>
        </w:rPr>
        <w:t xml:space="preserve">SCM-A02 Lot Trace Agent</w:t>
      </w:r>
      <w:r>
        <w:t xml:space="preserve"> queries the lot master and finds four other stores received shipments from the same lot in the last 14 days. </w:t>
      </w:r>
      <w:r>
        <w:rPr>
          <w:rFonts w:ascii="Cascadia Mono" w:cs="Cascadia Mono" w:eastAsia="Cascadia Mono" w:hAnsi="Cascadia Mono"/>
          <w:color w:val="2B2B2B"/>
          <w:sz w:val="18"/>
          <w:szCs w:val="18"/>
        </w:rPr>
        <w:t xml:space="preserve">CX-A02 Cross-Store Correlator</w:t>
      </w:r>
      <w:r>
        <w:t xml:space="preserve"> checks whether any of those stores has a similar recent complaint. If cross-store matches exist (they do, in this story: three other stores), the incident is immediately escalated to Compliance as a potential Tier-1 regulatory event. The customer at the bakery is served at the service desk with an immediate recovery offer (within minutes of the walk-in), while the back-office orchestration is preparing the regulatory filing and the multi-store containment.</w:t>
      </w:r>
    </w:p>
    <w:p>
      <w:pPr>
        <w:spacing w:after="140"/>
      </w:pPr>
      <w:r>
        <w:t xml:space="preserve">KPI impact: </w:t>
      </w:r>
      <w:r>
        <w:rPr>
          <w:rFonts w:ascii="Cascadia Mono" w:cs="Cascadia Mono" w:eastAsia="Cascadia Mono" w:hAnsi="Cascadia Mono"/>
          <w:color w:val="2B2B2B"/>
          <w:sz w:val="18"/>
          <w:szCs w:val="18"/>
        </w:rPr>
        <w:t xml:space="preserve">tier1_response_min ≤ 15</w:t>
      </w:r>
      <w:r>
        <w:t xml:space="preserve"> · </w:t>
      </w:r>
      <w:r>
        <w:rPr>
          <w:rFonts w:ascii="Cascadia Mono" w:cs="Cascadia Mono" w:eastAsia="Cascadia Mono" w:hAnsi="Cascadia Mono"/>
          <w:color w:val="2B2B2B"/>
          <w:sz w:val="18"/>
          <w:szCs w:val="18"/>
        </w:rPr>
        <w:t xml:space="preserve">cross_store_correlation_caught_pct ≥ 95%</w:t>
      </w:r>
      <w:r>
        <w:t xml:space="preserve"> · </w:t>
      </w:r>
      <w:r>
        <w:rPr>
          <w:rFonts w:ascii="Cascadia Mono" w:cs="Cascadia Mono" w:eastAsia="Cascadia Mono" w:hAnsi="Cascadia Mono"/>
          <w:color w:val="2B2B2B"/>
          <w:sz w:val="18"/>
          <w:szCs w:val="18"/>
        </w:rPr>
        <w:t xml:space="preserve">regulatory_escalation_accuracy_pct ≥ 99%</w:t>
      </w:r>
      <w:r>
        <w:t xml:space="preserve">. Artifacts: CXML.CUSTOMER_INCIDENT + SCML.LOT_TRACE + CXML.LOYALTY_STATE. Prereqs: incident portal + POS + CCTV metadata + F16 + </w:t>
      </w:r>
      <w:r>
        <w:rPr>
          <w:rFonts w:ascii="Cascadia Mono" w:cs="Cascadia Mono" w:eastAsia="Cascadia Mono" w:hAnsi="Cascadia Mono"/>
          <w:color w:val="2B2B2B"/>
          <w:sz w:val="18"/>
          <w:szCs w:val="18"/>
        </w:rPr>
        <w:t xml:space="preserve">customer-care-agent</w:t>
      </w:r>
      <w:r>
        <w:t xml:space="preserve"> group.</w:t>
      </w:r>
    </w:p>
    <w:p>
      <w:pPr>
        <w:pStyle w:val="Heading4"/>
        <w:spacing w:after="100" w:before="220"/>
      </w:pPr>
      <w:r>
        <w:rPr>
          <w:rFonts w:ascii="Aptos" w:cs="Aptos" w:eastAsia="Aptos" w:hAnsi="Aptos"/>
          <w:b/>
          <w:bCs/>
          <w:color w:val="0B111E"/>
          <w:sz w:val="20"/>
          <w:szCs w:val="20"/>
        </w:rPr>
        <w:t xml:space="preserve">Product End-to-End Tracking — APEX-RC-E2E-09</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ACK_ONLY (read-path) · HITL when traces surface remediation actions</w:t>
      </w:r>
    </w:p>
    <w:p>
      <w:pPr>
        <w:spacing w:after="140"/>
      </w:pPr>
      <w:r>
        <w:t xml:space="preserve">Every other RC service produces decisions about a product at one point in its journey — receipt, shelf, register, customer hand. </w:t>
      </w:r>
      <w:r>
        <w:rPr>
          <w:rFonts w:ascii="Cascadia Mono" w:cs="Cascadia Mono" w:eastAsia="Cascadia Mono" w:hAnsi="Cascadia Mono"/>
          <w:color w:val="2B2B2B"/>
          <w:sz w:val="18"/>
          <w:szCs w:val="18"/>
        </w:rPr>
        <w:t xml:space="preserve">APEX-RC-E2E-09</w:t>
      </w:r>
      <w:r>
        <w:t xml:space="preserve"> is the service that stitches the whole journey into a single queryable timeline: supplier purchase order, advance ship notice, DC handling, inbound receipt, lot-level inventory assignment, store shelf placement, POS ring, loyalty customer attribution, return, or disposal. It is the product's biography, queryable from any direction in seconds.</w:t>
      </w:r>
    </w:p>
    <w:p>
      <w:pPr>
        <w:spacing w:after="140"/>
      </w:pPr>
      <w:r>
        <w:t xml:space="preserve">Without E2E tracking, a recall, a customer incident, or a shrink investigation sets off a week of manual correlation work across five systems. With it, the same question — </w:t>
      </w:r>
      <w:r>
        <w:rPr>
          <w:i/>
          <w:iCs/>
        </w:rPr>
        <w:t xml:space="preserve">"every customer who bought any unit from recalled lot L24-A718X across all stores in the last 21 days"</w:t>
      </w:r>
      <w:r>
        <w:t xml:space="preserve"> — returns in under 15 seconds as a tokenised, consent-filtered, auditable result set.</w:t>
      </w:r>
    </w:p>
    <w:p>
      <w:pPr>
        <w:spacing w:after="140"/>
      </w:pPr>
      <w:r>
        <w:t xml:space="preserve">The service is primarily a </w:t>
      </w:r>
      <w:r>
        <w:rPr>
          <w:b/>
          <w:bCs/>
        </w:rPr>
        <w:t xml:space="preserve">read-path capability</w:t>
      </w:r>
      <w:r>
        <w:t xml:space="preserve"> — it doesn't make decisions, it answers questions. Decisions that follow traces (initiate a recall outreach, stage a dispute, open a shrink case) are made by the downstream services (RCL-05, RVD-02, SHK-07, CXI-08) the trace feeds into.</w:t>
      </w:r>
    </w:p>
    <w:p>
      <w:pPr>
        <w:spacing w:after="140"/>
      </w:pPr>
      <w:r>
        <w:t xml:space="preserve">KPI impact: </w:t>
      </w:r>
      <w:r>
        <w:rPr>
          <w:rFonts w:ascii="Cascadia Mono" w:cs="Cascadia Mono" w:eastAsia="Cascadia Mono" w:hAnsi="Cascadia Mono"/>
          <w:color w:val="2B2B2B"/>
          <w:sz w:val="18"/>
          <w:szCs w:val="18"/>
        </w:rPr>
        <w:t xml:space="preserve">trace_query_p95_sec ≤ 15</w:t>
      </w:r>
      <w:r>
        <w:t xml:space="preserve"> · </w:t>
      </w:r>
      <w:r>
        <w:rPr>
          <w:rFonts w:ascii="Cascadia Mono" w:cs="Cascadia Mono" w:eastAsia="Cascadia Mono" w:hAnsi="Cascadia Mono"/>
          <w:color w:val="2B2B2B"/>
          <w:sz w:val="18"/>
          <w:szCs w:val="18"/>
        </w:rPr>
        <w:t xml:space="preserve">forward_trace_completeness_pct ≥ 99%</w:t>
      </w:r>
      <w:r>
        <w:t xml:space="preserve"> · </w:t>
      </w:r>
      <w:r>
        <w:rPr>
          <w:rFonts w:ascii="Cascadia Mono" w:cs="Cascadia Mono" w:eastAsia="Cascadia Mono" w:hAnsi="Cascadia Mono"/>
          <w:color w:val="2B2B2B"/>
          <w:sz w:val="18"/>
          <w:szCs w:val="18"/>
        </w:rPr>
        <w:t xml:space="preserve">cross_store_coverage_pct ≥ 100%</w:t>
      </w:r>
      <w:r>
        <w:t xml:space="preserve"> · </w:t>
      </w:r>
      <w:r>
        <w:rPr>
          <w:rFonts w:ascii="Cascadia Mono" w:cs="Cascadia Mono" w:eastAsia="Cascadia Mono" w:hAnsi="Cascadia Mono"/>
          <w:color w:val="2B2B2B"/>
          <w:sz w:val="18"/>
          <w:szCs w:val="18"/>
        </w:rPr>
        <w:t xml:space="preserve">recall_answer_time_hours ≤ 2</w:t>
      </w:r>
      <w:r>
        <w:t xml:space="preserve"> (baseline 40–80 h manual). Artifacts: SCML.ASN/STORE_RECEIVING_EVENT/LOT_TRACE + MERML.STORE_INVENTORY_POSITION + CXML.FULFILLMENT_ORDER/LOYALTY_STATE/CUSTOMER_INCIDENT + the new cross-schema joined view </w:t>
      </w:r>
      <w:r>
        <w:rPr>
          <w:rFonts w:ascii="Cascadia Mono" w:cs="Cascadia Mono" w:eastAsia="Cascadia Mono" w:hAnsi="Cascadia Mono"/>
          <w:color w:val="2B2B2B"/>
          <w:sz w:val="18"/>
          <w:szCs w:val="18"/>
        </w:rPr>
        <w:t xml:space="preserve">gold_product_timeline_v1</w:t>
      </w:r>
      <w:r>
        <w:t xml:space="preserve">; agents TRACE-A01 Forward Trace Composer, TRACE-A02 Backward Trace Composer, TRACE-A03 Lateral Trace Composer; tools </w:t>
      </w:r>
      <w:r>
        <w:rPr>
          <w:rFonts w:ascii="Cascadia Mono" w:cs="Cascadia Mono" w:eastAsia="Cascadia Mono" w:hAnsi="Cascadia Mono"/>
          <w:color w:val="2B2B2B"/>
          <w:sz w:val="18"/>
          <w:szCs w:val="18"/>
        </w:rPr>
        <w:t xml:space="preserve">fabric-mcp.trace_forward</w:t>
      </w:r>
      <w:r>
        <w:t xml:space="preserve">, </w:t>
      </w:r>
      <w:r>
        <w:rPr>
          <w:rFonts w:ascii="Cascadia Mono" w:cs="Cascadia Mono" w:eastAsia="Cascadia Mono" w:hAnsi="Cascadia Mono"/>
          <w:color w:val="2B2B2B"/>
          <w:sz w:val="18"/>
          <w:szCs w:val="18"/>
        </w:rPr>
        <w:t xml:space="preserve">fabric-mcp.trace_backward</w:t>
      </w:r>
      <w:r>
        <w:t xml:space="preserve">, </w:t>
      </w:r>
      <w:r>
        <w:rPr>
          <w:rFonts w:ascii="Cascadia Mono" w:cs="Cascadia Mono" w:eastAsia="Cascadia Mono" w:hAnsi="Cascadia Mono"/>
          <w:color w:val="2B2B2B"/>
          <w:sz w:val="18"/>
          <w:szCs w:val="18"/>
        </w:rPr>
        <w:t xml:space="preserve">fabric-mcp.trace_lateral</w:t>
      </w:r>
      <w:r>
        <w:t xml:space="preserve">, </w:t>
      </w:r>
      <w:r>
        <w:rPr>
          <w:rFonts w:ascii="Cascadia Mono" w:cs="Cascadia Mono" w:eastAsia="Cascadia Mono" w:hAnsi="Cascadia Mono"/>
          <w:color w:val="2B2B2B"/>
          <w:sz w:val="18"/>
          <w:szCs w:val="18"/>
        </w:rPr>
        <w:t xml:space="preserve">fabric-mcp.trace_point_in_time</w:t>
      </w:r>
      <w:r>
        <w:t xml:space="preserve">; orchestration ORCH-26. Prereqs: all upstream RC services either live or backfilled; F16 for the materialised timeline view; </w:t>
      </w:r>
      <w:r>
        <w:rPr>
          <w:rFonts w:ascii="Cascadia Mono" w:cs="Cascadia Mono" w:eastAsia="Cascadia Mono" w:hAnsi="Cascadia Mono"/>
          <w:color w:val="2B2B2B"/>
          <w:sz w:val="18"/>
          <w:szCs w:val="18"/>
        </w:rPr>
        <w:t xml:space="preserve">compliance-officer</w:t>
      </w:r>
      <w:r>
        <w:t xml:space="preserve"> + </w:t>
      </w:r>
      <w:r>
        <w:rPr>
          <w:rFonts w:ascii="Cascadia Mono" w:cs="Cascadia Mono" w:eastAsia="Cascadia Mono" w:hAnsi="Cascadia Mono"/>
          <w:color w:val="2B2B2B"/>
          <w:sz w:val="18"/>
          <w:szCs w:val="18"/>
        </w:rPr>
        <w:t xml:space="preserve">loss-prevention-lead</w:t>
      </w:r>
      <w:r>
        <w:t xml:space="preserve"> + </w:t>
      </w:r>
      <w:r>
        <w:rPr>
          <w:rFonts w:ascii="Cascadia Mono" w:cs="Cascadia Mono" w:eastAsia="Cascadia Mono" w:hAnsi="Cascadia Mono"/>
          <w:color w:val="2B2B2B"/>
          <w:sz w:val="18"/>
          <w:szCs w:val="18"/>
        </w:rPr>
        <w:t xml:space="preserve">customer-care-agent</w:t>
      </w:r>
      <w:r>
        <w:t xml:space="preserve"> identity groups.</w:t>
      </w:r>
    </w:p>
    <w:p>
      <w:pPr>
        <w:pStyle w:val="Heading3"/>
        <w:spacing w:after="120" w:before="260"/>
      </w:pPr>
      <w:r>
        <w:rPr>
          <w:rFonts w:ascii="Aptos" w:cs="Aptos" w:eastAsia="Aptos" w:hAnsi="Aptos"/>
          <w:b/>
          <w:bCs/>
          <w:color w:val="0B111E"/>
          <w:sz w:val="24"/>
          <w:szCs w:val="24"/>
        </w:rPr>
        <w:t xml:space="preserve">Architecture Components (RC)</w:t>
      </w:r>
    </w:p>
    <w:p>
      <w:pPr>
        <w:pStyle w:val="Heading4"/>
        <w:spacing w:after="100" w:before="220"/>
      </w:pPr>
      <w:r>
        <w:rPr>
          <w:rFonts w:ascii="Aptos" w:cs="Aptos" w:eastAsia="Aptos" w:hAnsi="Aptos"/>
          <w:b/>
          <w:bCs/>
          <w:color w:val="0B111E"/>
          <w:sz w:val="20"/>
          <w:szCs w:val="20"/>
        </w:rPr>
        <w:t xml:space="preserve">Canonical Silver Schemas</w:t>
      </w:r>
    </w:p>
    <w:p>
      <w:pPr>
        <w:spacing w:after="140"/>
      </w:pPr>
      <w:r>
        <w:t xml:space="preserve">RC Practice uses three schema families in overlapping subsets per service: </w:t>
      </w:r>
      <w:r>
        <w:rPr>
          <w:b/>
          <w:bCs/>
        </w:rPr>
        <w:t xml:space="preserve">SCML</w:t>
      </w:r>
      <w:r>
        <w:t xml:space="preserve"> (supply-chain) for Cold Chain, Receiving, Recall, and Customer Incident services; </w:t>
      </w:r>
      <w:r>
        <w:rPr>
          <w:b/>
          <w:bCs/>
        </w:rPr>
        <w:t xml:space="preserve">MERML</w:t>
      </w:r>
      <w:r>
        <w:t xml:space="preserve"> (merchandising) for ESL, OSA, Shrink, and Variance services; </w:t>
      </w:r>
      <w:r>
        <w:rPr>
          <w:b/>
          <w:bCs/>
        </w:rPr>
        <w:t xml:space="preserve">CXML</w:t>
      </w:r>
      <w:r>
        <w:t xml:space="preserve"> (customer experience) for BOPIS, Customer Incident, and Loyalty services. See Appendix A for the entity catalog.</w:t>
      </w:r>
    </w:p>
    <w:p>
      <w:pPr>
        <w:pStyle w:val="Heading4"/>
        <w:spacing w:after="100" w:before="220"/>
      </w:pPr>
      <w:r>
        <w:rPr>
          <w:rFonts w:ascii="Aptos" w:cs="Aptos" w:eastAsia="Aptos" w:hAnsi="Aptos"/>
          <w:b/>
          <w:bCs/>
          <w:color w:val="0B111E"/>
          <w:sz w:val="20"/>
          <w:szCs w:val="20"/>
        </w:rPr>
        <w:t xml:space="preserve">Primary Systems of Record</w:t>
      </w:r>
    </w:p>
    <w:p>
      <w:pPr>
        <w:pStyle w:val="ListParagraph"/>
        <w:numPr>
          <w:ilvl w:val="0"/>
          <w:numId w:val="1"/>
        </w:numPr>
        <w:spacing w:after="60"/>
      </w:pPr>
      <w:r>
        <w:rPr>
          <w:b/>
          <w:bCs/>
        </w:rPr>
        <w:t xml:space="preserve">Monnit IoT</w:t>
      </w:r>
      <w:r>
        <w:t xml:space="preserve"> — refrigeration telemetry (primary source for CXP-01)</w:t>
      </w:r>
    </w:p>
    <w:p>
      <w:pPr>
        <w:pStyle w:val="ListParagraph"/>
        <w:numPr>
          <w:ilvl w:val="0"/>
          <w:numId w:val="1"/>
        </w:numPr>
        <w:spacing w:after="60"/>
      </w:pPr>
      <w:r>
        <w:rPr>
          <w:b/>
          <w:bCs/>
        </w:rPr>
        <w:t xml:space="preserve">Manhattan WMS</w:t>
      </w:r>
      <w:r>
        <w:t xml:space="preserve"> — warehouse &amp; store inventory (primary source for CXP-01, RVD-02, OSA-04, BPX-06)</w:t>
      </w:r>
    </w:p>
    <w:p>
      <w:pPr>
        <w:pStyle w:val="ListParagraph"/>
        <w:numPr>
          <w:ilvl w:val="0"/>
          <w:numId w:val="1"/>
        </w:numPr>
        <w:spacing w:after="60"/>
      </w:pPr>
      <w:r>
        <w:rPr>
          <w:b/>
          <w:bCs/>
        </w:rPr>
        <w:t xml:space="preserve">POS (NCR / Toshiba / Oracle Retail / etc.)</w:t>
      </w:r>
      <w:r>
        <w:t xml:space="preserve"> — ring stream (ESL-03, OSA-04, SHK-07)</w:t>
      </w:r>
    </w:p>
    <w:p>
      <w:pPr>
        <w:pStyle w:val="ListParagraph"/>
        <w:numPr>
          <w:ilvl w:val="0"/>
          <w:numId w:val="1"/>
        </w:numPr>
        <w:spacing w:after="60"/>
      </w:pPr>
      <w:r>
        <w:rPr>
          <w:b/>
          <w:bCs/>
        </w:rPr>
        <w:t xml:space="preserve">ESL Gateway (Hanshow, SES-imagotag)</w:t>
      </w:r>
      <w:r>
        <w:t xml:space="preserve"> — electronic shelf-label state (ESL-03)</w:t>
      </w:r>
    </w:p>
    <w:p>
      <w:pPr>
        <w:pStyle w:val="ListParagraph"/>
        <w:numPr>
          <w:ilvl w:val="0"/>
          <w:numId w:val="1"/>
        </w:numPr>
        <w:spacing w:after="60"/>
      </w:pPr>
      <w:r>
        <w:rPr>
          <w:b/>
          <w:bCs/>
        </w:rPr>
        <w:t xml:space="preserve">FDA Recall Feed</w:t>
      </w:r>
      <w:r>
        <w:t xml:space="preserve"> — public regulatory feed (RCL-05, CXI-08)</w:t>
      </w:r>
    </w:p>
    <w:p>
      <w:pPr>
        <w:pStyle w:val="ListParagraph"/>
        <w:numPr>
          <w:ilvl w:val="0"/>
          <w:numId w:val="1"/>
        </w:numPr>
        <w:spacing w:after="60"/>
      </w:pPr>
      <w:r>
        <w:rPr>
          <w:b/>
          <w:bCs/>
        </w:rPr>
        <w:t xml:space="preserve">Customer Incident Portal</w:t>
      </w:r>
      <w:r>
        <w:t xml:space="preserve"> — customer-side intake (CXI-08)</w:t>
      </w:r>
    </w:p>
    <w:p>
      <w:pPr>
        <w:spacing w:after="140"/>
      </w:pPr>
      <w:r>
        <w:t xml:space="preserve">Integration depth varies: Mirrored Database for Manhattan (CDC-based), Eventstream for Monnit and POS, Dataflow Gen2 for ESL and FDA.</w:t>
      </w:r>
    </w:p>
    <w:p>
      <w:pPr>
        <w:pStyle w:val="Heading4"/>
        <w:spacing w:after="100" w:before="220"/>
      </w:pPr>
      <w:r>
        <w:rPr>
          <w:rFonts w:ascii="Aptos" w:cs="Aptos" w:eastAsia="Aptos" w:hAnsi="Aptos"/>
          <w:b/>
          <w:bCs/>
          <w:color w:val="0B111E"/>
          <w:sz w:val="20"/>
          <w:szCs w:val="20"/>
        </w:rPr>
        <w:t xml:space="preserve">Fabric Capacity Planning (RC)</w:t>
      </w:r>
    </w:p>
    <w:p>
      <w:pPr>
        <w:pStyle w:val="ListParagraph"/>
        <w:numPr>
          <w:ilvl w:val="0"/>
          <w:numId w:val="1"/>
        </w:numPr>
        <w:spacing w:after="60"/>
      </w:pPr>
      <w:r>
        <w:rPr>
          <w:b/>
          <w:bCs/>
        </w:rPr>
        <w:t xml:space="preserve">F8</w:t>
      </w:r>
      <w:r>
        <w:t xml:space="preserve"> entry-level — up to 25 stores running 2-3 services</w:t>
      </w:r>
    </w:p>
    <w:p>
      <w:pPr>
        <w:pStyle w:val="ListParagraph"/>
        <w:numPr>
          <w:ilvl w:val="0"/>
          <w:numId w:val="1"/>
        </w:numPr>
        <w:spacing w:after="60"/>
      </w:pPr>
      <w:r>
        <w:rPr>
          <w:b/>
          <w:bCs/>
        </w:rPr>
        <w:t xml:space="preserve">F16</w:t>
      </w:r>
      <w:r>
        <w:t xml:space="preserve"> standard — 25-250 stores running full RC catalog</w:t>
      </w:r>
    </w:p>
    <w:p>
      <w:pPr>
        <w:pStyle w:val="ListParagraph"/>
        <w:numPr>
          <w:ilvl w:val="0"/>
          <w:numId w:val="1"/>
        </w:numPr>
        <w:spacing w:after="60"/>
      </w:pPr>
      <w:r>
        <w:rPr>
          <w:b/>
          <w:bCs/>
        </w:rPr>
        <w:t xml:space="preserve">F32</w:t>
      </w:r>
      <w:r>
        <w:t xml:space="preserve"> large-scale — 250+ stores with burst tolerance</w:t>
      </w:r>
    </w:p>
    <w:p>
      <w:pPr>
        <w:pStyle w:val="ListParagraph"/>
        <w:numPr>
          <w:ilvl w:val="0"/>
          <w:numId w:val="1"/>
        </w:numPr>
        <w:spacing w:after="60"/>
      </w:pPr>
      <w:r>
        <w:rPr>
          <w:b/>
          <w:bCs/>
        </w:rPr>
        <w:t xml:space="preserve">F64</w:t>
      </w:r>
      <w:r>
        <w:t xml:space="preserve"> enterprise — multi-banner retailers with cross-banner services</w:t>
      </w:r>
    </w:p>
    <w:p>
      <w:pPr>
        <w:pStyle w:val="Heading4"/>
        <w:spacing w:after="100" w:before="220"/>
      </w:pPr>
      <w:r>
        <w:rPr>
          <w:rFonts w:ascii="Aptos" w:cs="Aptos" w:eastAsia="Aptos" w:hAnsi="Aptos"/>
          <w:b/>
          <w:bCs/>
          <w:color w:val="0B111E"/>
          <w:sz w:val="20"/>
          <w:szCs w:val="20"/>
        </w:rPr>
        <w:t xml:space="preserve">Identity Groups</w:t>
      </w:r>
    </w:p>
    <w:p>
      <w:pPr>
        <w:spacing w:after="140"/>
      </w:pPr>
      <w:r>
        <w:t xml:space="preserve">Every RC tenant provisions these Entra ID groups, populated with the relevant employees:</w:t>
      </w:r>
    </w:p>
    <w:p>
      <w:pPr>
        <w:pStyle w:val="ListParagraph"/>
        <w:numPr>
          <w:ilvl w:val="0"/>
          <w:numId w:val="1"/>
        </w:numPr>
        <w:spacing w:after="60"/>
      </w:pPr>
      <w:r>
        <w:rPr>
          <w:rFonts w:ascii="Cascadia Mono" w:cs="Cascadia Mono" w:eastAsia="Cascadia Mono" w:hAnsi="Cascadia Mono"/>
          <w:color w:val="2B2B2B"/>
          <w:sz w:val="18"/>
          <w:szCs w:val="18"/>
        </w:rPr>
        <w:t xml:space="preserve">store-mod</w:t>
      </w:r>
      <w:r>
        <w:t xml:space="preserve"> — store managers on duty; HITL approvers for CXP-01, RVD-02, BPX-06, OSA-04</w:t>
      </w:r>
    </w:p>
    <w:p>
      <w:pPr>
        <w:pStyle w:val="ListParagraph"/>
        <w:numPr>
          <w:ilvl w:val="0"/>
          <w:numId w:val="1"/>
        </w:numPr>
        <w:spacing w:after="60"/>
      </w:pPr>
      <w:r>
        <w:rPr>
          <w:rFonts w:ascii="Cascadia Mono" w:cs="Cascadia Mono" w:eastAsia="Cascadia Mono" w:hAnsi="Cascadia Mono"/>
          <w:color w:val="2B2B2B"/>
          <w:sz w:val="18"/>
          <w:szCs w:val="18"/>
        </w:rPr>
        <w:t xml:space="preserve">regional-ops-director</w:t>
      </w:r>
      <w:r>
        <w:t xml:space="preserve"> — consumers of multi-store patterns</w:t>
      </w:r>
    </w:p>
    <w:p>
      <w:pPr>
        <w:pStyle w:val="ListParagraph"/>
        <w:numPr>
          <w:ilvl w:val="0"/>
          <w:numId w:val="1"/>
        </w:numPr>
        <w:spacing w:after="60"/>
      </w:pPr>
      <w:r>
        <w:rPr>
          <w:rFonts w:ascii="Cascadia Mono" w:cs="Cascadia Mono" w:eastAsia="Cascadia Mono" w:hAnsi="Cascadia Mono"/>
          <w:color w:val="2B2B2B"/>
          <w:sz w:val="18"/>
          <w:szCs w:val="18"/>
        </w:rPr>
        <w:t xml:space="preserve">merchandising-analyst</w:t>
      </w:r>
      <w:r>
        <w:t xml:space="preserve"> — primary for ESL-03; secondary for OSA-04</w:t>
      </w:r>
    </w:p>
    <w:p>
      <w:pPr>
        <w:pStyle w:val="ListParagraph"/>
        <w:numPr>
          <w:ilvl w:val="0"/>
          <w:numId w:val="1"/>
        </w:numPr>
        <w:spacing w:after="60"/>
      </w:pPr>
      <w:r>
        <w:rPr>
          <w:rFonts w:ascii="Cascadia Mono" w:cs="Cascadia Mono" w:eastAsia="Cascadia Mono" w:hAnsi="Cascadia Mono"/>
          <w:color w:val="2B2B2B"/>
          <w:sz w:val="18"/>
          <w:szCs w:val="18"/>
        </w:rPr>
        <w:t xml:space="preserve">loss-prevention-lead</w:t>
      </w:r>
      <w:r>
        <w:t xml:space="preserve"> — primary for SHK-07</w:t>
      </w:r>
    </w:p>
    <w:p>
      <w:pPr>
        <w:pStyle w:val="ListParagraph"/>
        <w:numPr>
          <w:ilvl w:val="0"/>
          <w:numId w:val="1"/>
        </w:numPr>
        <w:spacing w:after="60"/>
      </w:pPr>
      <w:r>
        <w:rPr>
          <w:rFonts w:ascii="Cascadia Mono" w:cs="Cascadia Mono" w:eastAsia="Cascadia Mono" w:hAnsi="Cascadia Mono"/>
          <w:color w:val="2B2B2B"/>
          <w:sz w:val="18"/>
          <w:szCs w:val="18"/>
        </w:rPr>
        <w:t xml:space="preserve">customer-care-agent</w:t>
      </w:r>
      <w:r>
        <w:t xml:space="preserve"> — primary for BPX-06, CXI-08</w:t>
      </w:r>
    </w:p>
    <w:p>
      <w:pPr>
        <w:pStyle w:val="ListParagraph"/>
        <w:numPr>
          <w:ilvl w:val="0"/>
          <w:numId w:val="1"/>
        </w:numPr>
        <w:spacing w:after="60"/>
      </w:pPr>
      <w:r>
        <w:rPr>
          <w:rFonts w:ascii="Cascadia Mono" w:cs="Cascadia Mono" w:eastAsia="Cascadia Mono" w:hAnsi="Cascadia Mono"/>
          <w:color w:val="2B2B2B"/>
          <w:sz w:val="18"/>
          <w:szCs w:val="18"/>
        </w:rPr>
        <w:t xml:space="preserve">compliance-officer</w:t>
      </w:r>
      <w:r>
        <w:t xml:space="preserve"> — primary for RCL-05; secondary for SHK-07 and CXI-08</w:t>
      </w:r>
    </w:p>
    <w:p>
      <w:pPr>
        <w:pStyle w:val="Heading3"/>
        <w:spacing w:after="120" w:before="260"/>
      </w:pPr>
      <w:r>
        <w:rPr>
          <w:rFonts w:ascii="Aptos" w:cs="Aptos" w:eastAsia="Aptos" w:hAnsi="Aptos"/>
          <w:b/>
          <w:bCs/>
          <w:color w:val="0B111E"/>
          <w:sz w:val="24"/>
          <w:szCs w:val="24"/>
        </w:rPr>
        <w:t xml:space="preserve">ISV Ecosystem (RC)</w:t>
      </w:r>
    </w:p>
    <w:p>
      <w:pPr>
        <w:spacing w:after="140"/>
      </w:pPr>
      <w:r>
        <w:t xml:space="preserve">Beyond Microsoft-native products, RC services integrate with a small set of retail-industry ISVs. All integrations land at the Bronze boundary; none influence the Silver canonical contract.</w:t>
      </w:r>
    </w:p>
    <w:p>
      <w:pPr>
        <w:pStyle w:val="ListParagraph"/>
        <w:numPr>
          <w:ilvl w:val="0"/>
          <w:numId w:val="1"/>
        </w:numPr>
        <w:spacing w:after="60"/>
      </w:pPr>
      <w:r>
        <w:rPr>
          <w:b/>
          <w:bCs/>
        </w:rPr>
        <w:t xml:space="preserve">Manhattan Associates</w:t>
      </w:r>
      <w:r>
        <w:t xml:space="preserve"> — WMS, Order Management, Supply Chain Planning modules</w:t>
      </w:r>
    </w:p>
    <w:p>
      <w:pPr>
        <w:pStyle w:val="ListParagraph"/>
        <w:numPr>
          <w:ilvl w:val="0"/>
          <w:numId w:val="1"/>
        </w:numPr>
        <w:spacing w:after="60"/>
      </w:pPr>
      <w:r>
        <w:rPr>
          <w:b/>
          <w:bCs/>
        </w:rPr>
        <w:t xml:space="preserve">Coca-Cola / major DSD vendors</w:t>
      </w:r>
      <w:r>
        <w:t xml:space="preserve"> — reference integration patterns for direct-store-delivery and dispute workflows</w:t>
      </w:r>
    </w:p>
    <w:p>
      <w:pPr>
        <w:pStyle w:val="ListParagraph"/>
        <w:numPr>
          <w:ilvl w:val="0"/>
          <w:numId w:val="1"/>
        </w:numPr>
        <w:spacing w:after="60"/>
      </w:pPr>
      <w:r>
        <w:rPr>
          <w:b/>
          <w:bCs/>
        </w:rPr>
        <w:t xml:space="preserve">Hanshow / SES-imagotag</w:t>
      </w:r>
      <w:r>
        <w:t xml:space="preserve"> — ESL gateway vendors</w:t>
      </w:r>
    </w:p>
    <w:p>
      <w:pPr>
        <w:pStyle w:val="ListParagraph"/>
        <w:numPr>
          <w:ilvl w:val="0"/>
          <w:numId w:val="1"/>
        </w:numPr>
        <w:spacing w:after="60"/>
      </w:pPr>
      <w:r>
        <w:rPr>
          <w:b/>
          <w:bCs/>
        </w:rPr>
        <w:t xml:space="preserve">Monnit</w:t>
      </w:r>
      <w:r>
        <w:t xml:space="preserve"> — industrial IoT platform</w:t>
      </w:r>
    </w:p>
    <w:p>
      <w:pPr>
        <w:pStyle w:val="ListParagraph"/>
        <w:numPr>
          <w:ilvl w:val="0"/>
          <w:numId w:val="1"/>
        </w:numPr>
        <w:spacing w:after="60"/>
      </w:pPr>
      <w:r>
        <w:rPr>
          <w:b/>
          <w:bCs/>
        </w:rPr>
        <w:t xml:space="preserve">Honeywell / Vocollect</w:t>
      </w:r>
      <w:r>
        <w:t xml:space="preserve"> — voice-pick integration (optional, for BOPIS services)</w:t>
      </w:r>
    </w:p>
    <w:p>
      <w:pPr>
        <w:pStyle w:val="ListParagraph"/>
        <w:numPr>
          <w:ilvl w:val="0"/>
          <w:numId w:val="1"/>
        </w:numPr>
        <w:spacing w:after="60"/>
      </w:pPr>
      <w:r>
        <w:rPr>
          <w:b/>
          <w:bCs/>
        </w:rPr>
        <w:t xml:space="preserve">NCR / Toshiba</w:t>
      </w:r>
      <w:r>
        <w:t xml:space="preserve"> — POS infrastructure</w:t>
      </w:r>
    </w:p>
    <w:p>
      <w:pPr>
        <w:pStyle w:val="Heading3"/>
        <w:spacing w:after="120" w:before="260"/>
      </w:pPr>
      <w:r>
        <w:rPr>
          <w:rFonts w:ascii="Aptos" w:cs="Aptos" w:eastAsia="Aptos" w:hAnsi="Aptos"/>
          <w:b/>
          <w:bCs/>
          <w:color w:val="0B111E"/>
          <w:sz w:val="24"/>
          <w:szCs w:val="24"/>
        </w:rPr>
        <w:t xml:space="preserve">2.8 Business Case Highlights (RC)</w:t>
      </w:r>
    </w:p>
    <w:p>
      <w:pPr>
        <w:spacing w:after="140"/>
      </w:pPr>
      <w:r>
        <w:t xml:space="preserve">Typical financial case for a Wave 1 RC deployment (400-store regional grocer):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CXP-01 Cold Chain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$2.4M–$4.2M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65% of at-risk inventory saved on excursions; ~20 excursions per store per year, $1,500 average at-risk exposure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RVD-02 Receiving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$1.1M–$1.8M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70% recovery rate on receiving variances; ~$400K variance volume per 100 stores per month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ESL-03 Pricing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$600K–$1.2M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Margin protection + customer-complaint avoidance; ~2 pricing events per store per week</w:t>
            </w:r>
          </w:p>
        </w:tc>
      </w:tr>
    </w:tbl>
    <w:p>
      <w:pPr>
        <w:spacing w:after="120"/>
      </w:pPr>
      <w:r>
        <w:t xml:space="preserve"/>
      </w:r>
    </w:p>
    <w:p>
      <w:pPr>
        <w:spacing w:after="140"/>
      </w:pPr>
      <w:r>
        <w:t xml:space="preserve">Total Wave 1 annualised: </w:t>
      </w:r>
      <w:r>
        <w:rPr>
          <w:b/>
          <w:bCs/>
        </w:rPr>
        <w:t xml:space="preserve">$4–7M</w:t>
      </w:r>
      <w:r>
        <w:t xml:space="preserve"> at-scale benefit against </w:t>
      </w:r>
      <w:r>
        <w:rPr>
          <w:b/>
          <w:bCs/>
        </w:rPr>
        <w:t xml:space="preserve">$4–6M</w:t>
      </w:r>
      <w:r>
        <w:t xml:space="preserve"> investment envelope. Wave 1 typically pays back within the 12-month Wave 2 programme.</w:t>
      </w:r>
    </w:p>
    <w:p>
      <w:pPr>
        <w:spacing w:after="140"/>
      </w:pPr>
      <w:r>
        <w:t xml:space="preserve">Additional indirect benefits (not monetised in the Wave 1 case but material at board level):</w:t>
      </w:r>
    </w:p>
    <w:p>
      <w:pPr>
        <w:pStyle w:val="ListParagraph"/>
        <w:numPr>
          <w:ilvl w:val="0"/>
          <w:numId w:val="1"/>
        </w:numPr>
        <w:spacing w:after="60"/>
      </w:pPr>
      <w:r>
        <w:t xml:space="preserve">Compliance-audit reconstruction time: weeks → hours</w:t>
      </w:r>
    </w:p>
    <w:p>
      <w:pPr>
        <w:pStyle w:val="ListParagraph"/>
        <w:numPr>
          <w:ilvl w:val="0"/>
          <w:numId w:val="1"/>
        </w:numPr>
        <w:spacing w:after="60"/>
      </w:pPr>
      <w:r>
        <w:t xml:space="preserve">Employee-retention proxy (manager touch time reduction): 4-6% improvement in store-manager retention typical</w:t>
      </w:r>
    </w:p>
    <w:p>
      <w:pPr>
        <w:pStyle w:val="ListParagraph"/>
        <w:numPr>
          <w:ilvl w:val="0"/>
          <w:numId w:val="1"/>
        </w:numPr>
        <w:spacing w:after="60"/>
      </w:pPr>
      <w:r>
        <w:t xml:space="preserve">Customer experience: pricing-complaint rate reduction ~30%, BOPIS-completion-rate improvement ~5%</w:t>
      </w:r>
    </w:p>
    <w:p>
      <w:pPr>
        <w:pStyle w:val="Heading3"/>
        <w:spacing w:after="120" w:before="260"/>
      </w:pPr>
      <w:r>
        <w:rPr>
          <w:rFonts w:ascii="Aptos" w:cs="Aptos" w:eastAsia="Aptos" w:hAnsi="Aptos"/>
          <w:b/>
          <w:bCs/>
          <w:color w:val="0B111E"/>
          <w:sz w:val="24"/>
          <w:szCs w:val="24"/>
        </w:rPr>
        <w:t xml:space="preserve">2.9 Implementation Roadmap (RC)</w:t>
      </w:r>
    </w:p>
    <w:p>
      <w:pPr>
        <w:spacing w:after="140"/>
      </w:pPr>
      <w:r>
        <w:rPr>
          <w:b/>
          <w:bCs/>
        </w:rPr>
        <w:t xml:space="preserve">Wave 1 — Foundation</w:t>
      </w:r>
      <w:r>
        <w:t xml:space="preserve"> (months 1–6) · $3–5M typical</w:t>
      </w:r>
    </w:p>
    <w:p>
      <w:pPr>
        <w:pStyle w:val="ListParagraph"/>
        <w:numPr>
          <w:ilvl w:val="0"/>
          <w:numId w:val="1"/>
        </w:numPr>
        <w:spacing w:after="60"/>
      </w:pPr>
      <w:r>
        <w:t xml:space="preserve">Provision Practice + Tenant workspaces (dev/test/prod)</w:t>
      </w:r>
    </w:p>
    <w:p>
      <w:pPr>
        <w:pStyle w:val="ListParagraph"/>
        <w:numPr>
          <w:ilvl w:val="0"/>
          <w:numId w:val="1"/>
        </w:numPr>
        <w:spacing w:after="60"/>
      </w:pPr>
      <w:r>
        <w:t xml:space="preserve">Connect Monnit IoT + Manhattan WMS + POS; land Bronze</w:t>
      </w:r>
    </w:p>
    <w:p>
      <w:pPr>
        <w:pStyle w:val="ListParagraph"/>
        <w:numPr>
          <w:ilvl w:val="0"/>
          <w:numId w:val="1"/>
        </w:numPr>
        <w:spacing w:after="60"/>
      </w:pPr>
      <w:r>
        <w:t xml:space="preserve">Silver transforms for SCML + MERML core entities</w:t>
      </w:r>
    </w:p>
    <w:p>
      <w:pPr>
        <w:pStyle w:val="ListParagraph"/>
        <w:numPr>
          <w:ilvl w:val="0"/>
          <w:numId w:val="1"/>
        </w:numPr>
        <w:spacing w:after="60"/>
      </w:pPr>
      <w:r>
        <w:t xml:space="preserve">Deploy services CXP-01 and RVD-02; first HITL decisions at one pilot store</w:t>
      </w:r>
    </w:p>
    <w:p>
      <w:pPr>
        <w:pStyle w:val="ListParagraph"/>
        <w:numPr>
          <w:ilvl w:val="0"/>
          <w:numId w:val="1"/>
        </w:numPr>
        <w:spacing w:after="60"/>
      </w:pPr>
      <w:r>
        <w:t xml:space="preserve">Wave exit: 30-day track record; stakeholder approval for Wave 2</w:t>
      </w:r>
    </w:p>
    <w:p>
      <w:pPr>
        <w:spacing w:after="140"/>
      </w:pPr>
      <w:r>
        <w:rPr>
          <w:b/>
          <w:bCs/>
        </w:rPr>
        <w:t xml:space="preserve">Wave 2 — Intelligence</w:t>
      </w:r>
      <w:r>
        <w:t xml:space="preserve"> (months 7–12) · $5–8M</w:t>
      </w:r>
    </w:p>
    <w:p>
      <w:pPr>
        <w:pStyle w:val="ListParagraph"/>
        <w:numPr>
          <w:ilvl w:val="0"/>
          <w:numId w:val="1"/>
        </w:numPr>
        <w:spacing w:after="60"/>
      </w:pPr>
      <w:r>
        <w:t xml:space="preserve">Full RC catalogue (CXP, RVD, ESL, OSA, BPX, CXI) at the pilot region</w:t>
      </w:r>
    </w:p>
    <w:p>
      <w:pPr>
        <w:pStyle w:val="ListParagraph"/>
        <w:numPr>
          <w:ilvl w:val="0"/>
          <w:numId w:val="1"/>
        </w:numPr>
        <w:spacing w:after="60"/>
      </w:pPr>
      <w:r>
        <w:t xml:space="preserve">Gate-tuning on mature services (CXP-01 HITL → ACK_ONLY for non-Critical severities)</w:t>
      </w:r>
    </w:p>
    <w:p>
      <w:pPr>
        <w:pStyle w:val="ListParagraph"/>
        <w:numPr>
          <w:ilvl w:val="0"/>
          <w:numId w:val="1"/>
        </w:numPr>
        <w:spacing w:after="60"/>
      </w:pPr>
      <w:r>
        <w:t xml:space="preserve">Cross-practice observability workbook</w:t>
      </w:r>
    </w:p>
    <w:p>
      <w:pPr>
        <w:pStyle w:val="ListParagraph"/>
        <w:numPr>
          <w:ilvl w:val="0"/>
          <w:numId w:val="1"/>
        </w:numPr>
        <w:spacing w:after="60"/>
      </w:pPr>
      <w:r>
        <w:t xml:space="preserve">Wave exit: region-wide rollout; KPI trend lines on-target</w:t>
      </w:r>
    </w:p>
    <w:p>
      <w:pPr>
        <w:spacing w:after="140"/>
      </w:pPr>
      <w:r>
        <w:rPr>
          <w:b/>
          <w:bCs/>
        </w:rPr>
        <w:t xml:space="preserve">Wave 3 — Optimisation</w:t>
      </w:r>
      <w:r>
        <w:t xml:space="preserve"> (months 13–18) · $3–5M</w:t>
      </w:r>
    </w:p>
    <w:p>
      <w:pPr>
        <w:pStyle w:val="ListParagraph"/>
        <w:numPr>
          <w:ilvl w:val="0"/>
          <w:numId w:val="1"/>
        </w:numPr>
        <w:spacing w:after="60"/>
      </w:pPr>
      <w:r>
        <w:t xml:space="preserve">National rollout</w:t>
      </w:r>
    </w:p>
    <w:p>
      <w:pPr>
        <w:pStyle w:val="ListParagraph"/>
        <w:numPr>
          <w:ilvl w:val="0"/>
          <w:numId w:val="1"/>
        </w:numPr>
        <w:spacing w:after="60"/>
      </w:pPr>
      <w:r>
        <w:t xml:space="preserve">SHK-07 and RCL-05 (highest-consequence services) added</w:t>
      </w:r>
    </w:p>
    <w:p>
      <w:pPr>
        <w:pStyle w:val="ListParagraph"/>
        <w:numPr>
          <w:ilvl w:val="0"/>
          <w:numId w:val="1"/>
        </w:numPr>
        <w:spacing w:after="60"/>
      </w:pPr>
      <w:r>
        <w:t xml:space="preserve">Pilot Level-5 autonomous on OSA-04 for low-$ thresholds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2A: Implementation Deep-Dive — Product End-to-End Tracking</w:t>
      </w:r>
    </w:p>
    <w:p>
      <w:pPr>
        <w:spacing w:after="140"/>
      </w:pPr>
      <w:r>
        <w:t xml:space="preserve">This chapter is the implementation reference for </w:t>
      </w:r>
      <w:r>
        <w:rPr>
          <w:rFonts w:ascii="Cascadia Mono" w:cs="Cascadia Mono" w:eastAsia="Cascadia Mono" w:hAnsi="Cascadia Mono"/>
          <w:color w:val="2B2B2B"/>
          <w:sz w:val="18"/>
          <w:szCs w:val="18"/>
        </w:rPr>
        <w:t xml:space="preserve">APEX-RC-E2E-09 Product End-to-End Tracking</w:t>
      </w:r>
      <w:r>
        <w:t xml:space="preserve">. It is intentionally deeper than the other service entries because E2E tracking is a cross-cutting capability that every other RC service leans on, and because clients frequently ask for detailed technical evidence before they commit to the Enterprise-tier commercial envelope.</w:t>
      </w:r>
    </w:p>
    <w:p>
      <w:pPr>
        <w:spacing w:after="140"/>
      </w:pPr>
      <w:r>
        <w:t xml:space="preserve">Developers implementing the service should read this chapter alongside Companion 02 (Medallion + SOR) and Companion 03 (MCP Servers) in the </w:t>
      </w:r>
      <w:r>
        <w:rPr>
          <w:i/>
          <w:iCs/>
        </w:rPr>
        <w:t xml:space="preserve">APEX Developer Implementation Guide</w:t>
      </w:r>
      <w:r>
        <w:t xml:space="preserve">.</w:t>
      </w:r>
    </w:p>
    <w:p>
      <w:pPr>
        <w:pStyle w:val="Heading3"/>
        <w:spacing w:after="120" w:before="260"/>
      </w:pPr>
      <w:r>
        <w:rPr>
          <w:rFonts w:ascii="Aptos" w:cs="Aptos" w:eastAsia="Aptos" w:hAnsi="Aptos"/>
          <w:b/>
          <w:bCs/>
          <w:color w:val="0B111E"/>
          <w:sz w:val="24"/>
          <w:szCs w:val="24"/>
        </w:rPr>
        <w:t xml:space="preserve">2A.1 The Business Problem</w:t>
      </w:r>
    </w:p>
    <w:p>
      <w:pPr>
        <w:spacing w:after="140"/>
      </w:pPr>
      <w:r>
        <w:t xml:space="preserve">A recalled infant-formula lot ships Friday. By Monday morning, the chain has to answer four questions for the FDA:</w:t>
      </w:r>
    </w:p>
    <w:p>
      <w:pPr>
        <w:pStyle w:val="ListParagraph"/>
        <w:numPr>
          <w:ilvl w:val="0"/>
          <w:numId w:val="1"/>
        </w:numPr>
        <w:spacing w:after="60"/>
      </w:pPr>
      <w:r>
        <w:t xml:space="preserve">Which stores received units from the affected lot?</w:t>
      </w:r>
    </w:p>
    <w:p>
      <w:pPr>
        <w:pStyle w:val="ListParagraph"/>
        <w:numPr>
          <w:ilvl w:val="0"/>
          <w:numId w:val="1"/>
        </w:numPr>
        <w:spacing w:after="60"/>
      </w:pPr>
      <w:r>
        <w:t xml:space="preserve">How many units remain on shelves or in backrooms?</w:t>
      </w:r>
    </w:p>
    <w:p>
      <w:pPr>
        <w:pStyle w:val="ListParagraph"/>
        <w:numPr>
          <w:ilvl w:val="0"/>
          <w:numId w:val="1"/>
        </w:numPr>
        <w:spacing w:after="60"/>
      </w:pPr>
      <w:r>
        <w:t xml:space="preserve">How many units have been sold (and to which loyalty customers, consent-permitting)?</w:t>
      </w:r>
    </w:p>
    <w:p>
      <w:pPr>
        <w:pStyle w:val="ListParagraph"/>
        <w:numPr>
          <w:ilvl w:val="0"/>
          <w:numId w:val="1"/>
        </w:numPr>
        <w:spacing w:after="60"/>
      </w:pPr>
      <w:r>
        <w:t xml:space="preserve">What other lots from the same supplier / production window may be at risk?</w:t>
      </w:r>
    </w:p>
    <w:p>
      <w:pPr>
        <w:spacing w:after="140"/>
      </w:pPr>
      <w:r>
        <w:t xml:space="preserve">In the pre-APEX state, these four questions take 40–80 staff-hours spread across supply-chain, merchandising, customer-service, and compliance teams, each reading their own system. The reconstruction is error-prone; the delay is measurable in regulatory exposure and media cycles. In the APEX steady state with E2E-09 live, the answers return in </w:t>
      </w:r>
      <w:r>
        <w:rPr>
          <w:b/>
          <w:bCs/>
        </w:rPr>
        <w:t xml:space="preserve">under 15 seconds</w:t>
      </w:r>
      <w:r>
        <w:t xml:space="preserve"> as a queryable, audit-rowed, tokenised, consent-filtered result set.</w:t>
      </w:r>
    </w:p>
    <w:p>
      <w:pPr>
        <w:spacing w:after="140"/>
      </w:pPr>
      <w:r>
        <w:t xml:space="preserve">The product's journey crosses six APEX canonical entities and three schema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Supplier PO      → SCML.ASN</w:t>
            </w:r>
          </w:p>
          <w:p>
            <w:pPr>
              <w:spacing w:after="0" w:line="240"/>
            </w:pPr>
            <w:r>
              <w:rPr>
                <w:rFonts w:ascii="Cascadia Mono" w:cs="Cascadia Mono" w:eastAsia="Cascadia Mono" w:hAnsi="Cascadia Mono"/>
                <w:color w:val="1F2937"/>
                <w:sz w:val="18"/>
                <w:szCs w:val="18"/>
              </w:rPr>
              <w:t xml:space="preserve">Inbound receipt  → SCML.STORE_RECEIVING_EVENT</w:t>
            </w:r>
          </w:p>
          <w:p>
            <w:pPr>
              <w:spacing w:after="0" w:line="240"/>
            </w:pPr>
            <w:r>
              <w:rPr>
                <w:rFonts w:ascii="Cascadia Mono" w:cs="Cascadia Mono" w:eastAsia="Cascadia Mono" w:hAnsi="Cascadia Mono"/>
                <w:color w:val="1F2937"/>
                <w:sz w:val="18"/>
                <w:szCs w:val="18"/>
              </w:rPr>
              <w:t xml:space="preserve">Lot assignment   → SCML.LOT_TRACE</w:t>
            </w:r>
          </w:p>
          <w:p>
            <w:pPr>
              <w:spacing w:after="0" w:line="240"/>
            </w:pPr>
            <w:r>
              <w:rPr>
                <w:rFonts w:ascii="Cascadia Mono" w:cs="Cascadia Mono" w:eastAsia="Cascadia Mono" w:hAnsi="Cascadia Mono"/>
                <w:color w:val="1F2937"/>
                <w:sz w:val="18"/>
                <w:szCs w:val="18"/>
              </w:rPr>
              <w:t xml:space="preserve">Store inventory  → MERML.STORE_INVENTORY_POSITION</w:t>
            </w:r>
          </w:p>
          <w:p>
            <w:pPr>
              <w:spacing w:after="0" w:line="240"/>
            </w:pPr>
            <w:r>
              <w:rPr>
                <w:rFonts w:ascii="Cascadia Mono" w:cs="Cascadia Mono" w:eastAsia="Cascadia Mono" w:hAnsi="Cascadia Mono"/>
                <w:color w:val="1F2937"/>
                <w:sz w:val="18"/>
                <w:szCs w:val="18"/>
              </w:rPr>
              <w:t xml:space="preserve">POS ring         → MERML._transaction (tokenised)</w:t>
            </w:r>
          </w:p>
          <w:p>
            <w:pPr>
              <w:spacing w:after="0" w:line="240"/>
            </w:pPr>
            <w:r>
              <w:rPr>
                <w:rFonts w:ascii="Cascadia Mono" w:cs="Cascadia Mono" w:eastAsia="Cascadia Mono" w:hAnsi="Cascadia Mono"/>
                <w:color w:val="1F2937"/>
                <w:sz w:val="18"/>
                <w:szCs w:val="18"/>
              </w:rPr>
              <w:t xml:space="preserve">Customer         → CXML.LOYALTY_STATE (tokenised, consent-gated)</w:t>
            </w:r>
          </w:p>
          <w:p>
            <w:pPr>
              <w:spacing w:after="0" w:line="240"/>
            </w:pPr>
            <w:r>
              <w:rPr>
                <w:rFonts w:ascii="Cascadia Mono" w:cs="Cascadia Mono" w:eastAsia="Cascadia Mono" w:hAnsi="Cascadia Mono"/>
                <w:color w:val="1F2937"/>
                <w:sz w:val="18"/>
                <w:szCs w:val="18"/>
              </w:rPr>
              <w:t xml:space="preserve">Return/incident  → CXML.CUSTOMER_INCIDENT (optional)</w:t>
            </w:r>
          </w:p>
          <w:p>
            <w:pPr>
              <w:spacing w:after="0" w:line="240"/>
            </w:pPr>
            <w:r>
              <w:rPr>
                <w:rFonts w:ascii="Cascadia Mono" w:cs="Cascadia Mono" w:eastAsia="Cascadia Mono" w:hAnsi="Cascadia Mono"/>
                <w:color w:val="1F2937"/>
                <w:sz w:val="18"/>
                <w:szCs w:val="18"/>
              </w:rPr>
              <w:t xml:space="preserve">Fulfilment       → CXML.FULFILLMENT_ORDER (BOPIS / e-comm)</w:t>
            </w:r>
          </w:p>
        </w:tc>
      </w:tr>
    </w:tbl>
    <w:p>
      <w:pPr>
        <w:spacing w:after="140"/>
      </w:pPr>
      <w:r>
        <w:t xml:space="preserve">E2E-09 stitches these into one unified, time-indexed timeline — the </w:t>
      </w:r>
      <w:r>
        <w:rPr>
          <w:i/>
          <w:iCs/>
        </w:rPr>
        <w:t xml:space="preserve">Product Timeline</w:t>
      </w:r>
      <w:r>
        <w:t xml:space="preserve"> — and provides four query modes over it.</w:t>
      </w:r>
    </w:p>
    <w:p>
      <w:pPr>
        <w:pStyle w:val="Heading3"/>
        <w:spacing w:after="120" w:before="260"/>
      </w:pPr>
      <w:r>
        <w:rPr>
          <w:rFonts w:ascii="Aptos" w:cs="Aptos" w:eastAsia="Aptos" w:hAnsi="Aptos"/>
          <w:b/>
          <w:bCs/>
          <w:color w:val="0B111E"/>
          <w:sz w:val="24"/>
          <w:szCs w:val="24"/>
        </w:rPr>
        <w:t xml:space="preserve">2A.2 What "End-to-End" Means in RC</w:t>
      </w:r>
    </w:p>
    <w:p>
      <w:pPr>
        <w:spacing w:after="140"/>
      </w:pPr>
      <w:r>
        <w:t xml:space="preserve">Four trace modes the service supports, each answering a different operational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Forward 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Past → Future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Supplier lot / PO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store-SKU-unit derived from it, through to customer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response, quality containment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Backward 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Future → Past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complaint / unit 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 provenance to supplier lot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incident, root-cause investigation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Lateral 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lot / shipment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sibling lot from same supplier within 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Pattern detection across shipments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Point-in-time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Temporal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 state at that moment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Audit reconstruction, regulatory filings</w:t>
            </w:r>
          </w:p>
        </w:tc>
      </w:tr>
    </w:tbl>
    <w:p>
      <w:pPr>
        <w:spacing w:after="120"/>
      </w:pPr>
      <w:r>
        <w:t xml:space="preserve"/>
      </w:r>
    </w:p>
    <w:p>
      <w:pPr>
        <w:spacing w:after="140"/>
      </w:pPr>
      <w:r>
        <w:t xml:space="preserve">All four modes share the same underlying join graph and the same Trace Key (§2A.3). Only the query shape differs.</w:t>
      </w:r>
    </w:p>
    <w:p>
      <w:pPr>
        <w:pStyle w:val="Heading3"/>
        <w:spacing w:after="120" w:before="260"/>
      </w:pPr>
      <w:r>
        <w:rPr>
          <w:rFonts w:ascii="Aptos" w:cs="Aptos" w:eastAsia="Aptos" w:hAnsi="Aptos"/>
          <w:b/>
          <w:bCs/>
          <w:color w:val="0B111E"/>
          <w:sz w:val="24"/>
          <w:szCs w:val="24"/>
        </w:rPr>
        <w:t xml:space="preserve">2A.3 The Canonical Trace Key</w:t>
      </w:r>
    </w:p>
    <w:p>
      <w:pPr>
        <w:spacing w:after="140"/>
      </w:pPr>
      <w:r>
        <w:t xml:space="preserve">E2E-09's single hardest design decision was the Trace Key — the identifier that uniquely threads a product instance from supplier to customer. After reviewing twelve client-SOR permutations, the APEX Core team settled on a </w:t>
      </w:r>
      <w:r>
        <w:rPr>
          <w:b/>
          <w:bCs/>
        </w:rPr>
        <w:t xml:space="preserve">composite Trace Key</w:t>
      </w:r>
      <w:r>
        <w:t xml:space="preserve"> of the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trace_key = {</w:t>
            </w:r>
          </w:p>
          <w:p>
            <w:pPr>
              <w:spacing w:after="0" w:line="240"/>
            </w:pPr>
            <w:r>
              <w:rPr>
                <w:rFonts w:ascii="Cascadia Mono" w:cs="Cascadia Mono" w:eastAsia="Cascadia Mono" w:hAnsi="Cascadia Mono"/>
                <w:color w:val="1F2937"/>
                <w:sz w:val="18"/>
                <w:szCs w:val="18"/>
              </w:rPr>
              <w:t xml:space="preserve">  supplier_id,          // normalised supplier identifier from SCML.ASN</w:t>
            </w:r>
          </w:p>
          <w:p>
            <w:pPr>
              <w:spacing w:after="0" w:line="240"/>
            </w:pPr>
            <w:r>
              <w:rPr>
                <w:rFonts w:ascii="Cascadia Mono" w:cs="Cascadia Mono" w:eastAsia="Cascadia Mono" w:hAnsi="Cascadia Mono"/>
                <w:color w:val="1F2937"/>
                <w:sz w:val="18"/>
                <w:szCs w:val="18"/>
              </w:rPr>
              <w:t xml:space="preserve">  supplier_lot_id,      // supplier's lot code (normalised)</w:t>
            </w:r>
          </w:p>
          <w:p>
            <w:pPr>
              <w:spacing w:after="0" w:line="240"/>
            </w:pPr>
            <w:r>
              <w:rPr>
                <w:rFonts w:ascii="Cascadia Mono" w:cs="Cascadia Mono" w:eastAsia="Cascadia Mono" w:hAnsi="Cascadia Mono"/>
                <w:color w:val="1F2937"/>
                <w:sz w:val="18"/>
                <w:szCs w:val="18"/>
              </w:rPr>
              <w:t xml:space="preserve">  sku,                  // canonical SKU (cross-store, not store-local)</w:t>
            </w:r>
          </w:p>
          <w:p>
            <w:pPr>
              <w:spacing w:after="0" w:line="240"/>
            </w:pPr>
            <w:r>
              <w:rPr>
                <w:rFonts w:ascii="Cascadia Mono" w:cs="Cascadia Mono" w:eastAsia="Cascadia Mono" w:hAnsi="Cascadia Mono"/>
                <w:color w:val="1F2937"/>
                <w:sz w:val="18"/>
                <w:szCs w:val="18"/>
              </w:rPr>
              <w:t xml:space="preserve">  case_rfid_id?,        // UHF-RFID case tag, when present</w:t>
            </w:r>
          </w:p>
          <w:p>
            <w:pPr>
              <w:spacing w:after="0" w:line="240"/>
            </w:pPr>
            <w:r>
              <w:rPr>
                <w:rFonts w:ascii="Cascadia Mono" w:cs="Cascadia Mono" w:eastAsia="Cascadia Mono" w:hAnsi="Cascadia Mono"/>
                <w:color w:val="1F2937"/>
                <w:sz w:val="18"/>
                <w:szCs w:val="18"/>
              </w:rPr>
              <w:t xml:space="preserve">  unit_serial_id?       // per-unit serial, for serialised categories</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Only </w:t>
      </w:r>
      <w:r>
        <w:rPr>
          <w:rFonts w:ascii="Cascadia Mono" w:cs="Cascadia Mono" w:eastAsia="Cascadia Mono" w:hAnsi="Cascadia Mono"/>
          <w:color w:val="2B2B2B"/>
          <w:sz w:val="18"/>
          <w:szCs w:val="18"/>
        </w:rPr>
        <w:t xml:space="preserve">supplier_id + supplier_lot_id + sku</w:t>
      </w:r>
      <w:r>
        <w:t xml:space="preserve"> is mandatory. </w:t>
      </w:r>
      <w:r>
        <w:rPr>
          <w:rFonts w:ascii="Cascadia Mono" w:cs="Cascadia Mono" w:eastAsia="Cascadia Mono" w:hAnsi="Cascadia Mono"/>
          <w:color w:val="2B2B2B"/>
          <w:sz w:val="18"/>
          <w:szCs w:val="18"/>
        </w:rPr>
        <w:t xml:space="preserve">case_rfid_id</w:t>
      </w:r>
      <w:r>
        <w:t xml:space="preserve"> is present when the lot was received through a UHF-RFID portal (increasingly common but not universal). </w:t>
      </w:r>
      <w:r>
        <w:rPr>
          <w:rFonts w:ascii="Cascadia Mono" w:cs="Cascadia Mono" w:eastAsia="Cascadia Mono" w:hAnsi="Cascadia Mono"/>
          <w:color w:val="2B2B2B"/>
          <w:sz w:val="18"/>
          <w:szCs w:val="18"/>
        </w:rPr>
        <w:t xml:space="preserve">unit_serial_id</w:t>
      </w:r>
      <w:r>
        <w:t xml:space="preserve"> is present only for serialised categories (baby formula, infant medicine, Rx-adjacent).</w:t>
      </w:r>
    </w:p>
    <w:p>
      <w:pPr>
        <w:spacing w:after="140"/>
      </w:pPr>
      <w:r>
        <w:t xml:space="preserve">The Trace Key is the </w:t>
      </w:r>
      <w:r>
        <w:rPr>
          <w:b/>
          <w:bCs/>
        </w:rPr>
        <w:t xml:space="preserve">join key</w:t>
      </w:r>
      <w:r>
        <w:t xml:space="preserve"> for the cross-schema Product Timeline. Every RC Silver entity that participates in tracking carries these fields as a foreign-key tuple.</w:t>
      </w:r>
    </w:p>
    <w:p>
      <w:pPr>
        <w:pStyle w:val="Heading3"/>
        <w:spacing w:after="120" w:before="260"/>
      </w:pPr>
      <w:r>
        <w:rPr>
          <w:rFonts w:ascii="Aptos" w:cs="Aptos" w:eastAsia="Aptos" w:hAnsi="Aptos"/>
          <w:b/>
          <w:bCs/>
          <w:color w:val="0B111E"/>
          <w:sz w:val="24"/>
          <w:szCs w:val="24"/>
        </w:rPr>
        <w:t xml:space="preserve">2A.4 Architecture</w:t>
      </w:r>
    </w:p>
    <w:p>
      <w:pPr>
        <w:spacing w:after="160" w:before="120"/>
        <w:jc w:val="center"/>
      </w:pPr>
      <w:r>
        <w:drawing>
          <wp:inline distT="0" distB="0" distL="0" distR="0">
            <wp:extent cx="6096000" cy="724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7248525"/>
                    </a:xfrm>
                    <a:prstGeom prst="rect">
                      <a:avLst/>
                    </a:prstGeom>
                  </pic:spPr>
                </pic:pic>
              </a:graphicData>
            </a:graphic>
          </wp:inline>
        </w:drawing>
      </w:r>
    </w:p>
    <w:p>
      <w:pPr>
        <w:spacing w:after="140"/>
      </w:pPr>
      <w:r>
        <w:rPr>
          <w:b/>
          <w:bCs/>
        </w:rPr>
        <w:t xml:space="preserve">Runtime:</w:t>
      </w:r>
      <w:r>
        <w:t xml:space="preserve"> </w:t>
      </w:r>
      <w:r>
        <w:rPr>
          <w:rFonts w:ascii="Cascadia Mono" w:cs="Cascadia Mono" w:eastAsia="Cascadia Mono" w:hAnsi="Cascadia Mono"/>
          <w:color w:val="2B2B2B"/>
          <w:sz w:val="18"/>
          <w:szCs w:val="18"/>
        </w:rPr>
        <w:t xml:space="preserve">fabric-mcp</w:t>
      </w:r>
      <w:r>
        <w:t xml:space="preserve"> trace tools run in Azure Container Apps (same as other fabric-mcp tools) under </w:t>
      </w:r>
      <w:r>
        <w:rPr>
          <w:rFonts w:ascii="Cascadia Mono" w:cs="Cascadia Mono" w:eastAsia="Cascadia Mono" w:hAnsi="Cascadia Mono"/>
          <w:color w:val="2B2B2B"/>
          <w:sz w:val="18"/>
          <w:szCs w:val="18"/>
        </w:rPr>
        <w:t xml:space="preserve">mi-apex-rc-mcp</w:t>
      </w:r>
      <w:r>
        <w:t xml:space="preserve">. The Product Timeline materialised view lives in the tenant's Fabric Warehouse. Trace orchestration (ORCH-26) uses Logic Apps because forward/backward trace completes in &lt; 15 s; point-in-time reconstruction uses Durable Functions for the rare deep-history cases.</w:t>
      </w:r>
    </w:p>
    <w:p>
      <w:pPr>
        <w:pStyle w:val="Heading3"/>
        <w:spacing w:after="120" w:before="260"/>
      </w:pPr>
      <w:r>
        <w:rPr>
          <w:rFonts w:ascii="Aptos" w:cs="Aptos" w:eastAsia="Aptos" w:hAnsi="Aptos"/>
          <w:b/>
          <w:bCs/>
          <w:color w:val="0B111E"/>
          <w:sz w:val="24"/>
          <w:szCs w:val="24"/>
        </w:rPr>
        <w:t xml:space="preserve">2A.5 The gold_product_timeline_v1 View</w:t>
      </w:r>
    </w:p>
    <w:p>
      <w:pPr>
        <w:spacing w:after="140"/>
      </w:pPr>
      <w:r>
        <w:t xml:space="preserve">The centrepiece is a materialised cross-schema Gold view that pre-joins the six participating Silver tables on the Trace Key composite. The view is refreshed every 5 minutes (Warehouse scheduled refresh) so that the freshness SLO is "any event less than 5 minutes old may not yet appear in trace."</w:t>
      </w:r>
    </w:p>
    <w:p>
      <w:pPr>
        <w:spacing w:after="140"/>
      </w:pPr>
      <w:r>
        <w:t xml:space="preserve">Schema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CREATE VIEW gold_product_timeline_v1 AS</w:t>
            </w:r>
          </w:p>
          <w:p>
            <w:pPr>
              <w:spacing w:after="0" w:line="240"/>
            </w:pPr>
            <w:r>
              <w:rPr>
                <w:rFonts w:ascii="Cascadia Mono" w:cs="Cascadia Mono" w:eastAsia="Cascadia Mono" w:hAnsi="Cascadia Mono"/>
                <w:color w:val="1F2937"/>
                <w:sz w:val="18"/>
                <w:szCs w:val="18"/>
              </w:rPr>
              <w:t xml:space="preserve">SELECT</w:t>
            </w:r>
          </w:p>
          <w:p>
            <w:pPr>
              <w:spacing w:after="0" w:line="240"/>
            </w:pPr>
            <w:r>
              <w:rPr>
                <w:rFonts w:ascii="Cascadia Mono" w:cs="Cascadia Mono" w:eastAsia="Cascadia Mono" w:hAnsi="Cascadia Mono"/>
                <w:color w:val="1F2937"/>
                <w:sz w:val="18"/>
                <w:szCs w:val="18"/>
              </w:rPr>
              <w:t xml:space="preserve">  -- trace key</w:t>
            </w:r>
          </w:p>
          <w:p>
            <w:pPr>
              <w:spacing w:after="0" w:line="240"/>
            </w:pPr>
            <w:r>
              <w:rPr>
                <w:rFonts w:ascii="Cascadia Mono" w:cs="Cascadia Mono" w:eastAsia="Cascadia Mono" w:hAnsi="Cascadia Mono"/>
                <w:color w:val="1F2937"/>
                <w:sz w:val="18"/>
                <w:szCs w:val="18"/>
              </w:rPr>
              <w:t xml:space="preserve">  supplier_id, supplier_lot_id, sku,</w:t>
            </w:r>
          </w:p>
          <w:p>
            <w:pPr>
              <w:spacing w:after="0" w:line="240"/>
            </w:pPr>
            <w:r>
              <w:rPr>
                <w:rFonts w:ascii="Cascadia Mono" w:cs="Cascadia Mono" w:eastAsia="Cascadia Mono" w:hAnsi="Cascadia Mono"/>
                <w:color w:val="1F2937"/>
                <w:sz w:val="18"/>
                <w:szCs w:val="18"/>
              </w:rPr>
              <w:t xml:space="preserve">  case_rfid_id, unit_serial_id,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provenance timeline</w:t>
            </w:r>
          </w:p>
          <w:p>
            <w:pPr>
              <w:spacing w:after="0" w:line="240"/>
            </w:pPr>
            <w:r>
              <w:rPr>
                <w:rFonts w:ascii="Cascadia Mono" w:cs="Cascadia Mono" w:eastAsia="Cascadia Mono" w:hAnsi="Cascadia Mono"/>
                <w:color w:val="1F2937"/>
                <w:sz w:val="18"/>
                <w:szCs w:val="18"/>
              </w:rPr>
              <w:t xml:space="preserve">  asn_id,                   asn_ship_ts,</w:t>
            </w:r>
          </w:p>
          <w:p>
            <w:pPr>
              <w:spacing w:after="0" w:line="240"/>
            </w:pPr>
            <w:r>
              <w:rPr>
                <w:rFonts w:ascii="Cascadia Mono" w:cs="Cascadia Mono" w:eastAsia="Cascadia Mono" w:hAnsi="Cascadia Mono"/>
                <w:color w:val="1F2937"/>
                <w:sz w:val="18"/>
                <w:szCs w:val="18"/>
              </w:rPr>
              <w:t xml:space="preserve">  receiving_event_id,       received_ts,         receiving_store_id,</w:t>
            </w:r>
          </w:p>
          <w:p>
            <w:pPr>
              <w:spacing w:after="0" w:line="240"/>
            </w:pPr>
            <w:r>
              <w:rPr>
                <w:rFonts w:ascii="Cascadia Mono" w:cs="Cascadia Mono" w:eastAsia="Cascadia Mono" w:hAnsi="Cascadia Mono"/>
                <w:color w:val="1F2937"/>
                <w:sz w:val="18"/>
                <w:szCs w:val="18"/>
              </w:rPr>
              <w:t xml:space="preserve">  inventory_assigned_ts,    inventory_store_id,  inventory_position,</w:t>
            </w:r>
          </w:p>
          <w:p>
            <w:pPr>
              <w:spacing w:after="0" w:line="240"/>
            </w:pPr>
            <w:r>
              <w:rPr>
                <w:rFonts w:ascii="Cascadia Mono" w:cs="Cascadia Mono" w:eastAsia="Cascadia Mono" w:hAnsi="Cascadia Mono"/>
                <w:color w:val="1F2937"/>
                <w:sz w:val="18"/>
                <w:szCs w:val="18"/>
              </w:rPr>
              <w:t xml:space="preserve">  shelf_placement_ts,       shelf_location,</w:t>
            </w:r>
          </w:p>
          <w:p>
            <w:pPr>
              <w:spacing w:after="0" w:line="240"/>
            </w:pPr>
            <w:r>
              <w:rPr>
                <w:rFonts w:ascii="Cascadia Mono" w:cs="Cascadia Mono" w:eastAsia="Cascadia Mono" w:hAnsi="Cascadia Mono"/>
                <w:color w:val="1F2937"/>
                <w:sz w:val="18"/>
                <w:szCs w:val="18"/>
              </w:rPr>
              <w:t xml:space="preserve">  pos_transaction_id,       ring_ts,             ring_store_id,</w:t>
            </w:r>
          </w:p>
          <w:p>
            <w:pPr>
              <w:spacing w:after="0" w:line="240"/>
            </w:pPr>
            <w:r>
              <w:rPr>
                <w:rFonts w:ascii="Cascadia Mono" w:cs="Cascadia Mono" w:eastAsia="Cascadia Mono" w:hAnsi="Cascadia Mono"/>
                <w:color w:val="1F2937"/>
                <w:sz w:val="18"/>
                <w:szCs w:val="18"/>
              </w:rPr>
              <w:t xml:space="preserve">  ring_register_id,</w:t>
            </w:r>
          </w:p>
          <w:p>
            <w:pPr>
              <w:spacing w:after="0" w:line="240"/>
            </w:pPr>
            <w:r>
              <w:rPr>
                <w:rFonts w:ascii="Cascadia Mono" w:cs="Cascadia Mono" w:eastAsia="Cascadia Mono" w:hAnsi="Cascadia Mono"/>
                <w:color w:val="1F2937"/>
                <w:sz w:val="18"/>
                <w:szCs w:val="18"/>
              </w:rPr>
              <w:t xml:space="preserve">  fulfillment_order_id,     fulfillment_type,    fulfillment_ts,</w:t>
            </w:r>
          </w:p>
          <w:p>
            <w:pPr>
              <w:spacing w:after="0" w:line="240"/>
            </w:pPr>
            <w:r>
              <w:rPr>
                <w:rFonts w:ascii="Cascadia Mono" w:cs="Cascadia Mono" w:eastAsia="Cascadia Mono" w:hAnsi="Cascadia Mono"/>
                <w:color w:val="1F2937"/>
                <w:sz w:val="18"/>
                <w:szCs w:val="18"/>
              </w:rPr>
              <w:t xml:space="preserve">  customer_id_tkn,          loyalty_tier,        consent_contact_flag,</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incident / return (nullable)</w:t>
            </w:r>
          </w:p>
          <w:p>
            <w:pPr>
              <w:spacing w:after="0" w:line="240"/>
            </w:pPr>
            <w:r>
              <w:rPr>
                <w:rFonts w:ascii="Cascadia Mono" w:cs="Cascadia Mono" w:eastAsia="Cascadia Mono" w:hAnsi="Cascadia Mono"/>
                <w:color w:val="1F2937"/>
                <w:sz w:val="18"/>
                <w:szCs w:val="18"/>
              </w:rPr>
              <w:t xml:space="preserve">  incident_id,              incident_ts,         incident_tier,</w:t>
            </w:r>
          </w:p>
          <w:p>
            <w:pPr>
              <w:spacing w:after="0" w:line="240"/>
            </w:pPr>
            <w:r>
              <w:rPr>
                <w:rFonts w:ascii="Cascadia Mono" w:cs="Cascadia Mono" w:eastAsia="Cascadia Mono" w:hAnsi="Cascadia Mono"/>
                <w:color w:val="1F2937"/>
                <w:sz w:val="18"/>
                <w:szCs w:val="18"/>
              </w:rPr>
              <w:t xml:space="preserve">  return_event_id,          return_ts,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recall overlay (nullable, joined from SCML.RECALL_NOTICE)</w:t>
            </w:r>
          </w:p>
          <w:p>
            <w:pPr>
              <w:spacing w:after="0" w:line="240"/>
            </w:pPr>
            <w:r>
              <w:rPr>
                <w:rFonts w:ascii="Cascadia Mono" w:cs="Cascadia Mono" w:eastAsia="Cascadia Mono" w:hAnsi="Cascadia Mono"/>
                <w:color w:val="1F2937"/>
                <w:sz w:val="18"/>
                <w:szCs w:val="18"/>
              </w:rPr>
              <w:t xml:space="preserve">  recall_notice_id,         recall_class,       recall_posted_ts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FROM   SCML.ASN                         a</w:t>
            </w:r>
          </w:p>
          <w:p>
            <w:pPr>
              <w:spacing w:after="0" w:line="240"/>
            </w:pPr>
            <w:r>
              <w:rPr>
                <w:rFonts w:ascii="Cascadia Mono" w:cs="Cascadia Mono" w:eastAsia="Cascadia Mono" w:hAnsi="Cascadia Mono"/>
                <w:color w:val="1F2937"/>
                <w:sz w:val="18"/>
                <w:szCs w:val="18"/>
              </w:rPr>
              <w:t xml:space="preserve">LEFT JOIN SCML.STORE_RECEIVING_EVENT    r   USING (supplier_id, supplier_lot_id, sku, case_rfid_id)</w:t>
            </w:r>
          </w:p>
          <w:p>
            <w:pPr>
              <w:spacing w:after="0" w:line="240"/>
            </w:pPr>
            <w:r>
              <w:rPr>
                <w:rFonts w:ascii="Cascadia Mono" w:cs="Cascadia Mono" w:eastAsia="Cascadia Mono" w:hAnsi="Cascadia Mono"/>
                <w:color w:val="1F2937"/>
                <w:sz w:val="18"/>
                <w:szCs w:val="18"/>
              </w:rPr>
              <w:t xml:space="preserve">LEFT JOIN SCML.LOT_TRACE                l   USING (supplier_id, supplier_lot_id)</w:t>
            </w:r>
          </w:p>
          <w:p>
            <w:pPr>
              <w:spacing w:after="0" w:line="240"/>
            </w:pPr>
            <w:r>
              <w:rPr>
                <w:rFonts w:ascii="Cascadia Mono" w:cs="Cascadia Mono" w:eastAsia="Cascadia Mono" w:hAnsi="Cascadia Mono"/>
                <w:color w:val="1F2937"/>
                <w:sz w:val="18"/>
                <w:szCs w:val="18"/>
              </w:rPr>
              <w:t xml:space="preserve">LEFT JOIN MERML.STORE_INVENTORY_POSITION i  USING (sku, store_id)</w:t>
            </w:r>
          </w:p>
          <w:p>
            <w:pPr>
              <w:spacing w:after="0" w:line="240"/>
            </w:pPr>
            <w:r>
              <w:rPr>
                <w:rFonts w:ascii="Cascadia Mono" w:cs="Cascadia Mono" w:eastAsia="Cascadia Mono" w:hAnsi="Cascadia Mono"/>
                <w:color w:val="1F2937"/>
                <w:sz w:val="18"/>
                <w:szCs w:val="18"/>
              </w:rPr>
              <w:t xml:space="preserve">LEFT JOIN MERML_pos_ring                p   USING (sku, store_id)</w:t>
            </w:r>
          </w:p>
          <w:p>
            <w:pPr>
              <w:spacing w:after="0" w:line="240"/>
            </w:pPr>
            <w:r>
              <w:rPr>
                <w:rFonts w:ascii="Cascadia Mono" w:cs="Cascadia Mono" w:eastAsia="Cascadia Mono" w:hAnsi="Cascadia Mono"/>
                <w:color w:val="1F2937"/>
                <w:sz w:val="18"/>
                <w:szCs w:val="18"/>
              </w:rPr>
              <w:t xml:space="preserve">LEFT JOIN CXML.FULFILLMENT_ORDER        f   USING (sku, pos_transaction_id)</w:t>
            </w:r>
          </w:p>
          <w:p>
            <w:pPr>
              <w:spacing w:after="0" w:line="240"/>
            </w:pPr>
            <w:r>
              <w:rPr>
                <w:rFonts w:ascii="Cascadia Mono" w:cs="Cascadia Mono" w:eastAsia="Cascadia Mono" w:hAnsi="Cascadia Mono"/>
                <w:color w:val="1F2937"/>
                <w:sz w:val="18"/>
                <w:szCs w:val="18"/>
              </w:rPr>
              <w:t xml:space="preserve">LEFT JOIN CXML.LOYALTY_STATE            ly  USING (customer_id_tkn)</w:t>
            </w:r>
          </w:p>
          <w:p>
            <w:pPr>
              <w:spacing w:after="0" w:line="240"/>
            </w:pPr>
            <w:r>
              <w:rPr>
                <w:rFonts w:ascii="Cascadia Mono" w:cs="Cascadia Mono" w:eastAsia="Cascadia Mono" w:hAnsi="Cascadia Mono"/>
                <w:color w:val="1F2937"/>
                <w:sz w:val="18"/>
                <w:szCs w:val="18"/>
              </w:rPr>
              <w:t xml:space="preserve">LEFT JOIN CXML.CUSTOMER_INCIDENT        inc USING (customer_id_tkn, sku)</w:t>
            </w:r>
          </w:p>
          <w:p>
            <w:pPr>
              <w:spacing w:after="0" w:line="240"/>
            </w:pPr>
            <w:r>
              <w:rPr>
                <w:rFonts w:ascii="Cascadia Mono" w:cs="Cascadia Mono" w:eastAsia="Cascadia Mono" w:hAnsi="Cascadia Mono"/>
                <w:color w:val="1F2937"/>
                <w:sz w:val="18"/>
                <w:szCs w:val="18"/>
              </w:rPr>
              <w:t xml:space="preserve">LEFT JOIN SCML.RECALL_NOTICE            rn  USING (supplier_id, supplier_lot_id)</w:t>
            </w:r>
          </w:p>
          <w:p>
            <w:pPr>
              <w:spacing w:after="0" w:line="240"/>
            </w:pPr>
            <w:r>
              <w:rPr>
                <w:rFonts w:ascii="Cascadia Mono" w:cs="Cascadia Mono" w:eastAsia="Cascadia Mono" w:hAnsi="Cascadia Mono"/>
                <w:color w:val="1F2937"/>
                <w:sz w:val="18"/>
                <w:szCs w:val="18"/>
              </w:rPr>
              <w:t xml:space="preserve">WHERE COALESCE(asn_ship_ts, received_ts, ring_ts) &gt; DATEADD(day, -730, SYSUTCDATETIME());</w:t>
            </w:r>
          </w:p>
        </w:tc>
      </w:tr>
    </w:tbl>
    <w:p>
      <w:pPr>
        <w:spacing w:after="140"/>
      </w:pPr>
      <w:r>
        <w:t xml:space="preserve">Retention: 730 days (2 years) rolling. Longer retention sits in Silver; the Gold timeline is a tuned-for-read materialised subset.</w:t>
      </w:r>
    </w:p>
    <w:p>
      <w:pPr>
        <w:pStyle w:val="Heading3"/>
        <w:spacing w:after="120" w:before="260"/>
      </w:pPr>
      <w:r>
        <w:rPr>
          <w:rFonts w:ascii="Aptos" w:cs="Aptos" w:eastAsia="Aptos" w:hAnsi="Aptos"/>
          <w:b/>
          <w:bCs/>
          <w:color w:val="0B111E"/>
          <w:sz w:val="24"/>
          <w:szCs w:val="24"/>
        </w:rPr>
        <w:t xml:space="preserve">2A.6 The Trace MCP Tools</w:t>
      </w:r>
    </w:p>
    <w:p>
      <w:pPr>
        <w:spacing w:after="140"/>
      </w:pPr>
      <w:r>
        <w:t xml:space="preserve">Four tools expose the timeline. All are tenant-scoped (require </w:t>
      </w:r>
      <w:r>
        <w:rPr>
          <w:rFonts w:ascii="Cascadia Mono" w:cs="Cascadia Mono" w:eastAsia="Cascadia Mono" w:hAnsi="Cascadia Mono"/>
          <w:color w:val="2B2B2B"/>
          <w:sz w:val="18"/>
          <w:szCs w:val="18"/>
        </w:rPr>
        <w:t xml:space="preserve">X-APEX-Tenant-Id</w:t>
      </w:r>
      <w:r>
        <w:t xml:space="preserve">), managed-identity-authenticated, and emit operation_Id trace spans per call.</w:t>
      </w:r>
    </w:p>
    <w:p>
      <w:pPr>
        <w:spacing w:after="140"/>
      </w:pPr>
      <w:r>
        <w:rPr>
          <w:b/>
          <w:bCs/>
        </w:rPr>
        <w:t xml:space="preserve">`fabric-mcp.trace_forward(supplier_lot_id, window_days = 30) → TraceResult`</w:t>
      </w:r>
      <w:r>
        <w:t xml:space="preserve"> Returns every timeline row where </w:t>
      </w:r>
      <w:r>
        <w:rPr>
          <w:rFonts w:ascii="Cascadia Mono" w:cs="Cascadia Mono" w:eastAsia="Cascadia Mono" w:hAnsi="Cascadia Mono"/>
          <w:color w:val="2B2B2B"/>
          <w:sz w:val="18"/>
          <w:szCs w:val="18"/>
        </w:rPr>
        <w:t xml:space="preserve">supplier_lot_id</w:t>
      </w:r>
      <w:r>
        <w:t xml:space="preserve"> matches, up to </w:t>
      </w:r>
      <w:r>
        <w:rPr>
          <w:rFonts w:ascii="Cascadia Mono" w:cs="Cascadia Mono" w:eastAsia="Cascadia Mono" w:hAnsi="Cascadia Mono"/>
          <w:color w:val="2B2B2B"/>
          <w:sz w:val="18"/>
          <w:szCs w:val="18"/>
        </w:rPr>
        <w:t xml:space="preserve">window_days</w:t>
      </w:r>
      <w:r>
        <w:t xml:space="preserve">. Typical response time ≤ 2 s for &lt; 10,000 rows.</w:t>
      </w:r>
    </w:p>
    <w:p>
      <w:pPr>
        <w:spacing w:after="140"/>
      </w:pPr>
      <w:r>
        <w:rPr>
          <w:b/>
          <w:bCs/>
        </w:rPr>
        <w:t xml:space="preserve">`fabric-mcp.trace_backward(unit_id | pos_transaction_id | customer_incident_id) → TraceResult`</w:t>
      </w:r>
      <w:r>
        <w:t xml:space="preserve"> Returns the full supplier-to-customer provenance of one specific unit or incident. Typical response time ≤ 1 s.</w:t>
      </w:r>
    </w:p>
    <w:p>
      <w:pPr>
        <w:spacing w:after="140"/>
      </w:pPr>
      <w:r>
        <w:rPr>
          <w:b/>
          <w:bCs/>
        </w:rPr>
        <w:t xml:space="preserve">`fabric-mcp.trace_lateral(supplier_id, time_window_days = 90) → TraceResult`</w:t>
      </w:r>
      <w:r>
        <w:t xml:space="preserve"> Returns every lot from </w:t>
      </w:r>
      <w:r>
        <w:rPr>
          <w:rFonts w:ascii="Cascadia Mono" w:cs="Cascadia Mono" w:eastAsia="Cascadia Mono" w:hAnsi="Cascadia Mono"/>
          <w:color w:val="2B2B2B"/>
          <w:sz w:val="18"/>
          <w:szCs w:val="18"/>
        </w:rPr>
        <w:t xml:space="preserve">supplier_id</w:t>
      </w:r>
      <w:r>
        <w:t xml:space="preserve"> within the window. Enables "show me every recent shipment from Vendor X" for pattern analysis.</w:t>
      </w:r>
    </w:p>
    <w:p>
      <w:pPr>
        <w:spacing w:after="140"/>
      </w:pPr>
      <w:r>
        <w:rPr>
          <w:b/>
          <w:bCs/>
        </w:rPr>
        <w:t xml:space="preserve">`fabric-mcp.trace_point_in_time(trace_key, timestamp) → ProductState`</w:t>
      </w:r>
      <w:r>
        <w:t xml:space="preserve"> Reconstructs the product's state at a specific historical moment. Uses SCD2 lookups on the underlying Silver tables. Response time 5–15 s for deep history.</w:t>
      </w:r>
    </w:p>
    <w:p>
      <w:pPr>
        <w:pStyle w:val="Heading3"/>
        <w:spacing w:after="120" w:before="260"/>
      </w:pPr>
      <w:r>
        <w:rPr>
          <w:rFonts w:ascii="Aptos" w:cs="Aptos" w:eastAsia="Aptos" w:hAnsi="Aptos"/>
          <w:b/>
          <w:bCs/>
          <w:color w:val="0B111E"/>
          <w:sz w:val="24"/>
          <w:szCs w:val="24"/>
        </w:rPr>
        <w:t xml:space="preserve">2A.7 The Trace Agents</w:t>
      </w:r>
    </w:p>
    <w:p>
      <w:pPr>
        <w:spacing w:after="140"/>
      </w:pPr>
      <w:r>
        <w:t xml:space="preserve">Three agents compose the human-readable narrative from raw timeline data.</w:t>
      </w:r>
    </w:p>
    <w:p>
      <w:pPr>
        <w:spacing w:after="140"/>
      </w:pPr>
      <w:r>
        <w:rPr>
          <w:b/>
          <w:bCs/>
        </w:rPr>
        <w:t xml:space="preserve">`TRACE-A01 · Forward Trace Composer`</w:t>
      </w:r>
      <w:r>
        <w:t xml:space="preserve"> — Takes the forward-trace rowset and composes a structured summary: affected store count, remaining inventory units, sold-and-shipped units, identified loyalty customers (tokenised, consent-filtered), per-store breakdown, timeline density. Output feeds </w:t>
      </w:r>
      <w:r>
        <w:rPr>
          <w:rFonts w:ascii="Cascadia Mono" w:cs="Cascadia Mono" w:eastAsia="Cascadia Mono" w:hAnsi="Cascadia Mono"/>
          <w:color w:val="2B2B2B"/>
          <w:sz w:val="18"/>
          <w:szCs w:val="18"/>
        </w:rPr>
        <w:t xml:space="preserve">RCL-05 Recall Response</w:t>
      </w:r>
      <w:r>
        <w:t xml:space="preserve"> or can be rendered as a standalone compliance report.</w:t>
      </w:r>
    </w:p>
    <w:p>
      <w:pPr>
        <w:spacing w:after="140"/>
      </w:pPr>
      <w:r>
        <w:rPr>
          <w:b/>
          <w:bCs/>
        </w:rPr>
        <w:t xml:space="preserve">`TRACE-A02 · Backward Trace Composer`</w:t>
      </w:r>
      <w:r>
        <w:t xml:space="preserve"> — Given a customer incident or unit complaint, reconstructs the full provenance: supplier lot, manufacturing window, warehouse handling, receiving event, shelf days, ring, fulfilment path. Output feeds </w:t>
      </w:r>
      <w:r>
        <w:rPr>
          <w:rFonts w:ascii="Cascadia Mono" w:cs="Cascadia Mono" w:eastAsia="Cascadia Mono" w:hAnsi="Cascadia Mono"/>
          <w:color w:val="2B2B2B"/>
          <w:sz w:val="18"/>
          <w:szCs w:val="18"/>
        </w:rPr>
        <w:t xml:space="preserve">CXI-08 Customer Incident Triage</w:t>
      </w:r>
      <w:r>
        <w:t xml:space="preserve"> or </w:t>
      </w:r>
      <w:r>
        <w:rPr>
          <w:rFonts w:ascii="Cascadia Mono" w:cs="Cascadia Mono" w:eastAsia="Cascadia Mono" w:hAnsi="Cascadia Mono"/>
          <w:color w:val="2B2B2B"/>
          <w:sz w:val="18"/>
          <w:szCs w:val="18"/>
        </w:rPr>
        <w:t xml:space="preserve">SHK-07 Shrink &amp; Void Anomaly</w:t>
      </w:r>
      <w:r>
        <w:t xml:space="preserve"> depending on incident type.</w:t>
      </w:r>
    </w:p>
    <w:p>
      <w:pPr>
        <w:spacing w:after="140"/>
      </w:pPr>
      <w:r>
        <w:rPr>
          <w:b/>
          <w:bCs/>
        </w:rPr>
        <w:t xml:space="preserve">`TRACE-A03 · Lateral Trace Composer`</w:t>
      </w:r>
      <w:r>
        <w:t xml:space="preserve"> — Reasoning-tier agent (because the output requires nuanced judgement): given a supplier lot under investigation, identifies sibling lots worth flagging as "also at risk" based on shared production window, ingredient common-mode, or quality-pattern correlation.</w:t>
      </w:r>
    </w:p>
    <w:p>
      <w:pPr>
        <w:pStyle w:val="Heading3"/>
        <w:spacing w:after="120" w:before="260"/>
      </w:pPr>
      <w:r>
        <w:rPr>
          <w:rFonts w:ascii="Aptos" w:cs="Aptos" w:eastAsia="Aptos" w:hAnsi="Aptos"/>
          <w:b/>
          <w:bCs/>
          <w:color w:val="0B111E"/>
          <w:sz w:val="24"/>
          <w:szCs w:val="24"/>
        </w:rPr>
        <w:t xml:space="preserve">2A.8 Forward Trace Implementation</w:t>
      </w:r>
    </w:p>
    <w:p>
      <w:pPr>
        <w:spacing w:after="140"/>
      </w:pPr>
      <w:r>
        <w:t xml:space="preserve">The canonical forward-trace flow:</w:t>
      </w:r>
    </w:p>
    <w:p>
      <w:pPr>
        <w:spacing w:after="140"/>
      </w:pPr>
      <w:r>
        <w:t xml:space="preserve">1. </w:t>
      </w:r>
      <w:r>
        <w:rPr>
          <w:b/>
          <w:bCs/>
        </w:rPr>
        <w:t xml:space="preserve">Trigger.</w:t>
      </w:r>
      <w:r>
        <w:t xml:space="preserve"> An external event (FDA recall posted, Compliance request, RCL-05 activation) invokes </w:t>
      </w:r>
      <w:r>
        <w:rPr>
          <w:rFonts w:ascii="Cascadia Mono" w:cs="Cascadia Mono" w:eastAsia="Cascadia Mono" w:hAnsi="Cascadia Mono"/>
          <w:color w:val="2B2B2B"/>
          <w:sz w:val="18"/>
          <w:szCs w:val="18"/>
        </w:rPr>
        <w:t xml:space="preserve">fabric-mcp.trace_forward(supplier_lot_id)</w:t>
      </w:r>
      <w:r>
        <w:t xml:space="preserve">. 2. </w:t>
      </w:r>
      <w:r>
        <w:rPr>
          <w:b/>
          <w:bCs/>
        </w:rPr>
        <w:t xml:space="preserve">Query.</w:t>
      </w:r>
      <w:r>
        <w:t xml:space="preserve"> The tool runs a single SQL query against </w:t>
      </w:r>
      <w:r>
        <w:rPr>
          <w:rFonts w:ascii="Cascadia Mono" w:cs="Cascadia Mono" w:eastAsia="Cascadia Mono" w:hAnsi="Cascadia Mono"/>
          <w:color w:val="2B2B2B"/>
          <w:sz w:val="18"/>
          <w:szCs w:val="18"/>
        </w:rPr>
        <w:t xml:space="preserve">gold_product_timeline_v1</w:t>
      </w:r>
      <w:r>
        <w:t xml:space="preserve"> filtered on the supplier_lot_id. Typical rowset: 200–5,000 rows per lot. 3. </w:t>
      </w:r>
      <w:r>
        <w:rPr>
          <w:b/>
          <w:bCs/>
        </w:rPr>
        <w:t xml:space="preserve">Enrich.</w:t>
      </w:r>
      <w:r>
        <w:t xml:space="preserve"> TRACE-A01 receives the rowset and composes:</w:t>
      </w:r>
    </w:p>
    <w:p>
      <w:pPr>
        <w:pStyle w:val="ListParagraph"/>
        <w:numPr>
          <w:ilvl w:val="0"/>
          <w:numId w:val="1"/>
        </w:numPr>
        <w:spacing w:after="60"/>
      </w:pPr>
      <w:r>
        <w:t xml:space="preserve">Store breakdown: </w:t>
      </w:r>
      <w:r>
        <w:rPr>
          <w:rFonts w:ascii="Cascadia Mono" w:cs="Cascadia Mono" w:eastAsia="Cascadia Mono" w:hAnsi="Cascadia Mono"/>
          <w:color w:val="2B2B2B"/>
          <w:sz w:val="18"/>
          <w:szCs w:val="18"/>
        </w:rPr>
        <w:t xml:space="preserve">{store_id, units_received, units_on_shelf, units_in_backroom, units_sold}</w:t>
      </w:r>
    </w:p>
    <w:p>
      <w:pPr>
        <w:pStyle w:val="ListParagraph"/>
        <w:numPr>
          <w:ilvl w:val="0"/>
          <w:numId w:val="1"/>
        </w:numPr>
        <w:spacing w:after="60"/>
      </w:pPr>
      <w:r>
        <w:t xml:space="preserve">Customer reach: tokenised customer list with consent flags</w:t>
      </w:r>
    </w:p>
    <w:p>
      <w:pPr>
        <w:pStyle w:val="ListParagraph"/>
        <w:numPr>
          <w:ilvl w:val="0"/>
          <w:numId w:val="1"/>
        </w:numPr>
        <w:spacing w:after="60"/>
      </w:pPr>
      <w:r>
        <w:t xml:space="preserve">Timeline density: first and last event timestamps per stage</w:t>
      </w:r>
    </w:p>
    <w:p>
      <w:pPr>
        <w:spacing w:after="140"/>
      </w:pPr>
      <w:r>
        <w:t xml:space="preserve">4. </w:t>
      </w:r>
      <w:r>
        <w:rPr>
          <w:b/>
          <w:bCs/>
        </w:rPr>
        <w:t xml:space="preserve">Gate.</w:t>
      </w:r>
      <w:r>
        <w:t xml:space="preserve"> If the trace is part of an active recall orchestration, RCL-05 takes the composed output and proceeds to its own HITL escalation. Standalone compliance queries receive the composed output directly. 5. </w:t>
      </w:r>
      <w:r>
        <w:rPr>
          <w:b/>
          <w:bCs/>
        </w:rPr>
        <w:t xml:space="preserve">Audit.</w:t>
      </w:r>
      <w:r>
        <w:t xml:space="preserve"> Every trace invocation writes an </w:t>
      </w:r>
      <w:r>
        <w:rPr>
          <w:rFonts w:ascii="Cascadia Mono" w:cs="Cascadia Mono" w:eastAsia="Cascadia Mono" w:hAnsi="Cascadia Mono"/>
          <w:color w:val="2B2B2B"/>
          <w:sz w:val="18"/>
          <w:szCs w:val="18"/>
        </w:rPr>
        <w:t xml:space="preserve">apex_audit_log</w:t>
      </w:r>
      <w:r>
        <w:t xml:space="preserve"> row: who queried, what lot, what time, what rowset size.</w:t>
      </w:r>
    </w:p>
    <w:p>
      <w:pPr>
        <w:spacing w:after="140"/>
      </w:pPr>
      <w:r>
        <w:t xml:space="preserve">End-to-end latency: 1–10 seconds depending on lot scope. The hardest tuning challenge is not query speed — it's </w:t>
      </w:r>
      <w:r>
        <w:rPr>
          <w:b/>
          <w:bCs/>
        </w:rPr>
        <w:t xml:space="preserve">tokenisation throughput</w:t>
      </w:r>
      <w:r>
        <w:t xml:space="preserve"> when the trace touches tens of thousands of customer records.</w:t>
      </w:r>
    </w:p>
    <w:p>
      <w:pPr>
        <w:pStyle w:val="Heading3"/>
        <w:spacing w:after="120" w:before="260"/>
      </w:pPr>
      <w:r>
        <w:rPr>
          <w:rFonts w:ascii="Aptos" w:cs="Aptos" w:eastAsia="Aptos" w:hAnsi="Aptos"/>
          <w:b/>
          <w:bCs/>
          <w:color w:val="0B111E"/>
          <w:sz w:val="24"/>
          <w:szCs w:val="24"/>
        </w:rPr>
        <w:t xml:space="preserve">2A.9 Backward Trace Implementation</w:t>
      </w:r>
    </w:p>
    <w:p>
      <w:pPr>
        <w:spacing w:after="140"/>
      </w:pPr>
      <w:r>
        <w:t xml:space="preserve">A customer walks into a store with a product complaint: </w:t>
      </w:r>
      <w:r>
        <w:rPr>
          <w:i/>
          <w:iCs/>
        </w:rPr>
        <w:t xml:space="preserve">"I bought this muffin here yesterday; there's a plastic fragment in it."</w:t>
      </w:r>
      <w:r>
        <w:t xml:space="preserve"> The frontline Customer Care Agent opens CXI-08 (Customer Incident Triage) which fires ORCH-09. Within that orchestration, E2E-09's backward-trace tool is invoked:</w:t>
      </w:r>
    </w:p>
    <w:p>
      <w:pPr>
        <w:spacing w:after="140"/>
      </w:pPr>
      <w:r>
        <w:t xml:space="preserve">1. </w:t>
      </w:r>
      <w:r>
        <w:rPr>
          <w:b/>
          <w:bCs/>
        </w:rPr>
        <w:t xml:space="preserve">Input.</w:t>
      </w:r>
      <w:r>
        <w:t xml:space="preserve"> Either the POS transaction ID from the customer's receipt or the scanned unit code. 2. </w:t>
      </w:r>
      <w:r>
        <w:rPr>
          <w:b/>
          <w:bCs/>
        </w:rPr>
        <w:t xml:space="preserve">Query.</w:t>
      </w:r>
      <w:r>
        <w:t xml:space="preserve"> </w:t>
      </w:r>
      <w:r>
        <w:rPr>
          <w:rFonts w:ascii="Cascadia Mono" w:cs="Cascadia Mono" w:eastAsia="Cascadia Mono" w:hAnsi="Cascadia Mono"/>
          <w:color w:val="2B2B2B"/>
          <w:sz w:val="18"/>
          <w:szCs w:val="18"/>
        </w:rPr>
        <w:t xml:space="preserve">trace_backward(pos_transaction_id)</w:t>
      </w:r>
      <w:r>
        <w:t xml:space="preserve"> retrieves the full product provenance — one row with all the stages the unit passed through. 3. </w:t>
      </w:r>
      <w:r>
        <w:rPr>
          <w:b/>
          <w:bCs/>
        </w:rPr>
        <w:t xml:space="preserve">Enrich.</w:t>
      </w:r>
      <w:r>
        <w:t xml:space="preserve"> TRACE-A02 composes the backward narrative: "Supplier X, lot L-xxxxx, shipped Nov 3, received Nov 5 store #100, placed on shelf Nov 6, rung Nov 8 13:47." 4. </w:t>
      </w:r>
      <w:r>
        <w:rPr>
          <w:b/>
          <w:bCs/>
        </w:rPr>
        <w:t xml:space="preserve">Cross-reference.</w:t>
      </w:r>
      <w:r>
        <w:t xml:space="preserve"> TRACE-A02 automatically runs a lateral query: </w:t>
      </w:r>
      <w:r>
        <w:rPr>
          <w:i/>
          <w:iCs/>
        </w:rPr>
        <w:t xml:space="preserve">"Are there similar complaints on other units from the same lot, either at this store or elsewhere in the last 14 days?"</w:t>
      </w:r>
      <w:r>
        <w:t xml:space="preserve"> 5. </w:t>
      </w:r>
      <w:r>
        <w:rPr>
          <w:b/>
          <w:bCs/>
        </w:rPr>
        <w:t xml:space="preserve">Decision.</w:t>
      </w:r>
      <w:r>
        <w:t xml:space="preserve"> The Customer Care Agent receives the composed backward trace plus the cross-reference result. If cross-store matches exceed threshold, CXI-08's gate elevates to ESCALATION.</w:t>
      </w:r>
    </w:p>
    <w:p>
      <w:pPr>
        <w:spacing w:after="140"/>
      </w:pPr>
      <w:r>
        <w:t xml:space="preserve">The backward trace is often the </w:t>
      </w:r>
      <w:r>
        <w:rPr>
          <w:b/>
          <w:bCs/>
        </w:rPr>
        <w:t xml:space="preserve">triggering signal</w:t>
      </w:r>
      <w:r>
        <w:t xml:space="preserve"> for a proactive recall-response conversation with the supplier, even before the FDA is involved.</w:t>
      </w:r>
    </w:p>
    <w:p>
      <w:pPr>
        <w:pStyle w:val="Heading3"/>
        <w:spacing w:after="120" w:before="260"/>
      </w:pPr>
      <w:r>
        <w:rPr>
          <w:rFonts w:ascii="Aptos" w:cs="Aptos" w:eastAsia="Aptos" w:hAnsi="Aptos"/>
          <w:b/>
          <w:bCs/>
          <w:color w:val="0B111E"/>
          <w:sz w:val="24"/>
          <w:szCs w:val="24"/>
        </w:rPr>
        <w:t xml:space="preserve">2A.10 Lateral Trace Implementation</w:t>
      </w:r>
    </w:p>
    <w:p>
      <w:pPr>
        <w:spacing w:after="140"/>
      </w:pPr>
      <w:r>
        <w:t xml:space="preserve">Lateral trace answers "what else should we worry about?" given a specific trigger. Use cases:</w:t>
      </w:r>
    </w:p>
    <w:p>
      <w:pPr>
        <w:pStyle w:val="ListParagraph"/>
        <w:numPr>
          <w:ilvl w:val="0"/>
          <w:numId w:val="1"/>
        </w:numPr>
        <w:spacing w:after="60"/>
      </w:pPr>
      <w:r>
        <w:t xml:space="preserve">A supplier reports a production-line issue → trace_lateral returns all lots from that supplier in the affected window</w:t>
      </w:r>
    </w:p>
    <w:p>
      <w:pPr>
        <w:pStyle w:val="ListParagraph"/>
        <w:numPr>
          <w:ilvl w:val="0"/>
          <w:numId w:val="1"/>
        </w:numPr>
        <w:spacing w:after="60"/>
      </w:pPr>
      <w:r>
        <w:t xml:space="preserve">A quality pattern emerges in one lot → trace_lateral identifies sibling lots from the same production week / same material batch / same supplier plant</w:t>
      </w:r>
    </w:p>
    <w:p>
      <w:pPr>
        <w:pStyle w:val="ListParagraph"/>
        <w:numPr>
          <w:ilvl w:val="0"/>
          <w:numId w:val="1"/>
        </w:numPr>
        <w:spacing w:after="60"/>
      </w:pPr>
      <w:r>
        <w:t xml:space="preserve">A customer incident surfaces → after backward trace identifies the lot, trace_lateral identifies other lots worth reviewing preventively</w:t>
      </w:r>
    </w:p>
    <w:p>
      <w:pPr>
        <w:spacing w:after="140"/>
      </w:pPr>
      <w:r>
        <w:t xml:space="preserve">TRACE-A03 (reasoning tier) makes the judgement call about which sibling lots are </w:t>
      </w:r>
      <w:r>
        <w:rPr>
          <w:i/>
          <w:iCs/>
        </w:rPr>
        <w:t xml:space="preserve">truly</w:t>
      </w:r>
      <w:r>
        <w:t xml:space="preserve"> at risk vs. which are merely temporally adjacent. Without this judgement, lateral trace produces unactionably large result sets.</w:t>
      </w:r>
    </w:p>
    <w:p>
      <w:pPr>
        <w:pStyle w:val="Heading3"/>
        <w:spacing w:after="120" w:before="260"/>
      </w:pPr>
      <w:r>
        <w:rPr>
          <w:rFonts w:ascii="Aptos" w:cs="Aptos" w:eastAsia="Aptos" w:hAnsi="Aptos"/>
          <w:b/>
          <w:bCs/>
          <w:color w:val="0B111E"/>
          <w:sz w:val="24"/>
          <w:szCs w:val="24"/>
        </w:rPr>
        <w:t xml:space="preserve">2A.11 Point-in-Time Reconstruction</w:t>
      </w:r>
    </w:p>
    <w:p>
      <w:pPr>
        <w:spacing w:after="140"/>
      </w:pPr>
      <w:r>
        <w:t xml:space="preserve">The rare but critical use case: a regulator asks, </w:t>
      </w:r>
      <w:r>
        <w:rPr>
          <w:i/>
          <w:iCs/>
        </w:rPr>
        <w:t xml:space="preserve">"On Nov 15, 2024 at 14:00 UTC, what was the inventory state of SKU X at Store 100, and where had each unit come from?"</w:t>
      </w:r>
      <w:r>
        <w:t xml:space="preserve"> — a question that requires SCD2 lookups against every participating Silver table as of that timestamp.</w:t>
      </w:r>
    </w:p>
    <w:p>
      <w:pPr>
        <w:spacing w:after="140"/>
      </w:pPr>
      <w:r>
        <w:t xml:space="preserve">Implementation is a dedicated Durable Function orchestration (one of the few APEX services that uses Durable over Logic Apps) because the SCD2 lookups run against multiple tables in parallel and merge asynchronously. Point-in-time reconstruction typically runs at query time (not cached), with expected latency 5–15 seconds.</w:t>
      </w:r>
    </w:p>
    <w:p>
      <w:pPr>
        <w:pStyle w:val="Heading3"/>
        <w:spacing w:after="120" w:before="260"/>
      </w:pPr>
      <w:r>
        <w:rPr>
          <w:rFonts w:ascii="Aptos" w:cs="Aptos" w:eastAsia="Aptos" w:hAnsi="Aptos"/>
          <w:b/>
          <w:bCs/>
          <w:color w:val="0B111E"/>
          <w:sz w:val="24"/>
          <w:szCs w:val="24"/>
        </w:rPr>
        <w:t xml:space="preserve">2A.12 Performance &amp; SLO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Trace freshness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5 min (5-min view refresh)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Warehouse scheduled refresh latency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Forward trace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10 s (10k rows)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operation span in App Insights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Backward trace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 s (1 row + cross-ref)</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operation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Lateral trace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15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operation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Point-in-time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30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operation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Forward trace completeness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99% (rows match truth set)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Monthly sampling against SOR truth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Cross-store coverage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Query must match across every store, not just pilot region</w:t>
            </w:r>
          </w:p>
        </w:tc>
      </w:tr>
    </w:tbl>
    <w:p>
      <w:pPr>
        <w:spacing w:after="120"/>
      </w:pPr>
      <w:r>
        <w:t xml:space="preserve"/>
      </w:r>
    </w:p>
    <w:p>
      <w:pPr>
        <w:spacing w:after="140"/>
      </w:pPr>
      <w:r>
        <w:t xml:space="preserve">The most common SLO violation in early deployments is forward-trace completeness dropping below 99% because one upstream silver table has backfill gaps. The fix is always upstream — E2E-09 inherits the quality of its inputs.</w:t>
      </w:r>
    </w:p>
    <w:p>
      <w:pPr>
        <w:pStyle w:val="Heading3"/>
        <w:spacing w:after="120" w:before="260"/>
      </w:pPr>
      <w:r>
        <w:rPr>
          <w:rFonts w:ascii="Aptos" w:cs="Aptos" w:eastAsia="Aptos" w:hAnsi="Aptos"/>
          <w:b/>
          <w:bCs/>
          <w:color w:val="0B111E"/>
          <w:sz w:val="24"/>
          <w:szCs w:val="24"/>
        </w:rPr>
        <w:t xml:space="preserve">2A.13 Integration with Other RC Services</w:t>
      </w:r>
    </w:p>
    <w:p>
      <w:pPr>
        <w:spacing w:after="140"/>
      </w:pPr>
      <w:r>
        <w:t xml:space="preserve">E2E-09 is the read-path backbone for four downstream decision services:</w:t>
      </w:r>
    </w:p>
    <w:p>
      <w:pPr>
        <w:pStyle w:val="ListParagraph"/>
        <w:numPr>
          <w:ilvl w:val="0"/>
          <w:numId w:val="1"/>
        </w:numPr>
        <w:spacing w:after="60"/>
      </w:pPr>
      <w:r>
        <w:rPr>
          <w:b/>
          <w:bCs/>
        </w:rPr>
        <w:t xml:space="preserve">RCL-05 (Recall Response)</w:t>
      </w:r>
      <w:r>
        <w:t xml:space="preserve"> — Forward trace drives customer-reach math and regulatory-reporting rows. Without E2E-09, RCL-05's recall-outreach coverage is partial.</w:t>
      </w:r>
    </w:p>
    <w:p>
      <w:pPr>
        <w:pStyle w:val="ListParagraph"/>
        <w:numPr>
          <w:ilvl w:val="0"/>
          <w:numId w:val="1"/>
        </w:numPr>
        <w:spacing w:after="60"/>
      </w:pPr>
      <w:r>
        <w:rPr>
          <w:b/>
          <w:bCs/>
        </w:rPr>
        <w:t xml:space="preserve">CXI-08 (Customer Incident Triage)</w:t>
      </w:r>
      <w:r>
        <w:t xml:space="preserve"> — Backward + lateral trace enriches the incident workflow. Without E2E-09, CXI-08 relies on manual cross-reference that misses ~30% of multi-store patterns.</w:t>
      </w:r>
    </w:p>
    <w:p>
      <w:pPr>
        <w:pStyle w:val="ListParagraph"/>
        <w:numPr>
          <w:ilvl w:val="0"/>
          <w:numId w:val="1"/>
        </w:numPr>
        <w:spacing w:after="60"/>
      </w:pPr>
      <w:r>
        <w:rPr>
          <w:b/>
          <w:bCs/>
        </w:rPr>
        <w:t xml:space="preserve">SHK-07 (Shrink &amp; Void Anomaly)</w:t>
      </w:r>
      <w:r>
        <w:t xml:space="preserve"> — Backward trace from void-level signals to unit-level provenance strengthens case-file evidence. Without E2E-09, shrink investigations rely on CCTV-timestamp indices alone.</w:t>
      </w:r>
    </w:p>
    <w:p>
      <w:pPr>
        <w:pStyle w:val="ListParagraph"/>
        <w:numPr>
          <w:ilvl w:val="0"/>
          <w:numId w:val="1"/>
        </w:numPr>
        <w:spacing w:after="60"/>
      </w:pPr>
      <w:r>
        <w:rPr>
          <w:b/>
          <w:bCs/>
        </w:rPr>
        <w:t xml:space="preserve">RVD-02 (Receiving Variance Dispute)</w:t>
      </w:r>
      <w:r>
        <w:t xml:space="preserve"> — Lateral trace across vendor shipments supports the </w:t>
      </w:r>
      <w:r>
        <w:rPr>
          <w:rFonts w:ascii="Cascadia Mono" w:cs="Cascadia Mono" w:eastAsia="Cascadia Mono" w:hAnsi="Cascadia Mono"/>
          <w:color w:val="2B2B2B"/>
          <w:sz w:val="18"/>
          <w:szCs w:val="18"/>
        </w:rPr>
        <w:t xml:space="preserve">DSD_INVOICE.vendor_90d_variance_count</w:t>
      </w:r>
      <w:r>
        <w:t xml:space="preserve"> pattern detection that drives RECURRING classification.</w:t>
      </w:r>
    </w:p>
    <w:p>
      <w:pPr>
        <w:spacing w:after="140"/>
      </w:pPr>
      <w:r>
        <w:t xml:space="preserve">An RC deployment without E2E-09 still ships these four services — but the services operate with degraded cross-reference quality. E2E-09 is the amplifier that makes the portfolio substantially more valuable than the sum of its parts.</w:t>
      </w:r>
    </w:p>
    <w:p>
      <w:pPr>
        <w:pStyle w:val="Heading3"/>
        <w:spacing w:after="120" w:before="260"/>
      </w:pPr>
      <w:r>
        <w:rPr>
          <w:rFonts w:ascii="Aptos" w:cs="Aptos" w:eastAsia="Aptos" w:hAnsi="Aptos"/>
          <w:b/>
          <w:bCs/>
          <w:color w:val="0B111E"/>
          <w:sz w:val="24"/>
          <w:szCs w:val="24"/>
        </w:rPr>
        <w:t xml:space="preserve">2A.14 Rollout Roadmap</w:t>
      </w:r>
    </w:p>
    <w:p>
      <w:pPr>
        <w:spacing w:after="140"/>
      </w:pPr>
      <w:r>
        <w:rPr>
          <w:b/>
          <w:bCs/>
        </w:rPr>
        <w:t xml:space="preserve">Phase 1 (Week 1–4): Trace Key normalisation.</w:t>
      </w:r>
      <w:r>
        <w:t xml:space="preserve"> Audit every RC Silver entity to confirm the trace-key composite fields are present, populated, and conformant to the canonical format. Backfill any gaps. This is typically the longest phase because SOR variation surfaces here.</w:t>
      </w:r>
    </w:p>
    <w:p>
      <w:pPr>
        <w:spacing w:after="140"/>
      </w:pPr>
      <w:r>
        <w:rPr>
          <w:b/>
          <w:bCs/>
        </w:rPr>
        <w:t xml:space="preserve">Phase 2 (Week 5–8): Gold view materialisation.</w:t>
      </w:r>
      <w:r>
        <w:t xml:space="preserve"> Author </w:t>
      </w:r>
      <w:r>
        <w:rPr>
          <w:rFonts w:ascii="Cascadia Mono" w:cs="Cascadia Mono" w:eastAsia="Cascadia Mono" w:hAnsi="Cascadia Mono"/>
          <w:color w:val="2B2B2B"/>
          <w:sz w:val="18"/>
          <w:szCs w:val="18"/>
        </w:rPr>
        <w:t xml:space="preserve">gold_product_timeline_v1</w:t>
      </w:r>
      <w:r>
        <w:t xml:space="preserve"> and its refresh schedule. Tune for the client's data-volume profile. Validate against a sample recall-scenario query set.</w:t>
      </w:r>
    </w:p>
    <w:p>
      <w:pPr>
        <w:spacing w:after="140"/>
      </w:pPr>
      <w:r>
        <w:rPr>
          <w:b/>
          <w:bCs/>
        </w:rPr>
        <w:t xml:space="preserve">Phase 3 (Week 9–12): Trace MCP tools + first trace agent (TRACE-A01).</w:t>
      </w:r>
      <w:r>
        <w:t xml:space="preserve"> Ship forward-trace first because it is the highest-$-impact capability (recall math).</w:t>
      </w:r>
    </w:p>
    <w:p>
      <w:pPr>
        <w:spacing w:after="140"/>
      </w:pPr>
      <w:r>
        <w:rPr>
          <w:b/>
          <w:bCs/>
        </w:rPr>
        <w:t xml:space="preserve">Phase 4 (Week 13–16): Remaining trace agents + Power BI Trace Console.</w:t>
      </w:r>
      <w:r>
        <w:t xml:space="preserve"> Ship backward, lateral, and point-in-time. Stand up the human-facing Trace Console for ad-hoc queries from Compliance.</w:t>
      </w:r>
    </w:p>
    <w:p>
      <w:pPr>
        <w:spacing w:after="140"/>
      </w:pPr>
      <w:r>
        <w:rPr>
          <w:b/>
          <w:bCs/>
        </w:rPr>
        <w:t xml:space="preserve">Phase 5 (Week 17–20): Integration with downstream services.</w:t>
      </w:r>
      <w:r>
        <w:t xml:space="preserve"> Wire RCL-05, CXI-08, SHK-07, RVD-02 to consume E2E-09 outputs instead of their current manual cross-reference paths. Retire the manual scripts.</w:t>
      </w:r>
    </w:p>
    <w:p>
      <w:pPr>
        <w:spacing w:after="140"/>
      </w:pPr>
      <w:r>
        <w:t xml:space="preserve">Total: 20 weeks to full integration, typical cost $2–4M depending on SOR backfill scope and the state of the RC portfolio at integration time.</w:t>
      </w:r>
    </w:p>
    <w:p>
      <w:pPr>
        <w:pStyle w:val="Heading3"/>
        <w:spacing w:after="120" w:before="260"/>
      </w:pPr>
      <w:r>
        <w:rPr>
          <w:rFonts w:ascii="Aptos" w:cs="Aptos" w:eastAsia="Aptos" w:hAnsi="Aptos"/>
          <w:b/>
          <w:bCs/>
          <w:color w:val="0B111E"/>
          <w:sz w:val="24"/>
          <w:szCs w:val="24"/>
        </w:rPr>
        <w:t xml:space="preserve">2A.15 Testing Strategy</w:t>
      </w:r>
    </w:p>
    <w:p>
      <w:pPr>
        <w:spacing w:after="140"/>
      </w:pPr>
      <w:r>
        <w:rPr>
          <w:b/>
          <w:bCs/>
        </w:rPr>
        <w:t xml:space="preserve">Unit tests.</w:t>
      </w:r>
      <w:r>
        <w:t xml:space="preserve"> MCP tool logic (query shape, parameter validation, error codes) — </w:t>
      </w:r>
      <w:r>
        <w:rPr>
          <w:rFonts w:ascii="Cascadia Mono" w:cs="Cascadia Mono" w:eastAsia="Cascadia Mono" w:hAnsi="Cascadia Mono"/>
          <w:color w:val="2B2B2B"/>
          <w:sz w:val="18"/>
          <w:szCs w:val="18"/>
        </w:rPr>
        <w:t xml:space="preserve">fabric-mcp/test/trace_*.spec.js</w:t>
      </w:r>
      <w:r>
        <w:t xml:space="preserve"> in the APEX dev repo.</w:t>
      </w:r>
    </w:p>
    <w:p>
      <w:pPr>
        <w:spacing w:after="140"/>
      </w:pPr>
      <w:r>
        <w:rPr>
          <w:b/>
          <w:bCs/>
        </w:rPr>
        <w:t xml:space="preserve">Integration tests.</w:t>
      </w:r>
      <w:r>
        <w:t xml:space="preserve"> Against a fixture dataset modelling a known recall scenario. Expected: trace_forward returns the known affected-unit set with ≥ 99% precision/recall.</w:t>
      </w:r>
    </w:p>
    <w:p>
      <w:pPr>
        <w:spacing w:after="140"/>
      </w:pPr>
      <w:r>
        <w:rPr>
          <w:b/>
          <w:bCs/>
        </w:rPr>
        <w:t xml:space="preserve">Regression tests.</w:t>
      </w:r>
      <w:r>
        <w:t xml:space="preserve"> Every week, replay a canonical "hard" trace query (a 18-month-old lot from a multi-store recall) against the current view. Alert if completeness drops below 99%.</w:t>
      </w:r>
    </w:p>
    <w:p>
      <w:pPr>
        <w:spacing w:after="140"/>
      </w:pPr>
      <w:r>
        <w:rPr>
          <w:b/>
          <w:bCs/>
        </w:rPr>
        <w:t xml:space="preserve">Shadow validation.</w:t>
      </w:r>
      <w:r>
        <w:t xml:space="preserve"> For the first 30 days post-go-live, every trace query also runs against the pre-APEX manual reconciliation process and both results are compared. Divergence over 1% pages the practice SRE.</w:t>
      </w:r>
    </w:p>
    <w:p>
      <w:pPr>
        <w:pStyle w:val="Heading3"/>
        <w:spacing w:after="120" w:before="260"/>
      </w:pPr>
      <w:r>
        <w:rPr>
          <w:rFonts w:ascii="Aptos" w:cs="Aptos" w:eastAsia="Aptos" w:hAnsi="Aptos"/>
          <w:b/>
          <w:bCs/>
          <w:color w:val="0B111E"/>
          <w:sz w:val="24"/>
          <w:szCs w:val="24"/>
        </w:rPr>
        <w:t xml:space="preserve">2A.16 Data Retention &amp; Privacy</w:t>
      </w:r>
    </w:p>
    <w:p>
      <w:pPr>
        <w:spacing w:after="140"/>
      </w:pPr>
      <w:r>
        <w:t xml:space="preserve">All customer identifiers are tokenised at the Silver boundary; E2E-09 reads only tokens. A trace result that lists "500 affected loyalty customers" means 500 tokens — actual customer identity is only reverse-resolved through </w:t>
      </w:r>
      <w:r>
        <w:rPr>
          <w:rFonts w:ascii="Cascadia Mono" w:cs="Cascadia Mono" w:eastAsia="Cascadia Mono" w:hAnsi="Cascadia Mono"/>
          <w:color w:val="2B2B2B"/>
          <w:sz w:val="18"/>
          <w:szCs w:val="18"/>
        </w:rPr>
        <w:t xml:space="preserve">tokenizer-mcp.reverse_tokenize</w:t>
      </w:r>
      <w:r>
        <w:t xml:space="preserve"> during an active outreach workflow, and that reverse resolution is audit-logged.</w:t>
      </w:r>
    </w:p>
    <w:p>
      <w:pPr>
        <w:spacing w:after="140"/>
      </w:pPr>
      <w:r>
        <w:t xml:space="preserve">Consent flags (</w:t>
      </w:r>
      <w:r>
        <w:rPr>
          <w:rFonts w:ascii="Cascadia Mono" w:cs="Cascadia Mono" w:eastAsia="Cascadia Mono" w:hAnsi="Cascadia Mono"/>
          <w:color w:val="2B2B2B"/>
          <w:sz w:val="18"/>
          <w:szCs w:val="18"/>
        </w:rPr>
        <w:t xml:space="preserve">loyalty_state.consent_contact</w:t>
      </w:r>
      <w:r>
        <w:t xml:space="preserve">) gate downstream communications. A customer with consent-withdrawn cannot be contacted for recall outreach; the trace result surfaces the count but not the actionable contact path. This is a compliance requirement (GDPR, CCPA), not a commercial choice.</w:t>
      </w:r>
    </w:p>
    <w:p>
      <w:pPr>
        <w:spacing w:after="140"/>
      </w:pPr>
      <w:r>
        <w:t xml:space="preserve">Retention of the timeline view is 730 days rolling; full historical Silver retention is 7+ years. Point-in-time reconstruction can reach into the longer history but at higher latency.</w:t>
      </w:r>
    </w:p>
    <w:p>
      <w:pPr>
        <w:pStyle w:val="Heading3"/>
        <w:spacing w:after="120" w:before="260"/>
      </w:pPr>
      <w:r>
        <w:rPr>
          <w:rFonts w:ascii="Aptos" w:cs="Aptos" w:eastAsia="Aptos" w:hAnsi="Aptos"/>
          <w:b/>
          <w:bCs/>
          <w:color w:val="0B111E"/>
          <w:sz w:val="24"/>
          <w:szCs w:val="24"/>
        </w:rPr>
        <w:t xml:space="preserve">2A.17 Implementation Checklist</w:t>
      </w:r>
    </w:p>
    <w:p>
      <w:pPr>
        <w:spacing w:after="140"/>
      </w:pPr>
      <w:r>
        <w:t xml:space="preserve">Before go-live:</w:t>
      </w:r>
    </w:p>
    <w:p>
      <w:pPr>
        <w:pStyle w:val="ListParagraph"/>
        <w:numPr>
          <w:ilvl w:val="0"/>
          <w:numId w:val="1"/>
        </w:numPr>
        <w:spacing w:after="60"/>
      </w:pPr>
      <w:r>
        <w:t xml:space="preserve">[ ] Trace Key composite fields present and conformant on all 6 participating Silver entities</w:t>
      </w:r>
    </w:p>
    <w:p>
      <w:pPr>
        <w:pStyle w:val="ListParagraph"/>
        <w:numPr>
          <w:ilvl w:val="0"/>
          <w:numId w:val="1"/>
        </w:numPr>
        <w:spacing w:after="60"/>
      </w:pPr>
      <w:r>
        <w:t xml:space="preserve">[ ] </w:t>
      </w:r>
      <w:r>
        <w:rPr>
          <w:rFonts w:ascii="Cascadia Mono" w:cs="Cascadia Mono" w:eastAsia="Cascadia Mono" w:hAnsi="Cascadia Mono"/>
          <w:color w:val="2B2B2B"/>
          <w:sz w:val="18"/>
          <w:szCs w:val="18"/>
        </w:rPr>
        <w:t xml:space="preserve">gold_product_timeline_v1</w:t>
      </w:r>
      <w:r>
        <w:t xml:space="preserve"> view materialised with 5-min refresh</w:t>
      </w:r>
    </w:p>
    <w:p>
      <w:pPr>
        <w:pStyle w:val="ListParagraph"/>
        <w:numPr>
          <w:ilvl w:val="0"/>
          <w:numId w:val="1"/>
        </w:numPr>
        <w:spacing w:after="60"/>
      </w:pPr>
      <w:r>
        <w:t xml:space="preserve">[ ] Four </w:t>
      </w:r>
      <w:r>
        <w:rPr>
          <w:rFonts w:ascii="Cascadia Mono" w:cs="Cascadia Mono" w:eastAsia="Cascadia Mono" w:hAnsi="Cascadia Mono"/>
          <w:color w:val="2B2B2B"/>
          <w:sz w:val="18"/>
          <w:szCs w:val="18"/>
        </w:rPr>
        <w:t xml:space="preserve">fabric-mcp.trace_*</w:t>
      </w:r>
      <w:r>
        <w:t xml:space="preserve"> tools deployed and registered with Agent Service</w:t>
      </w:r>
    </w:p>
    <w:p>
      <w:pPr>
        <w:pStyle w:val="ListParagraph"/>
        <w:numPr>
          <w:ilvl w:val="0"/>
          <w:numId w:val="1"/>
        </w:numPr>
        <w:spacing w:after="60"/>
      </w:pPr>
      <w:r>
        <w:t xml:space="preserve">[ ] Three TRACE-A0x agents registered with manifests + tool allow-lists</w:t>
      </w:r>
    </w:p>
    <w:p>
      <w:pPr>
        <w:pStyle w:val="ListParagraph"/>
        <w:numPr>
          <w:ilvl w:val="0"/>
          <w:numId w:val="1"/>
        </w:numPr>
        <w:spacing w:after="60"/>
      </w:pPr>
      <w:r>
        <w:t xml:space="preserve">[ ] ORCH-26 Product Trace orchestration deployed (Logic Apps)</w:t>
      </w:r>
    </w:p>
    <w:p>
      <w:pPr>
        <w:pStyle w:val="ListParagraph"/>
        <w:numPr>
          <w:ilvl w:val="0"/>
          <w:numId w:val="1"/>
        </w:numPr>
        <w:spacing w:after="60"/>
      </w:pPr>
      <w:r>
        <w:t xml:space="preserve">[ ] Power BI Trace Console published to the </w:t>
      </w:r>
      <w:r>
        <w:rPr>
          <w:rFonts w:ascii="Cascadia Mono" w:cs="Cascadia Mono" w:eastAsia="Cascadia Mono" w:hAnsi="Cascadia Mono"/>
          <w:color w:val="2B2B2B"/>
          <w:sz w:val="18"/>
          <w:szCs w:val="18"/>
        </w:rPr>
        <w:t xml:space="preserve">compliance-officer</w:t>
      </w:r>
      <w:r>
        <w:t xml:space="preserve"> identity group</w:t>
      </w:r>
    </w:p>
    <w:p>
      <w:pPr>
        <w:pStyle w:val="ListParagraph"/>
        <w:numPr>
          <w:ilvl w:val="0"/>
          <w:numId w:val="1"/>
        </w:numPr>
        <w:spacing w:after="60"/>
      </w:pPr>
      <w:r>
        <w:t xml:space="preserve">[ ] SLO panels added to the Azure Monitor workbook</w:t>
      </w:r>
    </w:p>
    <w:p>
      <w:pPr>
        <w:pStyle w:val="ListParagraph"/>
        <w:numPr>
          <w:ilvl w:val="0"/>
          <w:numId w:val="1"/>
        </w:numPr>
        <w:spacing w:after="60"/>
      </w:pPr>
      <w:r>
        <w:t xml:space="preserve">[ ] </w:t>
      </w:r>
      <w:r>
        <w:rPr>
          <w:rFonts w:ascii="Cascadia Mono" w:cs="Cascadia Mono" w:eastAsia="Cascadia Mono" w:hAnsi="Cascadia Mono"/>
          <w:color w:val="2B2B2B"/>
          <w:sz w:val="18"/>
          <w:szCs w:val="18"/>
        </w:rPr>
        <w:t xml:space="preserve">apex_audit_log</w:t>
      </w:r>
      <w:r>
        <w:t xml:space="preserve"> instrumented for every trace invocation</w:t>
      </w:r>
    </w:p>
    <w:p>
      <w:pPr>
        <w:pStyle w:val="ListParagraph"/>
        <w:numPr>
          <w:ilvl w:val="0"/>
          <w:numId w:val="1"/>
        </w:numPr>
        <w:spacing w:after="60"/>
      </w:pPr>
      <w:r>
        <w:t xml:space="preserve">[ ] Shadow-validation process running for 30-day go-live window</w:t>
      </w:r>
    </w:p>
    <w:p>
      <w:pPr>
        <w:pStyle w:val="ListParagraph"/>
        <w:numPr>
          <w:ilvl w:val="0"/>
          <w:numId w:val="1"/>
        </w:numPr>
        <w:spacing w:after="60"/>
      </w:pPr>
      <w:r>
        <w:t xml:space="preserve">[ ] RCL-05 / CXI-08 / SHK-07 / RVD-02 integration tickets scheduled for Phase 5</w:t>
      </w:r>
    </w:p>
    <w:p>
      <w:pPr>
        <w:spacing w:after="140"/>
      </w:pPr>
      <w:r>
        <w:t xml:space="preserve">Post go-live:</w:t>
      </w:r>
    </w:p>
    <w:p>
      <w:pPr>
        <w:pStyle w:val="ListParagraph"/>
        <w:numPr>
          <w:ilvl w:val="0"/>
          <w:numId w:val="1"/>
        </w:numPr>
        <w:spacing w:after="60"/>
      </w:pPr>
      <w:r>
        <w:t xml:space="preserve">[ ] Monthly trace-completeness audit</w:t>
      </w:r>
    </w:p>
    <w:p>
      <w:pPr>
        <w:pStyle w:val="ListParagraph"/>
        <w:numPr>
          <w:ilvl w:val="0"/>
          <w:numId w:val="1"/>
        </w:numPr>
        <w:spacing w:after="60"/>
      </w:pPr>
      <w:r>
        <w:t xml:space="preserve">[ ] Quarterly re-tokenisation drill</w:t>
      </w:r>
    </w:p>
    <w:p>
      <w:pPr>
        <w:pStyle w:val="ListParagraph"/>
        <w:numPr>
          <w:ilvl w:val="0"/>
          <w:numId w:val="1"/>
        </w:numPr>
        <w:spacing w:after="60"/>
      </w:pPr>
      <w:r>
        <w:t xml:space="preserve">[ ] Annual retention-window review with Compliance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3: Healthcare &amp; Life Sciences (HLS) Practice</w:t>
      </w:r>
    </w:p>
    <w:p>
      <w:pPr>
        <w:pStyle w:val="Heading3"/>
        <w:spacing w:after="120" w:before="260"/>
      </w:pPr>
      <w:r>
        <w:rPr>
          <w:rFonts w:ascii="Aptos" w:cs="Aptos" w:eastAsia="Aptos" w:hAnsi="Aptos"/>
          <w:b/>
          <w:bCs/>
          <w:color w:val="0B111E"/>
          <w:sz w:val="24"/>
          <w:szCs w:val="24"/>
        </w:rPr>
        <w:t xml:space="preserve">3.1 The Story</w:t>
      </w:r>
    </w:p>
    <w:p>
      <w:pPr>
        <w:spacing w:after="140"/>
      </w:pPr>
      <w:r>
        <w:t xml:space="preserve">At 14:32 on a Wednesday, at an urban academic medical centre, a customer-reported food-safety style pattern surfaces — but in healthcare it is different: a patient has been transferred to ICU with early-sepsis indicators that were visible in the vitals-and-labs stream six hours earlier. The labs that should have triggered an alert were buried in a queue reviewed once per shift.</w:t>
      </w:r>
    </w:p>
    <w:p>
      <w:pPr>
        <w:spacing w:after="140"/>
      </w:pPr>
      <w:r>
        <w:t xml:space="preserve">With </w:t>
      </w:r>
      <w:r>
        <w:rPr>
          <w:rFonts w:ascii="Cascadia Mono" w:cs="Cascadia Mono" w:eastAsia="Cascadia Mono" w:hAnsi="Cascadia Mono"/>
          <w:color w:val="2B2B2B"/>
          <w:sz w:val="18"/>
          <w:szCs w:val="18"/>
        </w:rPr>
        <w:t xml:space="preserve">APEX-HLS-SEP-02</w:t>
      </w:r>
      <w:r>
        <w:t xml:space="preserve"> running, the pattern is triangulated across vitals, labs, and the encounter record four to six hours earlier than clinical recognition. A HITL card lands on the charge nurse's device with the suggested escalation — respect the nurse's judgement, but present the pattern. Early detection of sepsis at this margin saves lives and reduces length-of-stay by days.</w:t>
      </w:r>
    </w:p>
    <w:p>
      <w:pPr>
        <w:pStyle w:val="Heading3"/>
        <w:spacing w:after="120" w:before="260"/>
      </w:pPr>
      <w:r>
        <w:rPr>
          <w:rFonts w:ascii="Aptos" w:cs="Aptos" w:eastAsia="Aptos" w:hAnsi="Aptos"/>
          <w:b/>
          <w:bCs/>
          <w:color w:val="0B111E"/>
          <w:sz w:val="24"/>
          <w:szCs w:val="24"/>
        </w:rPr>
        <w:t xml:space="preserve">3.2 Forces Driving Change</w:t>
      </w:r>
    </w:p>
    <w:p>
      <w:pPr>
        <w:spacing w:after="140"/>
      </w:pPr>
      <w:r>
        <w:t xml:space="preserve">HLS is under every force at maximum intensity:</w:t>
      </w:r>
    </w:p>
    <w:p>
      <w:pPr>
        <w:pStyle w:val="ListParagraph"/>
        <w:numPr>
          <w:ilvl w:val="0"/>
          <w:numId w:val="1"/>
        </w:numPr>
        <w:spacing w:after="60"/>
      </w:pPr>
      <w:r>
        <w:rPr>
          <w:b/>
          <w:bCs/>
        </w:rPr>
        <w:t xml:space="preserve">Regulatory acceleration</w:t>
      </w:r>
      <w:r>
        <w:t xml:space="preserve"> — reporting windows shrink annually; 21 CFR Part 11 signature requirements; HIPAA enforcement posture stiffens</w:t>
      </w:r>
    </w:p>
    <w:p>
      <w:pPr>
        <w:pStyle w:val="ListParagraph"/>
        <w:numPr>
          <w:ilvl w:val="0"/>
          <w:numId w:val="1"/>
        </w:numPr>
        <w:spacing w:after="60"/>
      </w:pPr>
      <w:r>
        <w:rPr>
          <w:b/>
          <w:bCs/>
        </w:rPr>
        <w:t xml:space="preserve">Knowledge-worker shortage</w:t>
      </w:r>
      <w:r>
        <w:t xml:space="preserve"> — nursing, hospitalist, and informaticist shortages are acute and getting worse</w:t>
      </w:r>
    </w:p>
    <w:p>
      <w:pPr>
        <w:pStyle w:val="ListParagraph"/>
        <w:numPr>
          <w:ilvl w:val="0"/>
          <w:numId w:val="1"/>
        </w:numPr>
        <w:spacing w:after="60"/>
      </w:pPr>
      <w:r>
        <w:rPr>
          <w:b/>
          <w:bCs/>
        </w:rPr>
        <w:t xml:space="preserve">Data sovereignty</w:t>
      </w:r>
      <w:r>
        <w:t xml:space="preserve"> — PHI handling must be perfect; the margin for error is zero</w:t>
      </w:r>
    </w:p>
    <w:p>
      <w:pPr>
        <w:pStyle w:val="ListParagraph"/>
        <w:numPr>
          <w:ilvl w:val="0"/>
          <w:numId w:val="1"/>
        </w:numPr>
        <w:spacing w:after="60"/>
      </w:pPr>
      <w:r>
        <w:rPr>
          <w:b/>
          <w:bCs/>
        </w:rPr>
        <w:t xml:space="preserve">Decision-velocity gap</w:t>
      </w:r>
      <w:r>
        <w:t xml:space="preserve"> — clinical decisions with strong time-value-of-information profiles</w:t>
      </w:r>
    </w:p>
    <w:p>
      <w:pPr>
        <w:pStyle w:val="Heading3"/>
        <w:spacing w:after="120" w:before="260"/>
      </w:pPr>
      <w:r>
        <w:rPr>
          <w:rFonts w:ascii="Aptos" w:cs="Aptos" w:eastAsia="Aptos" w:hAnsi="Aptos"/>
          <w:b/>
          <w:bCs/>
          <w:color w:val="0B111E"/>
          <w:sz w:val="24"/>
          <w:szCs w:val="24"/>
        </w:rPr>
        <w:t xml:space="preserve">3.3 The Human Reality</w:t>
      </w:r>
    </w:p>
    <w:p>
      <w:pPr>
        <w:spacing w:after="140"/>
      </w:pPr>
      <w:r>
        <w:t xml:space="preserve">The HLS persona most transformed by APEX is the </w:t>
      </w:r>
      <w:r>
        <w:rPr>
          <w:b/>
          <w:bCs/>
        </w:rPr>
        <w:t xml:space="preserve">charge nurse</w:t>
      </w:r>
      <w:r>
        <w:t xml:space="preserve"> — "Samantha" in client parlance — whose shift is 40% clinical judgement and 60% bed management, orderly-tracking, and chart-reading. The platform shifts that balance. Charge nurses who have been through an APEX pilot are the programme's best ambassadors.</w:t>
      </w:r>
    </w:p>
    <w:p>
      <w:pPr>
        <w:spacing w:after="140"/>
      </w:pPr>
      <w:r>
        <w:t xml:space="preserve">Secondary HLS personas: clinical informaticist, revenue-cycle analyst, pharmacy supply lead, trial coordinator, patient safety officer, compliance officer.</w:t>
      </w:r>
    </w:p>
    <w:p>
      <w:pPr>
        <w:pStyle w:val="Heading3"/>
        <w:spacing w:after="120" w:before="260"/>
      </w:pPr>
      <w:r>
        <w:rPr>
          <w:rFonts w:ascii="Aptos" w:cs="Aptos" w:eastAsia="Aptos" w:hAnsi="Aptos"/>
          <w:b/>
          <w:bCs/>
          <w:color w:val="0B111E"/>
          <w:sz w:val="24"/>
          <w:szCs w:val="24"/>
        </w:rPr>
        <w:t xml:space="preserve">3.4 AI Integration Maturity</w:t>
      </w:r>
    </w:p>
    <w:p>
      <w:pPr>
        <w:spacing w:after="140"/>
      </w:pPr>
      <w:r>
        <w:t xml:space="preserve">HLS baseline is often </w:t>
      </w:r>
      <w:r>
        <w:rPr>
          <w:b/>
          <w:bCs/>
        </w:rPr>
        <w:t xml:space="preserve">Level 1</w:t>
      </w:r>
      <w:r>
        <w:t xml:space="preserve"> — raw dashboards in Epic or Cerner, not tied to decisions. Wave 1 target: </w:t>
      </w:r>
      <w:r>
        <w:rPr>
          <w:b/>
          <w:bCs/>
        </w:rPr>
        <w:t xml:space="preserve">Level 3</w:t>
      </w:r>
      <w:r>
        <w:t xml:space="preserve"> on discharge readiness and denial recovery (two services with the most tractable data). Wave 2 expands to clinical-time-critical services (sepsis) with stricter gate posture. Level 5 pilots are rare in HLS due to the regulatory posture.</w:t>
      </w:r>
    </w:p>
    <w:p>
      <w:pPr>
        <w:pStyle w:val="Heading3"/>
        <w:spacing w:after="120" w:before="260"/>
      </w:pPr>
      <w:r>
        <w:rPr>
          <w:rFonts w:ascii="Aptos" w:cs="Aptos" w:eastAsia="Aptos" w:hAnsi="Aptos"/>
          <w:b/>
          <w:bCs/>
          <w:color w:val="0B111E"/>
          <w:sz w:val="24"/>
          <w:szCs w:val="24"/>
        </w:rPr>
        <w:t xml:space="preserve">3.5 Decision-Automation Positioning</w:t>
      </w:r>
    </w:p>
    <w:p>
      <w:pPr>
        <w:spacing w:after="140"/>
      </w:pPr>
      <w:r>
        <w:t xml:space="preserve">HLS is the Practice where gate policy matters most. Default gate posture on clinical services is </w:t>
      </w:r>
      <w:r>
        <w:rPr>
          <w:b/>
          <w:bCs/>
        </w:rPr>
        <w:t xml:space="preserve">HITL everywhere</w:t>
      </w:r>
      <w:r>
        <w:t xml:space="preserve"> and stays HITL across Waves 2 and 3. The gain is not gate-downgrade; the gain is earlier detection and better evidence packaging for the human.</w:t>
      </w:r>
    </w:p>
    <w:p>
      <w:pPr>
        <w:pStyle w:val="Heading3"/>
        <w:spacing w:after="120" w:before="260"/>
      </w:pPr>
      <w:r>
        <w:rPr>
          <w:rFonts w:ascii="Aptos" w:cs="Aptos" w:eastAsia="Aptos" w:hAnsi="Aptos"/>
          <w:b/>
          <w:bCs/>
          <w:color w:val="0B111E"/>
          <w:sz w:val="24"/>
          <w:szCs w:val="24"/>
        </w:rPr>
        <w:t xml:space="preserve">3.6 KPI Dashboard</w:t>
      </w:r>
    </w:p>
    <w:p>
      <w:pPr>
        <w:pStyle w:val="ListParagraph"/>
        <w:numPr>
          <w:ilvl w:val="0"/>
          <w:numId w:val="1"/>
        </w:numPr>
        <w:spacing w:after="60"/>
      </w:pPr>
      <w:r>
        <w:rPr>
          <w:b/>
          <w:bCs/>
        </w:rPr>
        <w:t xml:space="preserve">Length-of-stay reduction, hours / admission</w:t>
      </w:r>
      <w:r>
        <w:t xml:space="preserve"> — target 8–14h median reduction on discharge service</w:t>
      </w:r>
    </w:p>
    <w:p>
      <w:pPr>
        <w:pStyle w:val="ListParagraph"/>
        <w:numPr>
          <w:ilvl w:val="0"/>
          <w:numId w:val="1"/>
        </w:numPr>
        <w:spacing w:after="60"/>
      </w:pPr>
      <w:r>
        <w:rPr>
          <w:b/>
          <w:bCs/>
        </w:rPr>
        <w:t xml:space="preserve">Sepsis early detection, hours</w:t>
      </w:r>
      <w:r>
        <w:t xml:space="preserve"> — target detection 4–6h ahead of clinical recognition with ≤ 8% FPR</w:t>
      </w:r>
    </w:p>
    <w:p>
      <w:pPr>
        <w:pStyle w:val="ListParagraph"/>
        <w:numPr>
          <w:ilvl w:val="0"/>
          <w:numId w:val="1"/>
        </w:numPr>
        <w:spacing w:after="60"/>
      </w:pPr>
      <w:r>
        <w:rPr>
          <w:b/>
          <w:bCs/>
        </w:rPr>
        <w:t xml:space="preserve">Denial recovery, $ / month</w:t>
      </w:r>
      <w:r>
        <w:t xml:space="preserve"> — target 40–60% recovery rate on eligible denials</w:t>
      </w:r>
    </w:p>
    <w:p>
      <w:pPr>
        <w:pStyle w:val="ListParagraph"/>
        <w:numPr>
          <w:ilvl w:val="0"/>
          <w:numId w:val="1"/>
        </w:numPr>
        <w:spacing w:after="60"/>
      </w:pPr>
      <w:r>
        <w:rPr>
          <w:b/>
          <w:bCs/>
        </w:rPr>
        <w:t xml:space="preserve">Patient safety incident triage, time-to-classification</w:t>
      </w:r>
      <w:r>
        <w:t xml:space="preserve"> — target ≤ 4 h for severe incidents</w:t>
      </w:r>
    </w:p>
    <w:p>
      <w:pPr>
        <w:pStyle w:val="Heading3"/>
        <w:spacing w:after="120" w:before="260"/>
      </w:pPr>
      <w:r>
        <w:rPr>
          <w:rFonts w:ascii="Aptos" w:cs="Aptos" w:eastAsia="Aptos" w:hAnsi="Aptos"/>
          <w:b/>
          <w:bCs/>
          <w:color w:val="0B111E"/>
          <w:sz w:val="24"/>
          <w:szCs w:val="24"/>
        </w:rPr>
        <w:t xml:space="preserve">3.7 Solution Portfolio &amp; Architecture</w:t>
      </w:r>
    </w:p>
    <w:p>
      <w:pPr>
        <w:spacing w:after="140"/>
      </w:pPr>
      <w:r>
        <w:t xml:space="preserve">Six services in the HLS Practice.</w:t>
      </w:r>
    </w:p>
    <w:p>
      <w:pPr>
        <w:pStyle w:val="Heading4"/>
        <w:spacing w:after="100" w:before="220"/>
      </w:pPr>
      <w:r>
        <w:rPr>
          <w:rFonts w:ascii="Aptos" w:cs="Aptos" w:eastAsia="Aptos" w:hAnsi="Aptos"/>
          <w:b/>
          <w:bCs/>
          <w:color w:val="0B111E"/>
          <w:sz w:val="20"/>
          <w:szCs w:val="20"/>
        </w:rPr>
        <w:t xml:space="preserve">HLS Practice Architecture</w:t>
      </w:r>
    </w:p>
    <w:p>
      <w:pPr>
        <w:spacing w:after="160" w:before="120"/>
        <w:jc w:val="center"/>
      </w:pPr>
      <w:r>
        <w:drawing>
          <wp:inline distT="0" distB="0" distL="0" distR="0">
            <wp:extent cx="6096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504950"/>
                    </a:xfrm>
                    <a:prstGeom prst="rect">
                      <a:avLst/>
                    </a:prstGeom>
                  </pic:spPr>
                </pic:pic>
              </a:graphicData>
            </a:graphic>
          </wp:inline>
        </w:drawing>
      </w:r>
    </w:p>
    <w:p>
      <w:pPr>
        <w:pStyle w:val="Heading4"/>
        <w:spacing w:after="100" w:before="220"/>
      </w:pPr>
      <w:r>
        <w:rPr>
          <w:rFonts w:ascii="Aptos" w:cs="Aptos" w:eastAsia="Aptos" w:hAnsi="Aptos"/>
          <w:b/>
          <w:bCs/>
          <w:color w:val="0B111E"/>
          <w:sz w:val="20"/>
          <w:szCs w:val="20"/>
        </w:rPr>
        <w:t xml:space="preserve">Discharge Ready Surveillance — APEX-HLS-DSR-01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On a 30-bed medical unit, the charge nurse spends the first hour of every shift doing bed-management arithmetic: which patients will discharge today, which will tomorrow, which need transport coordination, which are waiting on consults. The data exists in Epic but it's scattered across orders, notes, labs, and care plans. Predictions are mental — and the good charge nurses are 70% accurate, which still leaves three wrong calls per shift.</w:t>
      </w:r>
    </w:p>
    <w:p>
      <w:pPr>
        <w:spacing w:after="140"/>
      </w:pPr>
      <w:r>
        <w:t xml:space="preserve">DSR-01 predicts discharge readiness 24 hours ahead, as a rolling model. </w:t>
      </w:r>
      <w:r>
        <w:rPr>
          <w:rFonts w:ascii="Cascadia Mono" w:cs="Cascadia Mono" w:eastAsia="Cascadia Mono" w:hAnsi="Cascadia Mono"/>
          <w:color w:val="2B2B2B"/>
          <w:sz w:val="18"/>
          <w:szCs w:val="18"/>
        </w:rPr>
        <w:t xml:space="preserve">HLS-A01 Discharge Pattern Analyst</w:t>
      </w:r>
      <w:r>
        <w:t xml:space="preserve"> fuses the encounter record, open orders, outstanding consults, pending labs, and care-plan milestones. </w:t>
      </w:r>
      <w:r>
        <w:rPr>
          <w:rFonts w:ascii="Cascadia Mono" w:cs="Cascadia Mono" w:eastAsia="Cascadia Mono" w:hAnsi="Cascadia Mono"/>
          <w:color w:val="2B2B2B"/>
          <w:sz w:val="18"/>
          <w:szCs w:val="18"/>
        </w:rPr>
        <w:t xml:space="preserve">HLS-A02 Disposition Planner</w:t>
      </w:r>
      <w:r>
        <w:t xml:space="preserve"> produces per-patient dispositions with confidence scores: "Room 412 likely discharge tomorrow AM pending cardiology consult; Room 418 discharge today PM; Room 404 tomorrow mid-day pending ambulation clearance." The ACK_ONLY card lands on the charge nurse's device at shift start — she sees the agent's predictions alongside her own notes and redirects bed management to what's actually going to happen rather than what she has to guess at.</w:t>
      </w:r>
    </w:p>
    <w:p>
      <w:pPr>
        <w:spacing w:after="140"/>
      </w:pPr>
      <w:r>
        <w:t xml:space="preserve">KPI impact: </w:t>
      </w:r>
      <w:r>
        <w:rPr>
          <w:rFonts w:ascii="Cascadia Mono" w:cs="Cascadia Mono" w:eastAsia="Cascadia Mono" w:hAnsi="Cascadia Mono"/>
          <w:color w:val="2B2B2B"/>
          <w:sz w:val="18"/>
          <w:szCs w:val="18"/>
        </w:rPr>
        <w:t xml:space="preserve">discharge_prediction_accuracy_pct ≥ 85%</w:t>
      </w:r>
      <w:r>
        <w:t xml:space="preserve"> · </w:t>
      </w:r>
      <w:r>
        <w:rPr>
          <w:rFonts w:ascii="Cascadia Mono" w:cs="Cascadia Mono" w:eastAsia="Cascadia Mono" w:hAnsi="Cascadia Mono"/>
          <w:color w:val="2B2B2B"/>
          <w:sz w:val="18"/>
          <w:szCs w:val="18"/>
        </w:rPr>
        <w:t xml:space="preserve">los_reduction_hours</w:t>
      </w:r>
      <w:r>
        <w:t xml:space="preserve"> maximise · </w:t>
      </w:r>
      <w:r>
        <w:rPr>
          <w:rFonts w:ascii="Cascadia Mono" w:cs="Cascadia Mono" w:eastAsia="Cascadia Mono" w:hAnsi="Cascadia Mono"/>
          <w:color w:val="2B2B2B"/>
          <w:sz w:val="18"/>
          <w:szCs w:val="18"/>
        </w:rPr>
        <w:t xml:space="preserve">readmission_pct ≤ 8%</w:t>
      </w:r>
      <w:r>
        <w:t xml:space="preserve">. Artifacts: HLSCML.PATIENT_ENCOUNTER/CLINICAL_OBSERVATION/CARE_PLAN; agents HLS-A01/A02; tools </w:t>
      </w:r>
      <w:r>
        <w:rPr>
          <w:rFonts w:ascii="Cascadia Mono" w:cs="Cascadia Mono" w:eastAsia="Cascadia Mono" w:hAnsi="Cascadia Mono"/>
          <w:color w:val="2B2B2B"/>
          <w:sz w:val="18"/>
          <w:szCs w:val="18"/>
        </w:rPr>
        <w:t xml:space="preserve">hlscml-mcp.read_encounter</w:t>
      </w:r>
      <w:r>
        <w:t xml:space="preserve">, </w:t>
      </w:r>
      <w:r>
        <w:rPr>
          <w:rFonts w:ascii="Cascadia Mono" w:cs="Cascadia Mono" w:eastAsia="Cascadia Mono" w:hAnsi="Cascadia Mono"/>
          <w:color w:val="2B2B2B"/>
          <w:sz w:val="18"/>
          <w:szCs w:val="18"/>
        </w:rPr>
        <w:t xml:space="preserve">fhir-mcp.query_orders</w:t>
      </w:r>
      <w:r>
        <w:t xml:space="preserve">; orchestration ORCH-10. Prereqs: Epic EHR (CDC + ADT) + F32 + HIPAA + </w:t>
      </w:r>
      <w:r>
        <w:rPr>
          <w:rFonts w:ascii="Cascadia Mono" w:cs="Cascadia Mono" w:eastAsia="Cascadia Mono" w:hAnsi="Cascadia Mono"/>
          <w:color w:val="2B2B2B"/>
          <w:sz w:val="18"/>
          <w:szCs w:val="18"/>
        </w:rPr>
        <w:t xml:space="preserve">charge-nurse</w:t>
      </w:r>
      <w:r>
        <w:t xml:space="preserve"> group. Clinical governance: predictions are advisory; the charge nurse's judgement prevails at every step.</w:t>
      </w:r>
    </w:p>
    <w:p>
      <w:pPr>
        <w:pStyle w:val="Heading4"/>
        <w:spacing w:after="100" w:before="220"/>
      </w:pPr>
      <w:r>
        <w:rPr>
          <w:rFonts w:ascii="Aptos" w:cs="Aptos" w:eastAsia="Aptos" w:hAnsi="Aptos"/>
          <w:b/>
          <w:bCs/>
          <w:color w:val="0B111E"/>
          <w:sz w:val="20"/>
          <w:szCs w:val="20"/>
        </w:rPr>
        <w:t xml:space="preserve">Sepsis Early Warning — APEX-HLS-SEP-02</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HITL</w:t>
      </w:r>
    </w:p>
    <w:p>
      <w:pPr>
        <w:spacing w:after="140"/>
      </w:pPr>
      <w:r>
        <w:t xml:space="preserve">Sepsis kills 270,000 Americans a year; survival is strongly inversely correlated with time-to-antibiotic. The clinical literature consistently finds that sepsis signs are visible in vitals and labs four to six hours before clinical recognition — but busy clinicians can't triangulate eight signals across three systems while rounding on fifteen other patients.</w:t>
      </w:r>
    </w:p>
    <w:p>
      <w:pPr>
        <w:spacing w:after="140"/>
      </w:pPr>
      <w:r>
        <w:t xml:space="preserve">SEP-02 uses reasoning-tier models on the full vitals+labs+encounter+notes triangulation. </w:t>
      </w:r>
      <w:r>
        <w:rPr>
          <w:rFonts w:ascii="Cascadia Mono" w:cs="Cascadia Mono" w:eastAsia="Cascadia Mono" w:hAnsi="Cascadia Mono"/>
          <w:color w:val="2B2B2B"/>
          <w:sz w:val="18"/>
          <w:szCs w:val="18"/>
        </w:rPr>
        <w:t xml:space="preserve">HLS-A03 Sepsis Pattern Detector</w:t>
      </w:r>
      <w:r>
        <w:t xml:space="preserve"> is a high-precision classifier on SIRS/qSOFA-adjacent signals combined with trend analysis. </w:t>
      </w:r>
      <w:r>
        <w:rPr>
          <w:rFonts w:ascii="Cascadia Mono" w:cs="Cascadia Mono" w:eastAsia="Cascadia Mono" w:hAnsi="Cascadia Mono"/>
          <w:color w:val="2B2B2B"/>
          <w:sz w:val="18"/>
          <w:szCs w:val="18"/>
        </w:rPr>
        <w:t xml:space="preserve">HLS-A04 Clinical Reasoner</w:t>
      </w:r>
      <w:r>
        <w:t xml:space="preserve"> (reasoning tier) evaluates the whole picture — not just scores, but the clinical narrative — and produces a risk classification with specific evidence citations. The HITL card goes to the charge nurse or rapid-response team with the specific signals (e.g., "lactate rising 2.1→3.4 over 2h; MAP trending down; temp now 38.9; WBC was normal but trending; antibiotic not yet ordered"). Default gate is HITL and stays HITL indefinitely — this is not a service where gate downgrade is contemplated. The win is not autonomy; the win is earlier detection.</w:t>
      </w:r>
    </w:p>
    <w:p>
      <w:pPr>
        <w:spacing w:after="140"/>
      </w:pPr>
      <w:r>
        <w:t xml:space="preserve">KPI impact: </w:t>
      </w:r>
      <w:r>
        <w:rPr>
          <w:rFonts w:ascii="Cascadia Mono" w:cs="Cascadia Mono" w:eastAsia="Cascadia Mono" w:hAnsi="Cascadia Mono"/>
          <w:color w:val="2B2B2B"/>
          <w:sz w:val="18"/>
          <w:szCs w:val="18"/>
        </w:rPr>
        <w:t xml:space="preserve">sepsis_early_detection_hours</w:t>
      </w:r>
      <w:r>
        <w:t xml:space="preserve"> maximise (target 4+) · </w:t>
      </w:r>
      <w:r>
        <w:rPr>
          <w:rFonts w:ascii="Cascadia Mono" w:cs="Cascadia Mono" w:eastAsia="Cascadia Mono" w:hAnsi="Cascadia Mono"/>
          <w:color w:val="2B2B2B"/>
          <w:sz w:val="18"/>
          <w:szCs w:val="18"/>
        </w:rPr>
        <w:t xml:space="preserve">FPR ≤ 8%</w:t>
      </w:r>
      <w:r>
        <w:t xml:space="preserve"> · </w:t>
      </w:r>
      <w:r>
        <w:rPr>
          <w:rFonts w:ascii="Cascadia Mono" w:cs="Cascadia Mono" w:eastAsia="Cascadia Mono" w:hAnsi="Cascadia Mono"/>
          <w:color w:val="2B2B2B"/>
          <w:sz w:val="18"/>
          <w:szCs w:val="18"/>
        </w:rPr>
        <w:t xml:space="preserve">sensitivity_pct ≥ 90%</w:t>
      </w:r>
      <w:r>
        <w:t xml:space="preserve">. SLOs: detection p95 ≤ 180s · decision p95 ≤ 5 min · availability 99.95%. Artifacts: HLSCML.VITALS/LAB_RESULT/PATIENT_ENCOUNTER. Prereqs: Epic ADT + FHIR + labs feeds + F32 + HIPAA + 21 CFR Part 11 + </w:t>
      </w:r>
      <w:r>
        <w:rPr>
          <w:rFonts w:ascii="Cascadia Mono" w:cs="Cascadia Mono" w:eastAsia="Cascadia Mono" w:hAnsi="Cascadia Mono"/>
          <w:color w:val="2B2B2B"/>
          <w:sz w:val="18"/>
          <w:szCs w:val="18"/>
        </w:rPr>
        <w:t xml:space="preserve">charge-nurse</w:t>
      </w:r>
      <w:r>
        <w:t xml:space="preserve"> group.</w:t>
      </w:r>
    </w:p>
    <w:p>
      <w:pPr>
        <w:pStyle w:val="Heading4"/>
        <w:spacing w:after="100" w:before="220"/>
      </w:pPr>
      <w:r>
        <w:rPr>
          <w:rFonts w:ascii="Aptos" w:cs="Aptos" w:eastAsia="Aptos" w:hAnsi="Aptos"/>
          <w:b/>
          <w:bCs/>
          <w:color w:val="0B111E"/>
          <w:sz w:val="20"/>
          <w:szCs w:val="20"/>
        </w:rPr>
        <w:t xml:space="preserve">Revenue-Cycle Denial Recovery — APEX-HLS-RVC-03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Insurance denials are the largest recoverable leak in every health system's revenue cycle. Typical recovery rates are 30-45% simply because analyst time doesn't scale to the denial volume. Each denial requires reading the payer's reason code, finding the relevant clinical documentation, matching it to the coding record, drafting the appeal — 60-120 minutes per denial for experienced analysts.</w:t>
      </w:r>
    </w:p>
    <w:p>
      <w:pPr>
        <w:spacing w:after="140"/>
      </w:pPr>
      <w:r>
        <w:t xml:space="preserve">RVC-03 prepares the appeal before the analyst opens it. </w:t>
      </w:r>
      <w:r>
        <w:rPr>
          <w:rFonts w:ascii="Cascadia Mono" w:cs="Cascadia Mono" w:eastAsia="Cascadia Mono" w:hAnsi="Cascadia Mono"/>
          <w:color w:val="2B2B2B"/>
          <w:sz w:val="18"/>
          <w:szCs w:val="18"/>
        </w:rPr>
        <w:t xml:space="preserve">HLS-A05 Denial Classifier</w:t>
      </w:r>
      <w:r>
        <w:t xml:space="preserve"> categorises by payer reason code and predicts recovery probability. </w:t>
      </w:r>
      <w:r>
        <w:rPr>
          <w:rFonts w:ascii="Cascadia Mono" w:cs="Cascadia Mono" w:eastAsia="Cascadia Mono" w:hAnsi="Cascadia Mono"/>
          <w:color w:val="2B2B2B"/>
          <w:sz w:val="18"/>
          <w:szCs w:val="18"/>
        </w:rPr>
        <w:t xml:space="preserve">HLS-A06 Appeal Drafter</w:t>
      </w:r>
      <w:r>
        <w:t xml:space="preserve"> (reasoning tier) pulls the clinical documentation, coding record, and historical appeal outcomes for this payer/denial-type combination and drafts the appeal narrative with specific chart-citations. The analyst reviews the draft and either approves-to-file, modifies, or rejects. Empirically the first-pass quality is high enough that approval rates run 80%+ and analyst touch drops from 60-120 minutes to 10-15.</w:t>
      </w:r>
    </w:p>
    <w:p>
      <w:pPr>
        <w:spacing w:after="140"/>
      </w:pPr>
      <w:r>
        <w:t xml:space="preserve">KPI impact: </w:t>
      </w:r>
      <w:r>
        <w:rPr>
          <w:rFonts w:ascii="Cascadia Mono" w:cs="Cascadia Mono" w:eastAsia="Cascadia Mono" w:hAnsi="Cascadia Mono"/>
          <w:color w:val="2B2B2B"/>
          <w:sz w:val="18"/>
          <w:szCs w:val="18"/>
        </w:rPr>
        <w:t xml:space="preserve">denial_recovery_usd</w:t>
      </w:r>
      <w:r>
        <w:t xml:space="preserve"> maximise · </w:t>
      </w:r>
      <w:r>
        <w:rPr>
          <w:rFonts w:ascii="Cascadia Mono" w:cs="Cascadia Mono" w:eastAsia="Cascadia Mono" w:hAnsi="Cascadia Mono"/>
          <w:color w:val="2B2B2B"/>
          <w:sz w:val="18"/>
          <w:szCs w:val="18"/>
        </w:rPr>
        <w:t xml:space="preserve">appeal_acceptance_pct ≥ 55%</w:t>
      </w:r>
      <w:r>
        <w:t xml:space="preserve"> · </w:t>
      </w:r>
      <w:r>
        <w:rPr>
          <w:rFonts w:ascii="Cascadia Mono" w:cs="Cascadia Mono" w:eastAsia="Cascadia Mono" w:hAnsi="Cascadia Mono"/>
          <w:color w:val="2B2B2B"/>
          <w:sz w:val="18"/>
          <w:szCs w:val="18"/>
        </w:rPr>
        <w:t xml:space="preserve">days_to_appeal ≤ 10</w:t>
      </w:r>
      <w:r>
        <w:t xml:space="preserve">. Artifacts: HLSCML.CLAIM_DENIAL/PATIENT_ENCOUNTER/CODING_RECORD. Prereqs: 837/835 feed + EHR coding + F16 + HIPAA + SOX + </w:t>
      </w:r>
      <w:r>
        <w:rPr>
          <w:rFonts w:ascii="Cascadia Mono" w:cs="Cascadia Mono" w:eastAsia="Cascadia Mono" w:hAnsi="Cascadia Mono"/>
          <w:color w:val="2B2B2B"/>
          <w:sz w:val="18"/>
          <w:szCs w:val="18"/>
        </w:rPr>
        <w:t xml:space="preserve">revenue-cycle-analyst</w:t>
      </w:r>
      <w:r>
        <w:t xml:space="preserve"> group.</w:t>
      </w:r>
    </w:p>
    <w:p>
      <w:pPr>
        <w:pStyle w:val="Heading4"/>
        <w:spacing w:after="100" w:before="220"/>
      </w:pPr>
      <w:r>
        <w:rPr>
          <w:rFonts w:ascii="Aptos" w:cs="Aptos" w:eastAsia="Aptos" w:hAnsi="Aptos"/>
          <w:b/>
          <w:bCs/>
          <w:color w:val="0B111E"/>
          <w:sz w:val="20"/>
          <w:szCs w:val="20"/>
        </w:rPr>
        <w:t xml:space="preserve">Supply Expiry Management — APEX-HLS-SUP-04</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 (HITL on recall intersections)</w:t>
      </w:r>
    </w:p>
    <w:p>
      <w:pPr>
        <w:spacing w:after="140"/>
      </w:pPr>
      <w:r>
        <w:t xml:space="preserve">Pharmacy and central-supply inventory has two adversaries: expiry and recall. Expiring medications can sometimes be redistributed across the system; recalled medications must be sequestered within hours. Both require end-to-end lot tracking that very few health systems do well at steady state.</w:t>
      </w:r>
    </w:p>
    <w:p>
      <w:pPr>
        <w:spacing w:after="140"/>
      </w:pPr>
      <w:r>
        <w:t xml:space="preserve">SUP-04 watches expiry curves against both product catalog and FDA+pharma-recall feeds. </w:t>
      </w:r>
      <w:r>
        <w:rPr>
          <w:rFonts w:ascii="Cascadia Mono" w:cs="Cascadia Mono" w:eastAsia="Cascadia Mono" w:hAnsi="Cascadia Mono"/>
          <w:color w:val="2B2B2B"/>
          <w:sz w:val="18"/>
          <w:szCs w:val="18"/>
        </w:rPr>
        <w:t xml:space="preserve">SCM-A07 Expiry Curve Monitor</w:t>
      </w:r>
      <w:r>
        <w:t xml:space="preserve"> produces 30-day, 14-day, 7-day rolling expiry reports with reallocation candidates (units that could be moved to a sister facility with higher turn). </w:t>
      </w:r>
      <w:r>
        <w:rPr>
          <w:rFonts w:ascii="Cascadia Mono" w:cs="Cascadia Mono" w:eastAsia="Cascadia Mono" w:hAnsi="Cascadia Mono"/>
          <w:color w:val="2B2B2B"/>
          <w:sz w:val="18"/>
          <w:szCs w:val="18"/>
        </w:rPr>
        <w:t xml:space="preserve">SCM-A08 Recall Intersection Agent</w:t>
      </w:r>
      <w:r>
        <w:t xml:space="preserve"> continuously joins lot-level inventory against incoming recall notices; any intersection elevates the gate to HITL immediately and pages the pharmacy supply lead.</w:t>
      </w:r>
    </w:p>
    <w:p>
      <w:pPr>
        <w:spacing w:after="140"/>
      </w:pPr>
      <w:r>
        <w:t xml:space="preserve">KPI impact: </w:t>
      </w:r>
      <w:r>
        <w:rPr>
          <w:rFonts w:ascii="Cascadia Mono" w:cs="Cascadia Mono" w:eastAsia="Cascadia Mono" w:hAnsi="Cascadia Mono"/>
          <w:color w:val="2B2B2B"/>
          <w:sz w:val="18"/>
          <w:szCs w:val="18"/>
        </w:rPr>
        <w:t xml:space="preserve">expiry_waste_reduction_pct ≥ 40%</w:t>
      </w:r>
      <w:r>
        <w:t xml:space="preserve"> · </w:t>
      </w:r>
      <w:r>
        <w:rPr>
          <w:rFonts w:ascii="Cascadia Mono" w:cs="Cascadia Mono" w:eastAsia="Cascadia Mono" w:hAnsi="Cascadia Mono"/>
          <w:color w:val="2B2B2B"/>
          <w:sz w:val="18"/>
          <w:szCs w:val="18"/>
        </w:rPr>
        <w:t xml:space="preserve">supply_unavailability_events</w:t>
      </w:r>
      <w:r>
        <w:t xml:space="preserve"> minimise · </w:t>
      </w:r>
      <w:r>
        <w:rPr>
          <w:rFonts w:ascii="Cascadia Mono" w:cs="Cascadia Mono" w:eastAsia="Cascadia Mono" w:hAnsi="Cascadia Mono"/>
          <w:color w:val="2B2B2B"/>
          <w:sz w:val="18"/>
          <w:szCs w:val="18"/>
        </w:rPr>
        <w:t xml:space="preserve">recall_containment_hours ≤ 2</w:t>
      </w:r>
      <w:r>
        <w:t xml:space="preserve">. Artifacts: SCML.LOT_EXPIRATION_STATE/RECALL_NOTICE/STORE_INVENTORY_POSITION. Prereqs: pharmacy inventory + FDA/pharma recall feeds + F16 + HIPAA + </w:t>
      </w:r>
      <w:r>
        <w:rPr>
          <w:rFonts w:ascii="Cascadia Mono" w:cs="Cascadia Mono" w:eastAsia="Cascadia Mono" w:hAnsi="Cascadia Mono"/>
          <w:color w:val="2B2B2B"/>
          <w:sz w:val="18"/>
          <w:szCs w:val="18"/>
        </w:rPr>
        <w:t xml:space="preserve">supply-chain-pharm</w:t>
      </w:r>
      <w:r>
        <w:t xml:space="preserve"> group.</w:t>
      </w:r>
    </w:p>
    <w:p>
      <w:pPr>
        <w:pStyle w:val="Heading4"/>
        <w:spacing w:after="100" w:before="220"/>
      </w:pPr>
      <w:r>
        <w:rPr>
          <w:rFonts w:ascii="Aptos" w:cs="Aptos" w:eastAsia="Aptos" w:hAnsi="Aptos"/>
          <w:b/>
          <w:bCs/>
          <w:color w:val="0B111E"/>
          <w:sz w:val="20"/>
          <w:szCs w:val="20"/>
        </w:rPr>
        <w:t xml:space="preserve">Clinical Trial Matching — APEX-HLS-CTM-05</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Academic medical centres and large community systems participate in dozens of active clinical trials. Patients with matching diagnoses arrive daily — and the match-rate from current workflows (typically CRC review of EHR lists) is painfully low, often under 5% of eligible patients ever contacted.</w:t>
      </w:r>
    </w:p>
    <w:p>
      <w:pPr>
        <w:spacing w:after="140"/>
      </w:pPr>
      <w:r>
        <w:t xml:space="preserve">CTM-05 matches continuously. </w:t>
      </w:r>
      <w:r>
        <w:rPr>
          <w:rFonts w:ascii="Cascadia Mono" w:cs="Cascadia Mono" w:eastAsia="Cascadia Mono" w:hAnsi="Cascadia Mono"/>
          <w:color w:val="2B2B2B"/>
          <w:sz w:val="18"/>
          <w:szCs w:val="18"/>
        </w:rPr>
        <w:t xml:space="preserve">HLS-A07 Trial Eligibility Reasoner</w:t>
      </w:r>
      <w:r>
        <w:t xml:space="preserve"> (reasoning tier) evaluates each new patient or diagnosis-change event against the eligibility criteria of open trials at the institution. Matches above a confidence threshold produce a HITL card for the trial coordinator with the specific patient, the candidate trial(s), and the eligibility reasoning. The coordinator reviews, decides whether to initiate outreach, and the decision is captured — both as outreach action and as training data for future match quality.</w:t>
      </w:r>
    </w:p>
    <w:p>
      <w:pPr>
        <w:spacing w:after="140"/>
      </w:pPr>
      <w:r>
        <w:t xml:space="preserve">KPI impact: </w:t>
      </w:r>
      <w:r>
        <w:rPr>
          <w:rFonts w:ascii="Cascadia Mono" w:cs="Cascadia Mono" w:eastAsia="Cascadia Mono" w:hAnsi="Cascadia Mono"/>
          <w:color w:val="2B2B2B"/>
          <w:sz w:val="18"/>
          <w:szCs w:val="18"/>
        </w:rPr>
        <w:t xml:space="preserve">trial_enrolment_rate_pct ≥ 15%</w:t>
      </w:r>
      <w:r>
        <w:t xml:space="preserve"> · </w:t>
      </w:r>
      <w:r>
        <w:rPr>
          <w:rFonts w:ascii="Cascadia Mono" w:cs="Cascadia Mono" w:eastAsia="Cascadia Mono" w:hAnsi="Cascadia Mono"/>
          <w:color w:val="2B2B2B"/>
          <w:sz w:val="18"/>
          <w:szCs w:val="18"/>
        </w:rPr>
        <w:t xml:space="preserve">match_precision_pct ≥ 90%</w:t>
      </w:r>
      <w:r>
        <w:t xml:space="preserve"> · </w:t>
      </w:r>
      <w:r>
        <w:rPr>
          <w:rFonts w:ascii="Cascadia Mono" w:cs="Cascadia Mono" w:eastAsia="Cascadia Mono" w:hAnsi="Cascadia Mono"/>
          <w:color w:val="2B2B2B"/>
          <w:sz w:val="18"/>
          <w:szCs w:val="18"/>
        </w:rPr>
        <w:t xml:space="preserve">time_to_outreach_hours ≤ 48</w:t>
      </w:r>
      <w:r>
        <w:t xml:space="preserve">. Artifacts: HLSCML.PATIENT_ENCOUNTER/TRIAL_PROTOCOL/ELIGIBILITY_CRITERIA. Prereqs: EHR + trials registry (ClinicalTrials.gov and institutional) + F32 + HIPAA.</w:t>
      </w:r>
    </w:p>
    <w:p>
      <w:pPr>
        <w:pStyle w:val="Heading4"/>
        <w:spacing w:after="100" w:before="220"/>
      </w:pPr>
      <w:r>
        <w:rPr>
          <w:rFonts w:ascii="Aptos" w:cs="Aptos" w:eastAsia="Aptos" w:hAnsi="Aptos"/>
          <w:b/>
          <w:bCs/>
          <w:color w:val="0B111E"/>
          <w:sz w:val="20"/>
          <w:szCs w:val="20"/>
        </w:rPr>
        <w:t xml:space="preserve">Patient Safety Incident — APEX-HLS-PSI-06</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Near-miss and adverse-event reporting is the backbone of patient-safety governance, and it is almost universally incomplete. Reports come in through multiple channels; triage is slow; severity assessment is inconsistent; regulatory reporting windows are missed because severity got mis-classified on intake.</w:t>
      </w:r>
    </w:p>
    <w:p>
      <w:pPr>
        <w:spacing w:after="140"/>
      </w:pPr>
      <w:r>
        <w:t xml:space="preserve">PSI-06 classifies, triages, and packages. </w:t>
      </w:r>
      <w:r>
        <w:rPr>
          <w:rFonts w:ascii="Cascadia Mono" w:cs="Cascadia Mono" w:eastAsia="Cascadia Mono" w:hAnsi="Cascadia Mono"/>
          <w:color w:val="2B2B2B"/>
          <w:sz w:val="18"/>
          <w:szCs w:val="18"/>
        </w:rPr>
        <w:t xml:space="preserve">HLS-A08 Severity Classifier</w:t>
      </w:r>
      <w:r>
        <w:t xml:space="preserve"> assigns NCC MERP-adjacent severity levels on intake. </w:t>
      </w:r>
      <w:r>
        <w:rPr>
          <w:rFonts w:ascii="Cascadia Mono" w:cs="Cascadia Mono" w:eastAsia="Cascadia Mono" w:hAnsi="Cascadia Mono"/>
          <w:color w:val="2B2B2B"/>
          <w:sz w:val="18"/>
          <w:szCs w:val="18"/>
        </w:rPr>
        <w:t xml:space="preserve">HLS-A09 Regulatory Reporting Agent</w:t>
      </w:r>
      <w:r>
        <w:t xml:space="preserve"> assembles the regulator-specific packet (CMS, state health department, sentinel-event frameworks as applicable) when severity warrants it. The ESCALATION gate routes to the Patient Safety Officer, and the package is ready for them — not a blank form and a queue of unread emails.</w:t>
      </w:r>
    </w:p>
    <w:p>
      <w:pPr>
        <w:spacing w:after="140"/>
      </w:pPr>
      <w:r>
        <w:t xml:space="preserve">KPI impact: </w:t>
      </w:r>
      <w:r>
        <w:rPr>
          <w:rFonts w:ascii="Cascadia Mono" w:cs="Cascadia Mono" w:eastAsia="Cascadia Mono" w:hAnsi="Cascadia Mono"/>
          <w:color w:val="2B2B2B"/>
          <w:sz w:val="18"/>
          <w:szCs w:val="18"/>
        </w:rPr>
        <w:t xml:space="preserve">severe_incident_detection_pct ≥ 99%</w:t>
      </w:r>
      <w:r>
        <w:t xml:space="preserve"> · </w:t>
      </w:r>
      <w:r>
        <w:rPr>
          <w:rFonts w:ascii="Cascadia Mono" w:cs="Cascadia Mono" w:eastAsia="Cascadia Mono" w:hAnsi="Cascadia Mono"/>
          <w:color w:val="2B2B2B"/>
          <w:sz w:val="18"/>
          <w:szCs w:val="18"/>
        </w:rPr>
        <w:t xml:space="preserve">regulatory_report_on_time_pct ≥ 100%</w:t>
      </w:r>
      <w:r>
        <w:t xml:space="preserve"> · </w:t>
      </w:r>
      <w:r>
        <w:rPr>
          <w:rFonts w:ascii="Cascadia Mono" w:cs="Cascadia Mono" w:eastAsia="Cascadia Mono" w:hAnsi="Cascadia Mono"/>
          <w:color w:val="2B2B2B"/>
          <w:sz w:val="18"/>
          <w:szCs w:val="18"/>
        </w:rPr>
        <w:t xml:space="preserve">time_to_classification_hours ≤ 4</w:t>
      </w:r>
      <w:r>
        <w:t xml:space="preserve">. Artifacts: HLSCML.PATIENT_SAFETY_EVENT/INCIDENT_CLASSIFICATION. Prereqs: incident reporting system + EHR + F16 + HIPAA + 21 CFR Part 11.</w:t>
      </w:r>
    </w:p>
    <w:p>
      <w:pPr>
        <w:pStyle w:val="Heading3"/>
        <w:spacing w:after="120" w:before="260"/>
      </w:pPr>
      <w:r>
        <w:rPr>
          <w:rFonts w:ascii="Aptos" w:cs="Aptos" w:eastAsia="Aptos" w:hAnsi="Aptos"/>
          <w:b/>
          <w:bCs/>
          <w:color w:val="0B111E"/>
          <w:sz w:val="24"/>
          <w:szCs w:val="24"/>
        </w:rPr>
        <w:t xml:space="preserve">Architecture Components (HLS)</w:t>
      </w:r>
    </w:p>
    <w:p>
      <w:pPr>
        <w:pStyle w:val="Heading4"/>
        <w:spacing w:after="100" w:before="220"/>
      </w:pPr>
      <w:r>
        <w:rPr>
          <w:rFonts w:ascii="Aptos" w:cs="Aptos" w:eastAsia="Aptos" w:hAnsi="Aptos"/>
          <w:b/>
          <w:bCs/>
          <w:color w:val="0B111E"/>
          <w:sz w:val="20"/>
          <w:szCs w:val="20"/>
        </w:rPr>
        <w:t xml:space="preserve">Canonical Silver Schemas</w:t>
      </w:r>
    </w:p>
    <w:p>
      <w:pPr>
        <w:spacing w:after="140"/>
      </w:pPr>
      <w:r>
        <w:t xml:space="preserve">HLS Practice uses </w:t>
      </w:r>
      <w:r>
        <w:rPr>
          <w:b/>
          <w:bCs/>
        </w:rPr>
        <w:t xml:space="preserve">HLSCML</w:t>
      </w:r>
      <w:r>
        <w:t xml:space="preserve"> as the primary canonical schema family, with 18 entities spanning encounters, observations, care plans, vitals, labs, claims, coding, trials, and patient-safety events. SCML is used selectively for pharmacy-supply lot tracking and pharma recall intersection.</w:t>
      </w:r>
    </w:p>
    <w:p>
      <w:pPr>
        <w:pStyle w:val="Heading4"/>
        <w:spacing w:after="100" w:before="220"/>
      </w:pPr>
      <w:r>
        <w:rPr>
          <w:rFonts w:ascii="Aptos" w:cs="Aptos" w:eastAsia="Aptos" w:hAnsi="Aptos"/>
          <w:b/>
          <w:bCs/>
          <w:color w:val="0B111E"/>
          <w:sz w:val="20"/>
          <w:szCs w:val="20"/>
        </w:rPr>
        <w:t xml:space="preserve">Primary Systems of Record</w:t>
      </w:r>
    </w:p>
    <w:p>
      <w:pPr>
        <w:pStyle w:val="ListParagraph"/>
        <w:numPr>
          <w:ilvl w:val="0"/>
          <w:numId w:val="1"/>
        </w:numPr>
        <w:spacing w:after="60"/>
      </w:pPr>
      <w:r>
        <w:rPr>
          <w:b/>
          <w:bCs/>
        </w:rPr>
        <w:t xml:space="preserve">Epic EHR</w:t>
      </w:r>
      <w:r>
        <w:t xml:space="preserve"> (via Clarity/Caboodle CDC + ADT stream + FHIR API) — primary source for all clinical services</w:t>
      </w:r>
    </w:p>
    <w:p>
      <w:pPr>
        <w:pStyle w:val="ListParagraph"/>
        <w:numPr>
          <w:ilvl w:val="0"/>
          <w:numId w:val="1"/>
        </w:numPr>
        <w:spacing w:after="60"/>
      </w:pPr>
      <w:r>
        <w:rPr>
          <w:b/>
          <w:bCs/>
        </w:rPr>
        <w:t xml:space="preserve">Oracle Health (Cerner)</w:t>
      </w:r>
      <w:r>
        <w:t xml:space="preserve"> — alternative EHR with equivalent Silver mapping</w:t>
      </w:r>
    </w:p>
    <w:p>
      <w:pPr>
        <w:pStyle w:val="ListParagraph"/>
        <w:numPr>
          <w:ilvl w:val="0"/>
          <w:numId w:val="1"/>
        </w:numPr>
        <w:spacing w:after="60"/>
      </w:pPr>
      <w:r>
        <w:rPr>
          <w:b/>
          <w:bCs/>
        </w:rPr>
        <w:t xml:space="preserve">Pharmacy inventory (Omnicell / Pyxis / institutional)</w:t>
      </w:r>
      <w:r>
        <w:t xml:space="preserve"> — SUP-04 source</w:t>
      </w:r>
    </w:p>
    <w:p>
      <w:pPr>
        <w:pStyle w:val="ListParagraph"/>
        <w:numPr>
          <w:ilvl w:val="0"/>
          <w:numId w:val="1"/>
        </w:numPr>
        <w:spacing w:after="60"/>
      </w:pPr>
      <w:r>
        <w:rPr>
          <w:b/>
          <w:bCs/>
        </w:rPr>
        <w:t xml:space="preserve">Trials registry (ClinicalTrials.gov + institutional CRIS)</w:t>
      </w:r>
      <w:r>
        <w:t xml:space="preserve"> — CTM-05 source</w:t>
      </w:r>
    </w:p>
    <w:p>
      <w:pPr>
        <w:pStyle w:val="ListParagraph"/>
        <w:numPr>
          <w:ilvl w:val="0"/>
          <w:numId w:val="1"/>
        </w:numPr>
        <w:spacing w:after="60"/>
      </w:pPr>
      <w:r>
        <w:rPr>
          <w:b/>
          <w:bCs/>
        </w:rPr>
        <w:t xml:space="preserve">Denial/claim feeds (837/835 X12)</w:t>
      </w:r>
      <w:r>
        <w:t xml:space="preserve"> — RVC-03 source</w:t>
      </w:r>
    </w:p>
    <w:p>
      <w:pPr>
        <w:pStyle w:val="ListParagraph"/>
        <w:numPr>
          <w:ilvl w:val="0"/>
          <w:numId w:val="1"/>
        </w:numPr>
        <w:spacing w:after="60"/>
      </w:pPr>
      <w:r>
        <w:rPr>
          <w:b/>
          <w:bCs/>
        </w:rPr>
        <w:t xml:space="preserve">Incident reporting system</w:t>
      </w:r>
      <w:r>
        <w:t xml:space="preserve"> — PSI-06 source</w:t>
      </w:r>
    </w:p>
    <w:p>
      <w:pPr>
        <w:spacing w:after="140"/>
      </w:pPr>
      <w:r>
        <w:t xml:space="preserve">Integration patterns: Mirrored Database for Clarity/Caboodle (CDC), Eventstream for ADT (real-time), Dataflow Gen2 for FHIR (pull-based), SFTP+Pipeline for denial feeds.</w:t>
      </w:r>
    </w:p>
    <w:p>
      <w:pPr>
        <w:pStyle w:val="Heading4"/>
        <w:spacing w:after="100" w:before="220"/>
      </w:pPr>
      <w:r>
        <w:rPr>
          <w:rFonts w:ascii="Aptos" w:cs="Aptos" w:eastAsia="Aptos" w:hAnsi="Aptos"/>
          <w:b/>
          <w:bCs/>
          <w:color w:val="0B111E"/>
          <w:sz w:val="20"/>
          <w:szCs w:val="20"/>
        </w:rPr>
        <w:t xml:space="preserve">Fabric Capacity Planning (HLS)</w:t>
      </w:r>
    </w:p>
    <w:p>
      <w:pPr>
        <w:pStyle w:val="ListParagraph"/>
        <w:numPr>
          <w:ilvl w:val="0"/>
          <w:numId w:val="1"/>
        </w:numPr>
        <w:spacing w:after="60"/>
      </w:pPr>
      <w:r>
        <w:rPr>
          <w:b/>
          <w:bCs/>
        </w:rPr>
        <w:t xml:space="preserve">F32</w:t>
      </w:r>
      <w:r>
        <w:t xml:space="preserve"> baseline — reasoning-tier models (SEP-02 HLS-A04, RVC-03 HLS-A06, CTM-05 HLS-A07) raise token spend substantially</w:t>
      </w:r>
    </w:p>
    <w:p>
      <w:pPr>
        <w:pStyle w:val="ListParagraph"/>
        <w:numPr>
          <w:ilvl w:val="0"/>
          <w:numId w:val="1"/>
        </w:numPr>
        <w:spacing w:after="60"/>
      </w:pPr>
      <w:r>
        <w:rPr>
          <w:b/>
          <w:bCs/>
        </w:rPr>
        <w:t xml:space="preserve">F64</w:t>
      </w:r>
      <w:r>
        <w:t xml:space="preserve"> standard for &gt; 1,000-bed health systems</w:t>
      </w:r>
    </w:p>
    <w:p>
      <w:pPr>
        <w:pStyle w:val="ListParagraph"/>
        <w:numPr>
          <w:ilvl w:val="0"/>
          <w:numId w:val="1"/>
        </w:numPr>
        <w:spacing w:after="60"/>
      </w:pPr>
      <w:r>
        <w:rPr>
          <w:b/>
          <w:bCs/>
        </w:rPr>
        <w:t xml:space="preserve">F128</w:t>
      </w:r>
      <w:r>
        <w:t xml:space="preserve"> enterprise — multi-hospital IDNs with SEP-02 at scale</w:t>
      </w:r>
    </w:p>
    <w:p>
      <w:pPr>
        <w:pStyle w:val="Heading4"/>
        <w:spacing w:after="100" w:before="220"/>
      </w:pPr>
      <w:r>
        <w:rPr>
          <w:rFonts w:ascii="Aptos" w:cs="Aptos" w:eastAsia="Aptos" w:hAnsi="Aptos"/>
          <w:b/>
          <w:bCs/>
          <w:color w:val="0B111E"/>
          <w:sz w:val="20"/>
          <w:szCs w:val="20"/>
        </w:rPr>
        <w:t xml:space="preserve">Identity and PHI Segregation</w:t>
      </w:r>
    </w:p>
    <w:p>
      <w:pPr>
        <w:spacing w:after="140"/>
      </w:pPr>
      <w:r>
        <w:t xml:space="preserve">HLS is APEX's strictest identity regime. Every clinical service reads through </w:t>
      </w:r>
      <w:r>
        <w:rPr>
          <w:rFonts w:ascii="Cascadia Mono" w:cs="Cascadia Mono" w:eastAsia="Cascadia Mono" w:hAnsi="Cascadia Mono"/>
          <w:color w:val="2B2B2B"/>
          <w:sz w:val="18"/>
          <w:szCs w:val="18"/>
        </w:rPr>
        <w:t xml:space="preserve">hlscml-mcp</w:t>
      </w:r>
      <w:r>
        <w:t xml:space="preserve"> under </w:t>
      </w:r>
      <w:r>
        <w:rPr>
          <w:rFonts w:ascii="Cascadia Mono" w:cs="Cascadia Mono" w:eastAsia="Cascadia Mono" w:hAnsi="Cascadia Mono"/>
          <w:color w:val="2B2B2B"/>
          <w:sz w:val="18"/>
          <w:szCs w:val="18"/>
        </w:rPr>
        <w:t xml:space="preserve">mi-apex-hls-mcp</w:t>
      </w:r>
      <w:r>
        <w:t xml:space="preserve">, which holds PHI-read grants only against the tokenised Silver layer. Cleartext PHI lookup is possible only through </w:t>
      </w:r>
      <w:r>
        <w:rPr>
          <w:rFonts w:ascii="Cascadia Mono" w:cs="Cascadia Mono" w:eastAsia="Cascadia Mono" w:hAnsi="Cascadia Mono"/>
          <w:color w:val="2B2B2B"/>
          <w:sz w:val="18"/>
          <w:szCs w:val="18"/>
        </w:rPr>
        <w:t xml:space="preserve">tokenizer-mcp.reverse_tokenize</w:t>
      </w:r>
      <w:r>
        <w:t xml:space="preserve"> under </w:t>
      </w:r>
      <w:r>
        <w:rPr>
          <w:rFonts w:ascii="Cascadia Mono" w:cs="Cascadia Mono" w:eastAsia="Cascadia Mono" w:hAnsi="Cascadia Mono"/>
          <w:color w:val="2B2B2B"/>
          <w:sz w:val="18"/>
          <w:szCs w:val="18"/>
        </w:rPr>
        <w:t xml:space="preserve">mi-apex-hls-pii-unlock</w:t>
      </w:r>
      <w:r>
        <w:t xml:space="preserve">, which carries audit-before-call discipline. Clinical identity groups (</w:t>
      </w:r>
      <w:r>
        <w:rPr>
          <w:rFonts w:ascii="Cascadia Mono" w:cs="Cascadia Mono" w:eastAsia="Cascadia Mono" w:hAnsi="Cascadia Mono"/>
          <w:color w:val="2B2B2B"/>
          <w:sz w:val="18"/>
          <w:szCs w:val="18"/>
        </w:rPr>
        <w:t xml:space="preserve">charge-nurse</w:t>
      </w:r>
      <w:r>
        <w:t xml:space="preserve">, </w:t>
      </w:r>
      <w:r>
        <w:rPr>
          <w:rFonts w:ascii="Cascadia Mono" w:cs="Cascadia Mono" w:eastAsia="Cascadia Mono" w:hAnsi="Cascadia Mono"/>
          <w:color w:val="2B2B2B"/>
          <w:sz w:val="18"/>
          <w:szCs w:val="18"/>
        </w:rPr>
        <w:t xml:space="preserve">clinical-informaticist</w:t>
      </w:r>
      <w:r>
        <w:t xml:space="preserve">, etc.) have per-unit scoping enforced through AAD group membership.</w:t>
      </w:r>
    </w:p>
    <w:p>
      <w:pPr>
        <w:spacing w:after="140"/>
      </w:pPr>
      <w:r>
        <w:t xml:space="preserve">Purview labels on every PHI-bearing Silver table; DLP inspection on every outbound agent response for PHI leak. The </w:t>
      </w:r>
      <w:r>
        <w:rPr>
          <w:rFonts w:ascii="Cascadia Mono" w:cs="Cascadia Mono" w:eastAsia="Cascadia Mono" w:hAnsi="Cascadia Mono"/>
          <w:color w:val="2B2B2B"/>
          <w:sz w:val="18"/>
          <w:szCs w:val="18"/>
        </w:rPr>
        <w:t xml:space="preserve">-32003 DLP_VIOLATION</w:t>
      </w:r>
      <w:r>
        <w:t xml:space="preserve"> error returns when an agent attempts to include cleartext PHI in an output — which should be rare, because agents read tokens, not cleartext.</w:t>
      </w:r>
    </w:p>
    <w:p>
      <w:pPr>
        <w:pStyle w:val="Heading3"/>
        <w:spacing w:after="120" w:before="260"/>
      </w:pPr>
      <w:r>
        <w:rPr>
          <w:rFonts w:ascii="Aptos" w:cs="Aptos" w:eastAsia="Aptos" w:hAnsi="Aptos"/>
          <w:b/>
          <w:bCs/>
          <w:color w:val="0B111E"/>
          <w:sz w:val="24"/>
          <w:szCs w:val="24"/>
        </w:rPr>
        <w:t xml:space="preserve">ISV Ecosystem (HLS)</w:t>
      </w:r>
    </w:p>
    <w:p>
      <w:pPr>
        <w:pStyle w:val="ListParagraph"/>
        <w:numPr>
          <w:ilvl w:val="0"/>
          <w:numId w:val="1"/>
        </w:numPr>
        <w:spacing w:after="60"/>
      </w:pPr>
      <w:r>
        <w:rPr>
          <w:b/>
          <w:bCs/>
        </w:rPr>
        <w:t xml:space="preserve">Epic</w:t>
      </w:r>
      <w:r>
        <w:t xml:space="preserve"> — electronic health record; primary integration path</w:t>
      </w:r>
    </w:p>
    <w:p>
      <w:pPr>
        <w:pStyle w:val="ListParagraph"/>
        <w:numPr>
          <w:ilvl w:val="0"/>
          <w:numId w:val="1"/>
        </w:numPr>
        <w:spacing w:after="60"/>
      </w:pPr>
      <w:r>
        <w:rPr>
          <w:b/>
          <w:bCs/>
        </w:rPr>
        <w:t xml:space="preserve">Oracle Health (Cerner)</w:t>
      </w:r>
      <w:r>
        <w:t xml:space="preserve"> — alternative EHR</w:t>
      </w:r>
    </w:p>
    <w:p>
      <w:pPr>
        <w:pStyle w:val="ListParagraph"/>
        <w:numPr>
          <w:ilvl w:val="0"/>
          <w:numId w:val="1"/>
        </w:numPr>
        <w:spacing w:after="60"/>
      </w:pPr>
      <w:r>
        <w:rPr>
          <w:b/>
          <w:bCs/>
        </w:rPr>
        <w:t xml:space="preserve">Infor Lawson</w:t>
      </w:r>
      <w:r>
        <w:t xml:space="preserve"> — revenue-cycle and ERP integration</w:t>
      </w:r>
    </w:p>
    <w:p>
      <w:pPr>
        <w:pStyle w:val="ListParagraph"/>
        <w:numPr>
          <w:ilvl w:val="0"/>
          <w:numId w:val="1"/>
        </w:numPr>
        <w:spacing w:after="60"/>
      </w:pPr>
      <w:r>
        <w:rPr>
          <w:b/>
          <w:bCs/>
        </w:rPr>
        <w:t xml:space="preserve">IQVIA</w:t>
      </w:r>
      <w:r>
        <w:t xml:space="preserve"> — clinical trials registry and site management</w:t>
      </w:r>
    </w:p>
    <w:p>
      <w:pPr>
        <w:pStyle w:val="ListParagraph"/>
        <w:numPr>
          <w:ilvl w:val="0"/>
          <w:numId w:val="1"/>
        </w:numPr>
        <w:spacing w:after="60"/>
      </w:pPr>
      <w:r>
        <w:rPr>
          <w:b/>
          <w:bCs/>
        </w:rPr>
        <w:t xml:space="preserve">Omnicell / Pyxis</w:t>
      </w:r>
      <w:r>
        <w:t xml:space="preserve"> — pharmacy dispensing systems</w:t>
      </w:r>
    </w:p>
    <w:p>
      <w:pPr>
        <w:pStyle w:val="ListParagraph"/>
        <w:numPr>
          <w:ilvl w:val="0"/>
          <w:numId w:val="1"/>
        </w:numPr>
        <w:spacing w:after="60"/>
      </w:pPr>
      <w:r>
        <w:rPr>
          <w:b/>
          <w:bCs/>
        </w:rPr>
        <w:t xml:space="preserve">Wolters Kluwer / UpToDate</w:t>
      </w:r>
      <w:r>
        <w:t xml:space="preserve"> — clinical decision-support knowledge references</w:t>
      </w:r>
    </w:p>
    <w:p>
      <w:pPr>
        <w:pStyle w:val="Heading3"/>
        <w:spacing w:after="120" w:before="260"/>
      </w:pPr>
      <w:r>
        <w:rPr>
          <w:rFonts w:ascii="Aptos" w:cs="Aptos" w:eastAsia="Aptos" w:hAnsi="Aptos"/>
          <w:b/>
          <w:bCs/>
          <w:color w:val="0B111E"/>
          <w:sz w:val="24"/>
          <w:szCs w:val="24"/>
        </w:rPr>
        <w:t xml:space="preserve">3.8 Business Case Highlights (HLS)</w:t>
      </w:r>
    </w:p>
    <w:p>
      <w:pPr>
        <w:spacing w:after="140"/>
      </w:pPr>
      <w:r>
        <w:t xml:space="preserve">Typical financial case for a Wave 1 HLS deployment (12-hospital health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DSR-01 Discharge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$3–6M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 reduction ~0.3 days across all admissions; ~30K annual admissions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RVC-03 Denial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Recovery of 55-65% of contested denials that were previously dropped; ~$20M/yr denials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SUP-04 Supply Expiry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$400–800K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Expiry waste reduction 40%+; pharmacy supply dominant contributor</w:t>
            </w:r>
          </w:p>
        </w:tc>
      </w:tr>
    </w:tbl>
    <w:p>
      <w:pPr>
        <w:spacing w:after="120"/>
      </w:pPr>
      <w:r>
        <w:t xml:space="preserve"/>
      </w:r>
    </w:p>
    <w:p>
      <w:pPr>
        <w:spacing w:after="140"/>
      </w:pPr>
      <w:r>
        <w:t xml:space="preserve">Total Wave 1 annualised benefit for HLS: </w:t>
      </w:r>
      <w:r>
        <w:rPr>
          <w:b/>
          <w:bCs/>
        </w:rPr>
        <w:t xml:space="preserve">$10–18M</w:t>
      </w:r>
      <w:r>
        <w:t xml:space="preserve"> against </w:t>
      </w:r>
      <w:r>
        <w:rPr>
          <w:b/>
          <w:bCs/>
        </w:rPr>
        <w:t xml:space="preserve">$4–7M</w:t>
      </w:r>
      <w:r>
        <w:t xml:space="preserve"> investment. HLS services typically have the strongest payback math in the APEX catalogue because clinical and revenue-cycle inefficiencies are large dollar items.</w:t>
      </w:r>
    </w:p>
    <w:p>
      <w:pPr>
        <w:spacing w:after="140"/>
      </w:pPr>
      <w:r>
        <w:t xml:space="preserve">Clinical-safety benefits (SEP-02, PSI-06) are not monetised but are the board-level story for why HLS clients sign.</w:t>
      </w:r>
    </w:p>
    <w:p>
      <w:pPr>
        <w:pStyle w:val="Heading3"/>
        <w:spacing w:after="120" w:before="260"/>
      </w:pPr>
      <w:r>
        <w:rPr>
          <w:rFonts w:ascii="Aptos" w:cs="Aptos" w:eastAsia="Aptos" w:hAnsi="Aptos"/>
          <w:b/>
          <w:bCs/>
          <w:color w:val="0B111E"/>
          <w:sz w:val="24"/>
          <w:szCs w:val="24"/>
        </w:rPr>
        <w:t xml:space="preserve">3.9 Implementation Roadmap (HLS)</w:t>
      </w:r>
    </w:p>
    <w:p>
      <w:pPr>
        <w:spacing w:after="140"/>
      </w:pPr>
      <w:r>
        <w:rPr>
          <w:b/>
          <w:bCs/>
        </w:rPr>
        <w:t xml:space="preserve">Wave 1</w:t>
      </w:r>
      <w:r>
        <w:t xml:space="preserve"> · $4–7M · months 1–6</w:t>
      </w:r>
    </w:p>
    <w:p>
      <w:pPr>
        <w:pStyle w:val="ListParagraph"/>
        <w:numPr>
          <w:ilvl w:val="0"/>
          <w:numId w:val="1"/>
        </w:numPr>
        <w:spacing w:after="60"/>
      </w:pPr>
      <w:r>
        <w:t xml:space="preserve">Epic integration (CDC + FHIR) — longest lead-time item; start day one</w:t>
      </w:r>
    </w:p>
    <w:p>
      <w:pPr>
        <w:pStyle w:val="ListParagraph"/>
        <w:numPr>
          <w:ilvl w:val="0"/>
          <w:numId w:val="1"/>
        </w:numPr>
        <w:spacing w:after="60"/>
      </w:pPr>
      <w:r>
        <w:t xml:space="preserve">DSR-01 live on one unit as pilot</w:t>
      </w:r>
    </w:p>
    <w:p>
      <w:pPr>
        <w:pStyle w:val="ListParagraph"/>
        <w:numPr>
          <w:ilvl w:val="0"/>
          <w:numId w:val="1"/>
        </w:numPr>
        <w:spacing w:after="60"/>
      </w:pPr>
      <w:r>
        <w:t xml:space="preserve">HIPAA audit readiness pack shipped</w:t>
      </w:r>
    </w:p>
    <w:p>
      <w:pPr>
        <w:spacing w:after="140"/>
      </w:pPr>
      <w:r>
        <w:rPr>
          <w:b/>
          <w:bCs/>
        </w:rPr>
        <w:t xml:space="preserve">Wave 2</w:t>
      </w:r>
      <w:r>
        <w:t xml:space="preserve"> · $6–10M · months 7–12</w:t>
      </w:r>
    </w:p>
    <w:p>
      <w:pPr>
        <w:pStyle w:val="ListParagraph"/>
        <w:numPr>
          <w:ilvl w:val="0"/>
          <w:numId w:val="1"/>
        </w:numPr>
        <w:spacing w:after="60"/>
      </w:pPr>
      <w:r>
        <w:t xml:space="preserve">RVC-03 at health-system scale</w:t>
      </w:r>
    </w:p>
    <w:p>
      <w:pPr>
        <w:pStyle w:val="ListParagraph"/>
        <w:numPr>
          <w:ilvl w:val="0"/>
          <w:numId w:val="1"/>
        </w:numPr>
        <w:spacing w:after="60"/>
      </w:pPr>
      <w:r>
        <w:t xml:space="preserve">SEP-02 pilot on ICU + step-down (highest-risk, strictest gate)</w:t>
      </w:r>
    </w:p>
    <w:p>
      <w:pPr>
        <w:spacing w:after="140"/>
      </w:pPr>
      <w:r>
        <w:rPr>
          <w:b/>
          <w:bCs/>
        </w:rPr>
        <w:t xml:space="preserve">Wave 3</w:t>
      </w:r>
      <w:r>
        <w:t xml:space="preserve"> · $4–6M · months 13–18</w:t>
      </w:r>
    </w:p>
    <w:p>
      <w:pPr>
        <w:pStyle w:val="ListParagraph"/>
        <w:numPr>
          <w:ilvl w:val="0"/>
          <w:numId w:val="1"/>
        </w:numPr>
        <w:spacing w:after="60"/>
      </w:pPr>
      <w:r>
        <w:t xml:space="preserve">System-wide rollout of DSR + RVC</w:t>
      </w:r>
    </w:p>
    <w:p>
      <w:pPr>
        <w:pStyle w:val="ListParagraph"/>
        <w:numPr>
          <w:ilvl w:val="0"/>
          <w:numId w:val="1"/>
        </w:numPr>
        <w:spacing w:after="60"/>
      </w:pPr>
      <w:r>
        <w:t xml:space="preserve">CTM-05 and PSI-06 added</w:t>
      </w:r>
    </w:p>
    <w:p>
      <w:pPr>
        <w:pStyle w:val="ListParagraph"/>
        <w:numPr>
          <w:ilvl w:val="0"/>
          <w:numId w:val="1"/>
        </w:numPr>
        <w:spacing w:after="60"/>
      </w:pPr>
      <w:r>
        <w:t xml:space="preserve">System compliance dashboard as single pane of glass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4: Energy &amp; Resources (ER) Practice</w:t>
      </w:r>
    </w:p>
    <w:p>
      <w:pPr>
        <w:pStyle w:val="Heading3"/>
        <w:spacing w:after="120" w:before="260"/>
      </w:pPr>
      <w:r>
        <w:rPr>
          <w:rFonts w:ascii="Aptos" w:cs="Aptos" w:eastAsia="Aptos" w:hAnsi="Aptos"/>
          <w:b/>
          <w:bCs/>
          <w:color w:val="0B111E"/>
          <w:sz w:val="24"/>
          <w:szCs w:val="24"/>
        </w:rPr>
        <w:t xml:space="preserve">4.1 The Story</w:t>
      </w:r>
    </w:p>
    <w:p>
      <w:pPr>
        <w:spacing w:after="140"/>
      </w:pPr>
      <w:r>
        <w:t xml:space="preserve">At 03:47 on a Monday morning, a grid anomaly propagates across three substations in a utility's northern region. The signal appears in SCADA nine seconds after the event. Traditional practice would hand it to a grid-ops engineer for manual classification — a task that takes minutes under load. With </w:t>
      </w:r>
      <w:r>
        <w:rPr>
          <w:rFonts w:ascii="Cascadia Mono" w:cs="Cascadia Mono" w:eastAsia="Cascadia Mono" w:hAnsi="Cascadia Mono"/>
          <w:color w:val="2B2B2B"/>
          <w:sz w:val="18"/>
          <w:szCs w:val="18"/>
        </w:rPr>
        <w:t xml:space="preserve">APEX-ER-GRD-02</w:t>
      </w:r>
      <w:r>
        <w:t xml:space="preserve"> running, the anomaly is classified in seconds as a line-to-ground fault with high load-shed probability, a recommended operator action (breaker sequence) is staged, and a HITL card lands on the lead dispatcher. Total time to decision: 38 seconds. Customer-minutes-interrupted reduced by two orders of magnitude relative to the manual path.</w:t>
      </w:r>
    </w:p>
    <w:p>
      <w:pPr>
        <w:pStyle w:val="Heading3"/>
        <w:spacing w:after="120" w:before="260"/>
      </w:pPr>
      <w:r>
        <w:rPr>
          <w:rFonts w:ascii="Aptos" w:cs="Aptos" w:eastAsia="Aptos" w:hAnsi="Aptos"/>
          <w:b/>
          <w:bCs/>
          <w:color w:val="0B111E"/>
          <w:sz w:val="24"/>
          <w:szCs w:val="24"/>
        </w:rPr>
        <w:t xml:space="preserve">4.2 Forces Driving Change</w:t>
      </w:r>
    </w:p>
    <w:p>
      <w:pPr>
        <w:spacing w:after="140"/>
      </w:pPr>
      <w:r>
        <w:t xml:space="preserve">ER is the Practice with the tightest time-value-of-information curves. A minute of inaction on a grid event is measurable in customer impact and regulatory cost.</w:t>
      </w:r>
    </w:p>
    <w:p>
      <w:pPr>
        <w:pStyle w:val="ListParagraph"/>
        <w:numPr>
          <w:ilvl w:val="0"/>
          <w:numId w:val="1"/>
        </w:numPr>
        <w:spacing w:after="60"/>
      </w:pPr>
      <w:r>
        <w:rPr>
          <w:b/>
          <w:bCs/>
        </w:rPr>
        <w:t xml:space="preserve">Regulatory acceleration</w:t>
      </w:r>
      <w:r>
        <w:t xml:space="preserve"> — FERC reliability standards and NERC audit posture tighten yearly; state PUCs add retail-side scrutiny</w:t>
      </w:r>
    </w:p>
    <w:p>
      <w:pPr>
        <w:pStyle w:val="ListParagraph"/>
        <w:numPr>
          <w:ilvl w:val="0"/>
          <w:numId w:val="1"/>
        </w:numPr>
        <w:spacing w:after="60"/>
      </w:pPr>
      <w:r>
        <w:rPr>
          <w:b/>
          <w:bCs/>
        </w:rPr>
        <w:t xml:space="preserve">Decision-velocity gap</w:t>
      </w:r>
      <w:r>
        <w:t xml:space="preserve"> — grid ops decisions are the hardest part of this force: second-level SLOs on Critical events</w:t>
      </w:r>
    </w:p>
    <w:p>
      <w:pPr>
        <w:pStyle w:val="ListParagraph"/>
        <w:numPr>
          <w:ilvl w:val="0"/>
          <w:numId w:val="1"/>
        </w:numPr>
        <w:spacing w:after="60"/>
      </w:pPr>
      <w:r>
        <w:rPr>
          <w:b/>
          <w:bCs/>
        </w:rPr>
        <w:t xml:space="preserve">Knowledge-worker shortage</w:t>
      </w:r>
      <w:r>
        <w:t xml:space="preserve"> — grid operators with deep experience are retiring; training pipeline is inadequate</w:t>
      </w:r>
    </w:p>
    <w:p>
      <w:pPr>
        <w:pStyle w:val="ListParagraph"/>
        <w:numPr>
          <w:ilvl w:val="0"/>
          <w:numId w:val="1"/>
        </w:numPr>
        <w:spacing w:after="60"/>
      </w:pPr>
      <w:r>
        <w:rPr>
          <w:b/>
          <w:bCs/>
        </w:rPr>
        <w:t xml:space="preserve">Data sovereignty</w:t>
      </w:r>
      <w:r>
        <w:t xml:space="preserve"> — less of a PII issue, more of a critical-infrastructure data sensitivity issue</w:t>
      </w:r>
    </w:p>
    <w:p>
      <w:pPr>
        <w:pStyle w:val="Heading3"/>
        <w:spacing w:after="120" w:before="260"/>
      </w:pPr>
      <w:r>
        <w:rPr>
          <w:rFonts w:ascii="Aptos" w:cs="Aptos" w:eastAsia="Aptos" w:hAnsi="Aptos"/>
          <w:b/>
          <w:bCs/>
          <w:color w:val="0B111E"/>
          <w:sz w:val="24"/>
          <w:szCs w:val="24"/>
        </w:rPr>
        <w:t xml:space="preserve">4.3 The Human Reality</w:t>
      </w:r>
    </w:p>
    <w:p>
      <w:pPr>
        <w:spacing w:after="140"/>
      </w:pPr>
      <w:r>
        <w:t xml:space="preserve">The ER hero persona is the </w:t>
      </w:r>
      <w:r>
        <w:rPr>
          <w:b/>
          <w:bCs/>
        </w:rPr>
        <w:t xml:space="preserve">grid operations engineer</w:t>
      </w:r>
      <w:r>
        <w:t xml:space="preserve"> — sits in the control room, carries the weight of every outage. APEX's pitch is that the agent does the first-pass classification in the seconds before the engineer's coffee is even cold, so the engineer's first human action is informed rather than reactive.</w:t>
      </w:r>
    </w:p>
    <w:p>
      <w:pPr>
        <w:spacing w:after="140"/>
      </w:pPr>
      <w:r>
        <w:t xml:space="preserve">Secondary ER personas: meter ops lead, field dispatcher, billing ops analyst, regulatory affairs officer.</w:t>
      </w:r>
    </w:p>
    <w:p>
      <w:pPr>
        <w:pStyle w:val="Heading3"/>
        <w:spacing w:after="120" w:before="260"/>
      </w:pPr>
      <w:r>
        <w:rPr>
          <w:rFonts w:ascii="Aptos" w:cs="Aptos" w:eastAsia="Aptos" w:hAnsi="Aptos"/>
          <w:b/>
          <w:bCs/>
          <w:color w:val="0B111E"/>
          <w:sz w:val="24"/>
          <w:szCs w:val="24"/>
        </w:rPr>
        <w:t xml:space="preserve">4.4 AI Integration Maturity</w:t>
      </w:r>
    </w:p>
    <w:p>
      <w:pPr>
        <w:spacing w:after="140"/>
      </w:pPr>
      <w:r>
        <w:t xml:space="preserve">ER baseline is </w:t>
      </w:r>
      <w:r>
        <w:rPr>
          <w:b/>
          <w:bCs/>
        </w:rPr>
        <w:t xml:space="preserve">Level 2</w:t>
      </w:r>
      <w:r>
        <w:t xml:space="preserve">, sometimes </w:t>
      </w:r>
      <w:r>
        <w:rPr>
          <w:b/>
          <w:bCs/>
        </w:rPr>
        <w:t xml:space="preserve">Level 3</w:t>
      </w:r>
      <w:r>
        <w:t xml:space="preserve"> at the largest utilities. Wave 1 target: Level 3 on meter and billing services. Wave 2 adds the critical-infrastructure services (GRD-02, REG-05) at strict HITL. Level 5 is unlikely for grid ops given the regulatory posture.</w:t>
      </w:r>
    </w:p>
    <w:p>
      <w:pPr>
        <w:pStyle w:val="Heading3"/>
        <w:spacing w:after="120" w:before="260"/>
      </w:pPr>
      <w:r>
        <w:rPr>
          <w:rFonts w:ascii="Aptos" w:cs="Aptos" w:eastAsia="Aptos" w:hAnsi="Aptos"/>
          <w:b/>
          <w:bCs/>
          <w:color w:val="0B111E"/>
          <w:sz w:val="24"/>
          <w:szCs w:val="24"/>
        </w:rPr>
        <w:t xml:space="preserve">4.5 Decision-Automation Positioning</w:t>
      </w:r>
    </w:p>
    <w:p>
      <w:pPr>
        <w:spacing w:after="140"/>
      </w:pPr>
      <w:r>
        <w:t xml:space="preserve">ER is where the SLO discipline matters most. Grid anomaly detection p95 ≤ 30 sec is non-negotiable. APEX's instrumentation makes these SLOs measurable and contract-able.</w:t>
      </w:r>
    </w:p>
    <w:p>
      <w:pPr>
        <w:pStyle w:val="Heading3"/>
        <w:spacing w:after="120" w:before="260"/>
      </w:pPr>
      <w:r>
        <w:rPr>
          <w:rFonts w:ascii="Aptos" w:cs="Aptos" w:eastAsia="Aptos" w:hAnsi="Aptos"/>
          <w:b/>
          <w:bCs/>
          <w:color w:val="0B111E"/>
          <w:sz w:val="24"/>
          <w:szCs w:val="24"/>
        </w:rPr>
        <w:t xml:space="preserve">4.6 KPI Dashboard</w:t>
      </w:r>
    </w:p>
    <w:p>
      <w:pPr>
        <w:pStyle w:val="ListParagraph"/>
        <w:numPr>
          <w:ilvl w:val="0"/>
          <w:numId w:val="1"/>
        </w:numPr>
        <w:spacing w:after="60"/>
      </w:pPr>
      <w:r>
        <w:rPr>
          <w:b/>
          <w:bCs/>
        </w:rPr>
        <w:t xml:space="preserve">Outage detection accuracy, %</w:t>
      </w:r>
      <w:r>
        <w:t xml:space="preserve"> — target ≥ 95% with FPR ≤ 2%</w:t>
      </w:r>
    </w:p>
    <w:p>
      <w:pPr>
        <w:pStyle w:val="ListParagraph"/>
        <w:numPr>
          <w:ilvl w:val="0"/>
          <w:numId w:val="1"/>
        </w:numPr>
        <w:spacing w:after="60"/>
      </w:pPr>
      <w:r>
        <w:rPr>
          <w:b/>
          <w:bCs/>
        </w:rPr>
        <w:t xml:space="preserve">Customer-minutes-interrupted, %</w:t>
      </w:r>
      <w:r>
        <w:t xml:space="preserve"> — target 30–60% reduction YoY on covered events</w:t>
      </w:r>
    </w:p>
    <w:p>
      <w:pPr>
        <w:pStyle w:val="ListParagraph"/>
        <w:numPr>
          <w:ilvl w:val="0"/>
          <w:numId w:val="1"/>
        </w:numPr>
        <w:spacing w:after="60"/>
      </w:pPr>
      <w:r>
        <w:rPr>
          <w:b/>
          <w:bCs/>
        </w:rPr>
        <w:t xml:space="preserve">FERC reporting on-time, %</w:t>
      </w:r>
      <w:r>
        <w:t xml:space="preserve"> — target 100% (any miss is a regulatory event)</w:t>
      </w:r>
    </w:p>
    <w:p>
      <w:pPr>
        <w:pStyle w:val="ListParagraph"/>
        <w:numPr>
          <w:ilvl w:val="0"/>
          <w:numId w:val="1"/>
        </w:numPr>
        <w:spacing w:after="60"/>
      </w:pPr>
      <w:r>
        <w:rPr>
          <w:b/>
          <w:bCs/>
        </w:rPr>
        <w:t xml:space="preserve">First-time-fix rate on field dispatches, %</w:t>
      </w:r>
      <w:r>
        <w:t xml:space="preserve"> — target ≥ 80%</w:t>
      </w:r>
    </w:p>
    <w:p>
      <w:pPr>
        <w:pStyle w:val="Heading3"/>
        <w:spacing w:after="120" w:before="260"/>
      </w:pPr>
      <w:r>
        <w:rPr>
          <w:rFonts w:ascii="Aptos" w:cs="Aptos" w:eastAsia="Aptos" w:hAnsi="Aptos"/>
          <w:b/>
          <w:bCs/>
          <w:color w:val="0B111E"/>
          <w:sz w:val="24"/>
          <w:szCs w:val="24"/>
        </w:rPr>
        <w:t xml:space="preserve">4.7 Solution Portfolio &amp; Architecture</w:t>
      </w:r>
    </w:p>
    <w:p>
      <w:pPr>
        <w:spacing w:after="140"/>
      </w:pPr>
      <w:r>
        <w:t xml:space="preserve">Five services in the ER Practice.</w:t>
      </w:r>
    </w:p>
    <w:p>
      <w:pPr>
        <w:pStyle w:val="Heading4"/>
        <w:spacing w:after="100" w:before="220"/>
      </w:pPr>
      <w:r>
        <w:rPr>
          <w:rFonts w:ascii="Aptos" w:cs="Aptos" w:eastAsia="Aptos" w:hAnsi="Aptos"/>
          <w:b/>
          <w:bCs/>
          <w:color w:val="0B111E"/>
          <w:sz w:val="20"/>
          <w:szCs w:val="20"/>
        </w:rPr>
        <w:t xml:space="preserve">ER Practice Architecture</w:t>
      </w:r>
    </w:p>
    <w:p>
      <w:pPr>
        <w:spacing w:after="160" w:before="120"/>
        <w:jc w:val="center"/>
      </w:pPr>
      <w:r>
        <w:drawing>
          <wp:inline distT="0" distB="0" distL="0" distR="0">
            <wp:extent cx="6096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838325"/>
                    </a:xfrm>
                    <a:prstGeom prst="rect">
                      <a:avLst/>
                    </a:prstGeom>
                  </pic:spPr>
                </pic:pic>
              </a:graphicData>
            </a:graphic>
          </wp:inline>
        </w:drawing>
      </w:r>
    </w:p>
    <w:p>
      <w:pPr>
        <w:pStyle w:val="Heading4"/>
        <w:spacing w:after="100" w:before="220"/>
      </w:pPr>
      <w:r>
        <w:rPr>
          <w:rFonts w:ascii="Aptos" w:cs="Aptos" w:eastAsia="Aptos" w:hAnsi="Aptos"/>
          <w:b/>
          <w:bCs/>
          <w:color w:val="0B111E"/>
          <w:sz w:val="20"/>
          <w:szCs w:val="20"/>
        </w:rPr>
        <w:t xml:space="preserve">Meter Outage Detection — APEX-ER-MTR-01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AMI meters produce reads every fifteen minutes. Missing reads can mean power outage, meter fault, communication glitch, or tampering. Distinguishing them at scale — when a single head-end covers a million meters — requires fusing multiple signals: neighbouring meters' reads, weather, planned work, known communication infrastructure incidents.</w:t>
      </w:r>
    </w:p>
    <w:p>
      <w:pPr>
        <w:spacing w:after="140"/>
      </w:pPr>
      <w:r>
        <w:t xml:space="preserve">MTR-01 watches the read stream and classifies gaps. </w:t>
      </w:r>
      <w:r>
        <w:rPr>
          <w:rFonts w:ascii="Cascadia Mono" w:cs="Cascadia Mono" w:eastAsia="Cascadia Mono" w:hAnsi="Cascadia Mono"/>
          <w:color w:val="2B2B2B"/>
          <w:sz w:val="18"/>
          <w:szCs w:val="18"/>
        </w:rPr>
        <w:t xml:space="preserve">ER-A01 Outage Classifier</w:t>
      </w:r>
      <w:r>
        <w:t xml:space="preserve"> evaluates each gap against the surrounding-meter readings, known network events, and weather data. </w:t>
      </w:r>
      <w:r>
        <w:rPr>
          <w:rFonts w:ascii="Cascadia Mono" w:cs="Cascadia Mono" w:eastAsia="Cascadia Mono" w:hAnsi="Cascadia Mono"/>
          <w:color w:val="2B2B2B"/>
          <w:sz w:val="18"/>
          <w:szCs w:val="18"/>
        </w:rPr>
        <w:t xml:space="preserve">ER-A02 Dispatch Recommender</w:t>
      </w:r>
      <w:r>
        <w:t xml:space="preserve"> determines whether to dispatch a crew, wait for self-heal, or escalate to OMS. Because most gaps are benign (communication glitch recovers in one cycle), the ACK_ONLY gate reflects that: dispatchers see the recommendations rather than approving every one.</w:t>
      </w:r>
    </w:p>
    <w:p>
      <w:pPr>
        <w:spacing w:after="140"/>
      </w:pPr>
      <w:r>
        <w:t xml:space="preserve">KPI impact: </w:t>
      </w:r>
      <w:r>
        <w:rPr>
          <w:rFonts w:ascii="Cascadia Mono" w:cs="Cascadia Mono" w:eastAsia="Cascadia Mono" w:hAnsi="Cascadia Mono"/>
          <w:color w:val="2B2B2B"/>
          <w:sz w:val="18"/>
          <w:szCs w:val="18"/>
        </w:rPr>
        <w:t xml:space="preserve">outage_detection_accuracy_pct ≥ 95%</w:t>
      </w:r>
      <w:r>
        <w:t xml:space="preserve"> · </w:t>
      </w:r>
      <w:r>
        <w:rPr>
          <w:rFonts w:ascii="Cascadia Mono" w:cs="Cascadia Mono" w:eastAsia="Cascadia Mono" w:hAnsi="Cascadia Mono"/>
          <w:color w:val="2B2B2B"/>
          <w:sz w:val="18"/>
          <w:szCs w:val="18"/>
        </w:rPr>
        <w:t xml:space="preserve">false_outage_pct ≤ 2%</w:t>
      </w:r>
      <w:r>
        <w:t xml:space="preserve"> · </w:t>
      </w:r>
      <w:r>
        <w:rPr>
          <w:rFonts w:ascii="Cascadia Mono" w:cs="Cascadia Mono" w:eastAsia="Cascadia Mono" w:hAnsi="Cascadia Mono"/>
          <w:color w:val="2B2B2B"/>
          <w:sz w:val="18"/>
          <w:szCs w:val="18"/>
        </w:rPr>
        <w:t xml:space="preserve">time_to_dispatch_min ≤ 15</w:t>
      </w:r>
      <w:r>
        <w:t xml:space="preserve">. Artifacts: ERCML.METER_READING/OUTAGE_EVENT. Prereqs: SAP ISU + AMI head-end + F16 + SOX + </w:t>
      </w:r>
      <w:r>
        <w:rPr>
          <w:rFonts w:ascii="Cascadia Mono" w:cs="Cascadia Mono" w:eastAsia="Cascadia Mono" w:hAnsi="Cascadia Mono"/>
          <w:color w:val="2B2B2B"/>
          <w:sz w:val="18"/>
          <w:szCs w:val="18"/>
        </w:rPr>
        <w:t xml:space="preserve">meter-ops-lead</w:t>
      </w:r>
      <w:r>
        <w:t xml:space="preserve"> group.</w:t>
      </w:r>
    </w:p>
    <w:p>
      <w:pPr>
        <w:pStyle w:val="Heading4"/>
        <w:spacing w:after="100" w:before="220"/>
      </w:pPr>
      <w:r>
        <w:rPr>
          <w:rFonts w:ascii="Aptos" w:cs="Aptos" w:eastAsia="Aptos" w:hAnsi="Aptos"/>
          <w:b/>
          <w:bCs/>
          <w:color w:val="0B111E"/>
          <w:sz w:val="20"/>
          <w:szCs w:val="20"/>
        </w:rPr>
        <w:t xml:space="preserve">Grid Anomaly Response — APEX-ER-GRD-02</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HITL (ESCALATION for large events)</w:t>
      </w:r>
    </w:p>
    <w:p>
      <w:pPr>
        <w:spacing w:after="140"/>
      </w:pPr>
      <w:r>
        <w:t xml:space="preserve">This is APEX's tightest-SLO service. Grid anomalies — line-to-ground faults, frequency deviations, equipment overloads — must be classified and action-staged in seconds. Human operators under load can take minutes for ambiguous events; minutes translate to customer minutes interrupted and potential regulatory exposure.</w:t>
      </w:r>
    </w:p>
    <w:p>
      <w:pPr>
        <w:spacing w:after="140"/>
      </w:pPr>
      <w:r>
        <w:t xml:space="preserve">GRD-02 runs a reasoning-tier model continuously against the SCADA stream, OMS state, and DMS topology. </w:t>
      </w:r>
      <w:r>
        <w:rPr>
          <w:rFonts w:ascii="Cascadia Mono" w:cs="Cascadia Mono" w:eastAsia="Cascadia Mono" w:hAnsi="Cascadia Mono"/>
          <w:color w:val="2B2B2B"/>
          <w:sz w:val="18"/>
          <w:szCs w:val="18"/>
        </w:rPr>
        <w:t xml:space="preserve">ER-A03 SCADA Pattern Classifier</w:t>
      </w:r>
      <w:r>
        <w:t xml:space="preserve"> identifies the signal shape. </w:t>
      </w:r>
      <w:r>
        <w:rPr>
          <w:rFonts w:ascii="Cascadia Mono" w:cs="Cascadia Mono" w:eastAsia="Cascadia Mono" w:hAnsi="Cascadia Mono"/>
          <w:color w:val="2B2B2B"/>
          <w:sz w:val="18"/>
          <w:szCs w:val="18"/>
        </w:rPr>
        <w:t xml:space="preserve">ER-A04 Action Reasoner</w:t>
      </w:r>
      <w:r>
        <w:t xml:space="preserve"> (reasoning tier) evaluates the broader state — what other signals have been changing, what planned work is active, what the grid's posture would be after a proposed operator action — and stages a specific breaker sequence or switchgear action with predicted customer-impact math. The HITL card goes to the grid-ops engineer with the classification, the reasoning, and the recommended action. Total time from SCADA event to operator-facing recommendation: typically under 30 seconds. For anomalies that exceed thresholds (e.g., predicted affected customers over a million), the gate auto-elevates to ESCALATION and notifies additional stakeholders including Regulatory Affairs.</w:t>
      </w:r>
    </w:p>
    <w:p>
      <w:pPr>
        <w:spacing w:after="140"/>
      </w:pPr>
      <w:r>
        <w:t xml:space="preserve">KPI impact: </w:t>
      </w:r>
      <w:r>
        <w:rPr>
          <w:rFonts w:ascii="Cascadia Mono" w:cs="Cascadia Mono" w:eastAsia="Cascadia Mono" w:hAnsi="Cascadia Mono"/>
          <w:color w:val="2B2B2B"/>
          <w:sz w:val="18"/>
          <w:szCs w:val="18"/>
        </w:rPr>
        <w:t xml:space="preserve">anomaly_classification_accuracy_pct ≥ 90%</w:t>
      </w:r>
      <w:r>
        <w:t xml:space="preserve"> · </w:t>
      </w:r>
      <w:r>
        <w:rPr>
          <w:rFonts w:ascii="Cascadia Mono" w:cs="Cascadia Mono" w:eastAsia="Cascadia Mono" w:hAnsi="Cascadia Mono"/>
          <w:color w:val="2B2B2B"/>
          <w:sz w:val="18"/>
          <w:szCs w:val="18"/>
        </w:rPr>
        <w:t xml:space="preserve">customer_minutes_interrupted_pct</w:t>
      </w:r>
      <w:r>
        <w:t xml:space="preserve"> minimise · </w:t>
      </w:r>
      <w:r>
        <w:rPr>
          <w:rFonts w:ascii="Cascadia Mono" w:cs="Cascadia Mono" w:eastAsia="Cascadia Mono" w:hAnsi="Cascadia Mono"/>
          <w:color w:val="2B2B2B"/>
          <w:sz w:val="18"/>
          <w:szCs w:val="18"/>
        </w:rPr>
        <w:t xml:space="preserve">FERC_report_on_time_pct ≥ 100%</w:t>
      </w:r>
      <w:r>
        <w:t xml:space="preserve">. SLOs: detection p95 ≤ 30s · decision p95 ≤ 5 min · availability 99.99%. Artifacts: ERCML.GRID_ANOMALY/CUSTOMER_SERVICE_STATE/SCADA_TELEMETRY. Prereqs: SCADA + OMS + DMS + F32 + SOX + FERC + </w:t>
      </w:r>
      <w:r>
        <w:rPr>
          <w:rFonts w:ascii="Cascadia Mono" w:cs="Cascadia Mono" w:eastAsia="Cascadia Mono" w:hAnsi="Cascadia Mono"/>
          <w:color w:val="2B2B2B"/>
          <w:sz w:val="18"/>
          <w:szCs w:val="18"/>
        </w:rPr>
        <w:t xml:space="preserve">grid-ops-engineer</w:t>
      </w:r>
      <w:r>
        <w:t xml:space="preserve"> group.</w:t>
      </w:r>
    </w:p>
    <w:p>
      <w:pPr>
        <w:pStyle w:val="Heading4"/>
        <w:spacing w:after="100" w:before="220"/>
      </w:pPr>
      <w:r>
        <w:rPr>
          <w:rFonts w:ascii="Aptos" w:cs="Aptos" w:eastAsia="Aptos" w:hAnsi="Aptos"/>
          <w:b/>
          <w:bCs/>
          <w:color w:val="0B111E"/>
          <w:sz w:val="20"/>
          <w:szCs w:val="20"/>
        </w:rPr>
        <w:t xml:space="preserve">Billing Exception Handling — APEX-ER-BIL-03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Usage spikes, negative reads, rate-class mismatches, tamper-suggestive patterns, estimate-vs-actual drift — utility billing generates exceptions by the thousand daily. Many are benign (vacation mode, seasonal pattern). Many require human attention. Triaging them manually is expensive; deferring them generates customer complaints.</w:t>
      </w:r>
    </w:p>
    <w:p>
      <w:pPr>
        <w:spacing w:after="140"/>
      </w:pPr>
      <w:r>
        <w:t xml:space="preserve">BIL-03 classifies and routes. </w:t>
      </w:r>
      <w:r>
        <w:rPr>
          <w:rFonts w:ascii="Cascadia Mono" w:cs="Cascadia Mono" w:eastAsia="Cascadia Mono" w:hAnsi="Cascadia Mono"/>
          <w:color w:val="2B2B2B"/>
          <w:sz w:val="18"/>
          <w:szCs w:val="18"/>
        </w:rPr>
        <w:t xml:space="preserve">ER-A05 Exception Classifier</w:t>
      </w:r>
      <w:r>
        <w:t xml:space="preserve"> labels each exception by likely cause. </w:t>
      </w:r>
      <w:r>
        <w:rPr>
          <w:rFonts w:ascii="Cascadia Mono" w:cs="Cascadia Mono" w:eastAsia="Cascadia Mono" w:hAnsi="Cascadia Mono"/>
          <w:color w:val="2B2B2B"/>
          <w:sz w:val="18"/>
          <w:szCs w:val="18"/>
        </w:rPr>
        <w:t xml:space="preserve">ER-A06 Auto-Resolution Agent</w:t>
      </w:r>
      <w:r>
        <w:t xml:space="preserve"> handles the clear-cut cases (e.g., confirmed vacation-mode usage pattern → no action, confirmed meter-read-error → re-read request scheduled). Complex cases go to the billing analyst with context already assembled (customer history, rate class, prior exception patterns).</w:t>
      </w:r>
    </w:p>
    <w:p>
      <w:pPr>
        <w:spacing w:after="140"/>
      </w:pPr>
      <w:r>
        <w:t xml:space="preserve">KPI impact: </w:t>
      </w:r>
      <w:r>
        <w:rPr>
          <w:rFonts w:ascii="Cascadia Mono" w:cs="Cascadia Mono" w:eastAsia="Cascadia Mono" w:hAnsi="Cascadia Mono"/>
          <w:color w:val="2B2B2B"/>
          <w:sz w:val="18"/>
          <w:szCs w:val="18"/>
        </w:rPr>
        <w:t xml:space="preserve">exception_auto_resolved_pct ≥ 60%</w:t>
      </w:r>
      <w:r>
        <w:t xml:space="preserve"> · </w:t>
      </w:r>
      <w:r>
        <w:rPr>
          <w:rFonts w:ascii="Cascadia Mono" w:cs="Cascadia Mono" w:eastAsia="Cascadia Mono" w:hAnsi="Cascadia Mono"/>
          <w:color w:val="2B2B2B"/>
          <w:sz w:val="18"/>
          <w:szCs w:val="18"/>
        </w:rPr>
        <w:t xml:space="preserve">customer_complaint_rate_pct ≤ 0.5%</w:t>
      </w:r>
      <w:r>
        <w:t xml:space="preserve"> · </w:t>
      </w:r>
      <w:r>
        <w:rPr>
          <w:rFonts w:ascii="Cascadia Mono" w:cs="Cascadia Mono" w:eastAsia="Cascadia Mono" w:hAnsi="Cascadia Mono"/>
          <w:color w:val="2B2B2B"/>
          <w:sz w:val="18"/>
          <w:szCs w:val="18"/>
        </w:rPr>
        <w:t xml:space="preserve">time_to_resolution_days ≤ 3</w:t>
      </w:r>
      <w:r>
        <w:t xml:space="preserve">. Artifacts: ERCML.BILLING_EXCEPTION/METER_READING/RATE_SCHEDULE. Prereqs: SAP ISU + CIS + F16 + SOX.</w:t>
      </w:r>
    </w:p>
    <w:p>
      <w:pPr>
        <w:pStyle w:val="Heading4"/>
        <w:spacing w:after="100" w:before="220"/>
      </w:pPr>
      <w:r>
        <w:rPr>
          <w:rFonts w:ascii="Aptos" w:cs="Aptos" w:eastAsia="Aptos" w:hAnsi="Aptos"/>
          <w:b/>
          <w:bCs/>
          <w:color w:val="0B111E"/>
          <w:sz w:val="20"/>
          <w:szCs w:val="20"/>
        </w:rPr>
        <w:t xml:space="preserve">Field Work-Order Optimisation — APEX-ER-FWO-04</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Crews in the field are the most expensive resource a utility operates. Dispatching them efficiently — with the right skills, the right parts on the truck, the right sequence — is a complex optimisation that traditional schedule-editors handle approximately and reactively.</w:t>
      </w:r>
    </w:p>
    <w:p>
      <w:pPr>
        <w:spacing w:after="140"/>
      </w:pPr>
      <w:r>
        <w:t xml:space="preserve">FWO-04 runs continuous re-optimisation. </w:t>
      </w:r>
      <w:r>
        <w:rPr>
          <w:rFonts w:ascii="Cascadia Mono" w:cs="Cascadia Mono" w:eastAsia="Cascadia Mono" w:hAnsi="Cascadia Mono"/>
          <w:color w:val="2B2B2B"/>
          <w:sz w:val="18"/>
          <w:szCs w:val="18"/>
        </w:rPr>
        <w:t xml:space="preserve">ER-A07 Crew-Skills Matcher</w:t>
      </w:r>
      <w:r>
        <w:t xml:space="preserve"> pairs work orders to crews with matching certifications, tools, and part inventories. </w:t>
      </w:r>
      <w:r>
        <w:rPr>
          <w:rFonts w:ascii="Cascadia Mono" w:cs="Cascadia Mono" w:eastAsia="Cascadia Mono" w:hAnsi="Cascadia Mono"/>
          <w:color w:val="2B2B2B"/>
          <w:sz w:val="18"/>
          <w:szCs w:val="18"/>
        </w:rPr>
        <w:t xml:space="preserve">ER-A08 Route Optimiser</w:t>
      </w:r>
      <w:r>
        <w:t xml:space="preserve"> sequences the day's orders to minimise travel, respect outage-restoration priorities, and honour planned-work commitments. Dispatchers see the optimiser's proposed schedule and can override any specific assignment; the model learns from overrides and adjusts recommendation patterns.</w:t>
      </w:r>
    </w:p>
    <w:p>
      <w:pPr>
        <w:spacing w:after="140"/>
      </w:pPr>
      <w:r>
        <w:t xml:space="preserve">KPI impact: </w:t>
      </w:r>
      <w:r>
        <w:rPr>
          <w:rFonts w:ascii="Cascadia Mono" w:cs="Cascadia Mono" w:eastAsia="Cascadia Mono" w:hAnsi="Cascadia Mono"/>
          <w:color w:val="2B2B2B"/>
          <w:sz w:val="18"/>
          <w:szCs w:val="18"/>
        </w:rPr>
        <w:t xml:space="preserve">first_time_fix_rate_pct ≥ 80%</w:t>
      </w:r>
      <w:r>
        <w:t xml:space="preserve"> · </w:t>
      </w:r>
      <w:r>
        <w:rPr>
          <w:rFonts w:ascii="Cascadia Mono" w:cs="Cascadia Mono" w:eastAsia="Cascadia Mono" w:hAnsi="Cascadia Mono"/>
          <w:color w:val="2B2B2B"/>
          <w:sz w:val="18"/>
          <w:szCs w:val="18"/>
        </w:rPr>
        <w:t xml:space="preserve">travel_time_reduction_pct ≥ 15%</w:t>
      </w:r>
      <w:r>
        <w:t xml:space="preserve"> · </w:t>
      </w:r>
      <w:r>
        <w:rPr>
          <w:rFonts w:ascii="Cascadia Mono" w:cs="Cascadia Mono" w:eastAsia="Cascadia Mono" w:hAnsi="Cascadia Mono"/>
          <w:color w:val="2B2B2B"/>
          <w:sz w:val="18"/>
          <w:szCs w:val="18"/>
        </w:rPr>
        <w:t xml:space="preserve">same_day_completion_pct ≥ 70%</w:t>
      </w:r>
      <w:r>
        <w:t xml:space="preserve">. Artifacts: ERCML.WORK_ORDER/CREW_STATE/ASSET_HEALTH. Prereqs: MS Field Service + GIS + SAP PM + F16 + </w:t>
      </w:r>
      <w:r>
        <w:rPr>
          <w:rFonts w:ascii="Cascadia Mono" w:cs="Cascadia Mono" w:eastAsia="Cascadia Mono" w:hAnsi="Cascadia Mono"/>
          <w:color w:val="2B2B2B"/>
          <w:sz w:val="18"/>
          <w:szCs w:val="18"/>
        </w:rPr>
        <w:t xml:space="preserve">field-dispatcher</w:t>
      </w:r>
      <w:r>
        <w:t xml:space="preserve"> group.</w:t>
      </w:r>
    </w:p>
    <w:p>
      <w:pPr>
        <w:pStyle w:val="Heading4"/>
        <w:spacing w:after="100" w:before="220"/>
      </w:pPr>
      <w:r>
        <w:rPr>
          <w:rFonts w:ascii="Aptos" w:cs="Aptos" w:eastAsia="Aptos" w:hAnsi="Aptos"/>
          <w:b/>
          <w:bCs/>
          <w:color w:val="0B111E"/>
          <w:sz w:val="20"/>
          <w:szCs w:val="20"/>
        </w:rPr>
        <w:t xml:space="preserve">Regulatory Event Response — APEX-ER-REG-05</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FERC reliability events, state PUC rate-case filings, reportable incidents — each has its own format, its own timeline, its own evidence requirement. Reconstructing the data after the fact is painful and error-prone. Regulators have responded by shortening windows and increasing audit scrutiny.</w:t>
      </w:r>
    </w:p>
    <w:p>
      <w:pPr>
        <w:spacing w:after="140"/>
      </w:pPr>
      <w:r>
        <w:t xml:space="preserve">REG-05 assembles regulatory packages continuously. </w:t>
      </w:r>
      <w:r>
        <w:rPr>
          <w:rFonts w:ascii="Cascadia Mono" w:cs="Cascadia Mono" w:eastAsia="Cascadia Mono" w:hAnsi="Cascadia Mono"/>
          <w:color w:val="2B2B2B"/>
          <w:sz w:val="18"/>
          <w:szCs w:val="18"/>
        </w:rPr>
        <w:t xml:space="preserve">ER-A09 Regulatory Event Classifier</w:t>
      </w:r>
      <w:r>
        <w:t xml:space="preserve"> identifies when an operational event crosses a reportable threshold (some FERC requirements key off specific MW impact, duration, or affected-customer counts). </w:t>
      </w:r>
      <w:r>
        <w:rPr>
          <w:rFonts w:ascii="Cascadia Mono" w:cs="Cascadia Mono" w:eastAsia="Cascadia Mono" w:hAnsi="Cascadia Mono"/>
          <w:color w:val="2B2B2B"/>
          <w:sz w:val="18"/>
          <w:szCs w:val="18"/>
        </w:rPr>
        <w:t xml:space="preserve">ER-A10 Package Assembler</w:t>
      </w:r>
      <w:r>
        <w:t xml:space="preserve"> pulls the canonical data the regulator requires — operational telemetry, customer impact, timeline, remediation actions, communications — into the regulator-specific format. The package goes to Regulatory Affairs with time-to-file estimate and is filed once they approve.</w:t>
      </w:r>
    </w:p>
    <w:p>
      <w:pPr>
        <w:spacing w:after="140"/>
      </w:pPr>
      <w:r>
        <w:t xml:space="preserve">KPI impact: </w:t>
      </w:r>
      <w:r>
        <w:rPr>
          <w:rFonts w:ascii="Cascadia Mono" w:cs="Cascadia Mono" w:eastAsia="Cascadia Mono" w:hAnsi="Cascadia Mono"/>
          <w:color w:val="2B2B2B"/>
          <w:sz w:val="18"/>
          <w:szCs w:val="18"/>
        </w:rPr>
        <w:t xml:space="preserve">filing_on_time_pct ≥ 100%</w:t>
      </w:r>
      <w:r>
        <w:t xml:space="preserve"> · </w:t>
      </w:r>
      <w:r>
        <w:rPr>
          <w:rFonts w:ascii="Cascadia Mono" w:cs="Cascadia Mono" w:eastAsia="Cascadia Mono" w:hAnsi="Cascadia Mono"/>
          <w:color w:val="2B2B2B"/>
          <w:sz w:val="18"/>
          <w:szCs w:val="18"/>
        </w:rPr>
        <w:t xml:space="preserve">data_accuracy_pct ≥ 99.9%</w:t>
      </w:r>
      <w:r>
        <w:t xml:space="preserve"> · </w:t>
      </w:r>
      <w:r>
        <w:rPr>
          <w:rFonts w:ascii="Cascadia Mono" w:cs="Cascadia Mono" w:eastAsia="Cascadia Mono" w:hAnsi="Cascadia Mono"/>
          <w:color w:val="2B2B2B"/>
          <w:sz w:val="18"/>
          <w:szCs w:val="18"/>
        </w:rPr>
        <w:t xml:space="preserve">regulatory_penalty_avoided_usd</w:t>
      </w:r>
      <w:r>
        <w:t xml:space="preserve"> maximise. Artifacts: ERCML.REGULATORY_EVENT/RELIABILITY_METRIC. Prereqs: FERC feed + state PUC portals + internal reliability data + F16 + SOX + FERC + </w:t>
      </w:r>
      <w:r>
        <w:rPr>
          <w:rFonts w:ascii="Cascadia Mono" w:cs="Cascadia Mono" w:eastAsia="Cascadia Mono" w:hAnsi="Cascadia Mono"/>
          <w:color w:val="2B2B2B"/>
          <w:sz w:val="18"/>
          <w:szCs w:val="18"/>
        </w:rPr>
        <w:t xml:space="preserve">regulatory-affairs</w:t>
      </w:r>
      <w:r>
        <w:t xml:space="preserve"> group.</w:t>
      </w:r>
    </w:p>
    <w:p>
      <w:pPr>
        <w:pStyle w:val="Heading3"/>
        <w:spacing w:after="120" w:before="260"/>
      </w:pPr>
      <w:r>
        <w:rPr>
          <w:rFonts w:ascii="Aptos" w:cs="Aptos" w:eastAsia="Aptos" w:hAnsi="Aptos"/>
          <w:b/>
          <w:bCs/>
          <w:color w:val="0B111E"/>
          <w:sz w:val="24"/>
          <w:szCs w:val="24"/>
        </w:rPr>
        <w:t xml:space="preserve">Architecture Components (ER)</w:t>
      </w:r>
    </w:p>
    <w:p>
      <w:pPr>
        <w:pStyle w:val="Heading4"/>
        <w:spacing w:after="100" w:before="220"/>
      </w:pPr>
      <w:r>
        <w:rPr>
          <w:rFonts w:ascii="Aptos" w:cs="Aptos" w:eastAsia="Aptos" w:hAnsi="Aptos"/>
          <w:b/>
          <w:bCs/>
          <w:color w:val="0B111E"/>
          <w:sz w:val="20"/>
          <w:szCs w:val="20"/>
        </w:rPr>
        <w:t xml:space="preserve">Canonical Silver Schemas</w:t>
      </w:r>
    </w:p>
    <w:p>
      <w:pPr>
        <w:spacing w:after="140"/>
      </w:pPr>
      <w:r>
        <w:t xml:space="preserve">ER Practice uses </w:t>
      </w:r>
      <w:r>
        <w:rPr>
          <w:b/>
          <w:bCs/>
        </w:rPr>
        <w:t xml:space="preserve">ERCML</w:t>
      </w:r>
      <w:r>
        <w:t xml:space="preserve"> as its primary schema family: 14 entities covering meter reading, outage, grid anomaly, customer service state, SCADA telemetry, billing exception, rate schedule, work order, crew state, asset health, regulatory event, and reliability metric.</w:t>
      </w:r>
    </w:p>
    <w:p>
      <w:pPr>
        <w:pStyle w:val="Heading4"/>
        <w:spacing w:after="100" w:before="220"/>
      </w:pPr>
      <w:r>
        <w:rPr>
          <w:rFonts w:ascii="Aptos" w:cs="Aptos" w:eastAsia="Aptos" w:hAnsi="Aptos"/>
          <w:b/>
          <w:bCs/>
          <w:color w:val="0B111E"/>
          <w:sz w:val="20"/>
          <w:szCs w:val="20"/>
        </w:rPr>
        <w:t xml:space="preserve">Primary Systems of Record</w:t>
      </w:r>
    </w:p>
    <w:p>
      <w:pPr>
        <w:pStyle w:val="ListParagraph"/>
        <w:numPr>
          <w:ilvl w:val="0"/>
          <w:numId w:val="1"/>
        </w:numPr>
        <w:spacing w:after="60"/>
      </w:pPr>
      <w:r>
        <w:rPr>
          <w:b/>
          <w:bCs/>
        </w:rPr>
        <w:t xml:space="preserve">SAP ISU</w:t>
      </w:r>
      <w:r>
        <w:t xml:space="preserve"> — utility billing/CIS (MTR-01, BIL-03)</w:t>
      </w:r>
    </w:p>
    <w:p>
      <w:pPr>
        <w:pStyle w:val="ListParagraph"/>
        <w:numPr>
          <w:ilvl w:val="0"/>
          <w:numId w:val="1"/>
        </w:numPr>
        <w:spacing w:after="60"/>
      </w:pPr>
      <w:r>
        <w:rPr>
          <w:b/>
          <w:bCs/>
        </w:rPr>
        <w:t xml:space="preserve">AMI head-end (Itron / Landis+Gyr / Sensus)</w:t>
      </w:r>
      <w:r>
        <w:t xml:space="preserve"> — advanced meter infrastructure (MTR-01)</w:t>
      </w:r>
    </w:p>
    <w:p>
      <w:pPr>
        <w:pStyle w:val="ListParagraph"/>
        <w:numPr>
          <w:ilvl w:val="0"/>
          <w:numId w:val="1"/>
        </w:numPr>
        <w:spacing w:after="60"/>
      </w:pPr>
      <w:r>
        <w:rPr>
          <w:b/>
          <w:bCs/>
        </w:rPr>
        <w:t xml:space="preserve">SCADA</w:t>
      </w:r>
      <w:r>
        <w:t xml:space="preserve"> — grid telemetry (GRD-02)</w:t>
      </w:r>
    </w:p>
    <w:p>
      <w:pPr>
        <w:pStyle w:val="ListParagraph"/>
        <w:numPr>
          <w:ilvl w:val="0"/>
          <w:numId w:val="1"/>
        </w:numPr>
        <w:spacing w:after="60"/>
      </w:pPr>
      <w:r>
        <w:rPr>
          <w:b/>
          <w:bCs/>
        </w:rPr>
        <w:t xml:space="preserve">OMS (Outage Management)</w:t>
      </w:r>
      <w:r>
        <w:t xml:space="preserve"> — outage workflow</w:t>
      </w:r>
    </w:p>
    <w:p>
      <w:pPr>
        <w:pStyle w:val="ListParagraph"/>
        <w:numPr>
          <w:ilvl w:val="0"/>
          <w:numId w:val="1"/>
        </w:numPr>
        <w:spacing w:after="60"/>
      </w:pPr>
      <w:r>
        <w:rPr>
          <w:b/>
          <w:bCs/>
        </w:rPr>
        <w:t xml:space="preserve">DMS (Distribution Management)</w:t>
      </w:r>
      <w:r>
        <w:t xml:space="preserve"> — grid topology and state</w:t>
      </w:r>
    </w:p>
    <w:p>
      <w:pPr>
        <w:pStyle w:val="ListParagraph"/>
        <w:numPr>
          <w:ilvl w:val="0"/>
          <w:numId w:val="1"/>
        </w:numPr>
        <w:spacing w:after="60"/>
      </w:pPr>
      <w:r>
        <w:rPr>
          <w:b/>
          <w:bCs/>
        </w:rPr>
        <w:t xml:space="preserve">MS Field Service</w:t>
      </w:r>
      <w:r>
        <w:t xml:space="preserve"> — crew dispatch (FWO-04)</w:t>
      </w:r>
    </w:p>
    <w:p>
      <w:pPr>
        <w:pStyle w:val="ListParagraph"/>
        <w:numPr>
          <w:ilvl w:val="0"/>
          <w:numId w:val="1"/>
        </w:numPr>
        <w:spacing w:after="60"/>
      </w:pPr>
      <w:r>
        <w:rPr>
          <w:b/>
          <w:bCs/>
        </w:rPr>
        <w:t xml:space="preserve">GIS</w:t>
      </w:r>
      <w:r>
        <w:t xml:space="preserve"> — geospatial data for dispatch and grid mapping</w:t>
      </w:r>
    </w:p>
    <w:p>
      <w:pPr>
        <w:pStyle w:val="ListParagraph"/>
        <w:numPr>
          <w:ilvl w:val="0"/>
          <w:numId w:val="1"/>
        </w:numPr>
        <w:spacing w:after="60"/>
      </w:pPr>
      <w:r>
        <w:rPr>
          <w:b/>
          <w:bCs/>
        </w:rPr>
        <w:t xml:space="preserve">FERC feed + state PUC portals</w:t>
      </w:r>
      <w:r>
        <w:t xml:space="preserve"> — regulatory events (REG-05)</w:t>
      </w:r>
    </w:p>
    <w:p>
      <w:pPr>
        <w:pStyle w:val="Heading4"/>
        <w:spacing w:after="100" w:before="220"/>
      </w:pPr>
      <w:r>
        <w:rPr>
          <w:rFonts w:ascii="Aptos" w:cs="Aptos" w:eastAsia="Aptos" w:hAnsi="Aptos"/>
          <w:b/>
          <w:bCs/>
          <w:color w:val="0B111E"/>
          <w:sz w:val="20"/>
          <w:szCs w:val="20"/>
        </w:rPr>
        <w:t xml:space="preserve">Fabric Capacity Planning (ER)</w:t>
      </w:r>
    </w:p>
    <w:p>
      <w:pPr>
        <w:pStyle w:val="ListParagraph"/>
        <w:numPr>
          <w:ilvl w:val="0"/>
          <w:numId w:val="1"/>
        </w:numPr>
        <w:spacing w:after="60"/>
      </w:pPr>
      <w:r>
        <w:rPr>
          <w:b/>
          <w:bCs/>
        </w:rPr>
        <w:t xml:space="preserve">F16</w:t>
      </w:r>
      <w:r>
        <w:t xml:space="preserve"> baseline for 250,000-meter deployments</w:t>
      </w:r>
    </w:p>
    <w:p>
      <w:pPr>
        <w:pStyle w:val="ListParagraph"/>
        <w:numPr>
          <w:ilvl w:val="0"/>
          <w:numId w:val="1"/>
        </w:numPr>
        <w:spacing w:after="60"/>
      </w:pPr>
      <w:r>
        <w:rPr>
          <w:b/>
          <w:bCs/>
        </w:rPr>
        <w:t xml:space="preserve">F32</w:t>
      </w:r>
      <w:r>
        <w:t xml:space="preserve"> standard for 1M-2M meter + SCADA fusion</w:t>
      </w:r>
    </w:p>
    <w:p>
      <w:pPr>
        <w:pStyle w:val="ListParagraph"/>
        <w:numPr>
          <w:ilvl w:val="0"/>
          <w:numId w:val="1"/>
        </w:numPr>
        <w:spacing w:after="60"/>
      </w:pPr>
      <w:r>
        <w:rPr>
          <w:b/>
          <w:bCs/>
        </w:rPr>
        <w:t xml:space="preserve">F64</w:t>
      </w:r>
      <w:r>
        <w:t xml:space="preserve"> enterprise with full real-time grid telemetry</w:t>
      </w:r>
    </w:p>
    <w:p>
      <w:pPr>
        <w:pStyle w:val="ListParagraph"/>
        <w:numPr>
          <w:ilvl w:val="0"/>
          <w:numId w:val="1"/>
        </w:numPr>
        <w:spacing w:after="60"/>
      </w:pPr>
      <w:r>
        <w:rPr>
          <w:b/>
          <w:bCs/>
        </w:rPr>
        <w:t xml:space="preserve">F128</w:t>
      </w:r>
      <w:r>
        <w:t xml:space="preserve"> investor-owned utilities at continental scale</w:t>
      </w:r>
    </w:p>
    <w:p>
      <w:pPr>
        <w:spacing w:after="140"/>
      </w:pPr>
      <w:r>
        <w:t xml:space="preserve">Grid telemetry is the largest data-volume driver in ER. Plan capacity accordingly.</w:t>
      </w:r>
    </w:p>
    <w:p>
      <w:pPr>
        <w:pStyle w:val="Heading4"/>
        <w:spacing w:after="100" w:before="220"/>
      </w:pPr>
      <w:r>
        <w:rPr>
          <w:rFonts w:ascii="Aptos" w:cs="Aptos" w:eastAsia="Aptos" w:hAnsi="Aptos"/>
          <w:b/>
          <w:bCs/>
          <w:color w:val="0B111E"/>
          <w:sz w:val="20"/>
          <w:szCs w:val="20"/>
        </w:rPr>
        <w:t xml:space="preserve">Identity and Critical-Infrastructure Posture</w:t>
      </w:r>
    </w:p>
    <w:p>
      <w:pPr>
        <w:spacing w:after="140"/>
      </w:pPr>
      <w:r>
        <w:t xml:space="preserve">ER is APEX's critical-infrastructure Practice. Grid-ops identity carries tighter controls (conditional access, MFA-on-every-read); audit logs retained under FERC-aligned retention policies; decision audit encrypted with customer-managed keys.</w:t>
      </w:r>
    </w:p>
    <w:p>
      <w:pPr>
        <w:pStyle w:val="Heading3"/>
        <w:spacing w:after="120" w:before="260"/>
      </w:pPr>
      <w:r>
        <w:rPr>
          <w:rFonts w:ascii="Aptos" w:cs="Aptos" w:eastAsia="Aptos" w:hAnsi="Aptos"/>
          <w:b/>
          <w:bCs/>
          <w:color w:val="0B111E"/>
          <w:sz w:val="24"/>
          <w:szCs w:val="24"/>
        </w:rPr>
        <w:t xml:space="preserve">ISV Ecosystem (ER)</w:t>
      </w:r>
    </w:p>
    <w:p>
      <w:pPr>
        <w:pStyle w:val="ListParagraph"/>
        <w:numPr>
          <w:ilvl w:val="0"/>
          <w:numId w:val="1"/>
        </w:numPr>
        <w:spacing w:after="60"/>
      </w:pPr>
      <w:r>
        <w:rPr>
          <w:b/>
          <w:bCs/>
        </w:rPr>
        <w:t xml:space="preserve">SAP ISU</w:t>
      </w:r>
      <w:r>
        <w:t xml:space="preserve"> — customer information and billing</w:t>
      </w:r>
    </w:p>
    <w:p>
      <w:pPr>
        <w:pStyle w:val="ListParagraph"/>
        <w:numPr>
          <w:ilvl w:val="0"/>
          <w:numId w:val="1"/>
        </w:numPr>
        <w:spacing w:after="60"/>
      </w:pPr>
      <w:r>
        <w:rPr>
          <w:b/>
          <w:bCs/>
        </w:rPr>
        <w:t xml:space="preserve">OSIsoft PI</w:t>
      </w:r>
      <w:r>
        <w:t xml:space="preserve"> — historian for grid and asset telemetry</w:t>
      </w:r>
    </w:p>
    <w:p>
      <w:pPr>
        <w:pStyle w:val="ListParagraph"/>
        <w:numPr>
          <w:ilvl w:val="0"/>
          <w:numId w:val="1"/>
        </w:numPr>
        <w:spacing w:after="60"/>
      </w:pPr>
      <w:r>
        <w:rPr>
          <w:b/>
          <w:bCs/>
        </w:rPr>
        <w:t xml:space="preserve">GE GridOS</w:t>
      </w:r>
      <w:r>
        <w:t xml:space="preserve"> — advanced distribution management</w:t>
      </w:r>
    </w:p>
    <w:p>
      <w:pPr>
        <w:pStyle w:val="ListParagraph"/>
        <w:numPr>
          <w:ilvl w:val="0"/>
          <w:numId w:val="1"/>
        </w:numPr>
        <w:spacing w:after="60"/>
      </w:pPr>
      <w:r>
        <w:rPr>
          <w:b/>
          <w:bCs/>
        </w:rPr>
        <w:t xml:space="preserve">Itron / Landis+Gyr / Sensus</w:t>
      </w:r>
      <w:r>
        <w:t xml:space="preserve"> — AMI vendors</w:t>
      </w:r>
    </w:p>
    <w:p>
      <w:pPr>
        <w:pStyle w:val="ListParagraph"/>
        <w:numPr>
          <w:ilvl w:val="0"/>
          <w:numId w:val="1"/>
        </w:numPr>
        <w:spacing w:after="60"/>
      </w:pPr>
      <w:r>
        <w:rPr>
          <w:b/>
          <w:bCs/>
        </w:rPr>
        <w:t xml:space="preserve">Schneider Electric / ABB</w:t>
      </w:r>
      <w:r>
        <w:t xml:space="preserve"> — grid automation equipment vendors</w:t>
      </w:r>
    </w:p>
    <w:p>
      <w:pPr>
        <w:pStyle w:val="ListParagraph"/>
        <w:numPr>
          <w:ilvl w:val="0"/>
          <w:numId w:val="1"/>
        </w:numPr>
        <w:spacing w:after="60"/>
      </w:pPr>
      <w:r>
        <w:rPr>
          <w:b/>
          <w:bCs/>
        </w:rPr>
        <w:t xml:space="preserve">Oracle Utilities</w:t>
      </w:r>
      <w:r>
        <w:t xml:space="preserve"> — alternative to SAP ISU (billing + CIS)</w:t>
      </w:r>
    </w:p>
    <w:p>
      <w:pPr>
        <w:pStyle w:val="Heading3"/>
        <w:spacing w:after="120" w:before="260"/>
      </w:pPr>
      <w:r>
        <w:rPr>
          <w:rFonts w:ascii="Aptos" w:cs="Aptos" w:eastAsia="Aptos" w:hAnsi="Aptos"/>
          <w:b/>
          <w:bCs/>
          <w:color w:val="0B111E"/>
          <w:sz w:val="24"/>
          <w:szCs w:val="24"/>
        </w:rPr>
        <w:t xml:space="preserve">4.8 Business Case Highlights (ER)</w:t>
      </w:r>
    </w:p>
    <w:p>
      <w:pPr>
        <w:spacing w:after="140"/>
      </w:pPr>
      <w:r>
        <w:t xml:space="preserve">Typical financial case for a Wave 1 ER deployment (mid-size IOU, 2M 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MTR-01 Meter Outage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$1.5–3M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Revenue-assurance on correctly-identified vs. mis-classified gaps; dispatch-cost reduction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BIL-03 Billing 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Customer-complaint reduction + auto-resolved exception volume; cost-to-serve improvement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FWO-04 Field Work-Order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$3–6M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Travel-time reduction ~15%, first-time-fix rate improvement ~10 pp</w:t>
            </w:r>
          </w:p>
        </w:tc>
      </w:tr>
    </w:tbl>
    <w:p>
      <w:pPr>
        <w:spacing w:after="120"/>
      </w:pPr>
      <w:r>
        <w:t xml:space="preserve"/>
      </w:r>
    </w:p>
    <w:p>
      <w:pPr>
        <w:spacing w:after="140"/>
      </w:pPr>
      <w:r>
        <w:t xml:space="preserve">Grid reliability (GRD-02) and regulatory (REG-05) benefits are measured in avoided penalties and CMI (customer-minutes-interrupted), typically $5–15M+ at enterprise scale over 18 months, though precise attribution is harder.</w:t>
      </w:r>
    </w:p>
    <w:p>
      <w:pPr>
        <w:spacing w:after="140"/>
      </w:pPr>
      <w:r>
        <w:t xml:space="preserve">Total Wave 1 operational annualised: </w:t>
      </w:r>
      <w:r>
        <w:rPr>
          <w:b/>
          <w:bCs/>
        </w:rPr>
        <w:t xml:space="preserve">$6–13M</w:t>
      </w:r>
      <w:r>
        <w:t xml:space="preserve"> against </w:t>
      </w:r>
      <w:r>
        <w:rPr>
          <w:b/>
          <w:bCs/>
        </w:rPr>
        <w:t xml:space="preserve">$3–5M</w:t>
      </w:r>
      <w:r>
        <w:t xml:space="preserve"> investment.</w:t>
      </w:r>
    </w:p>
    <w:p>
      <w:pPr>
        <w:pStyle w:val="Heading3"/>
        <w:spacing w:after="120" w:before="260"/>
      </w:pPr>
      <w:r>
        <w:rPr>
          <w:rFonts w:ascii="Aptos" w:cs="Aptos" w:eastAsia="Aptos" w:hAnsi="Aptos"/>
          <w:b/>
          <w:bCs/>
          <w:color w:val="0B111E"/>
          <w:sz w:val="24"/>
          <w:szCs w:val="24"/>
        </w:rPr>
        <w:t xml:space="preserve">4.9 Implementation Roadmap (ER)</w:t>
      </w:r>
    </w:p>
    <w:p>
      <w:pPr>
        <w:spacing w:after="140"/>
      </w:pPr>
      <w:r>
        <w:rPr>
          <w:b/>
          <w:bCs/>
        </w:rPr>
        <w:t xml:space="preserve">Wave 1</w:t>
      </w:r>
      <w:r>
        <w:t xml:space="preserve"> · $3–5M · MTR-01 + BIL-03 on pilot region </w:t>
      </w:r>
      <w:r>
        <w:rPr>
          <w:b/>
          <w:bCs/>
        </w:rPr>
        <w:t xml:space="preserve">Wave 2</w:t>
      </w:r>
      <w:r>
        <w:t xml:space="preserve"> · $5–8M · Add FWO-04, rollout MTR+BIL to full territory </w:t>
      </w:r>
      <w:r>
        <w:rPr>
          <w:b/>
          <w:bCs/>
        </w:rPr>
        <w:t xml:space="preserve">Wave 3</w:t>
      </w:r>
      <w:r>
        <w:t xml:space="preserve"> · $4–7M · GRD-02 pilot (most consequential, strictest gate); REG-05 at enterprise scale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5: Industrial &amp; Manufacturing (AXLE) Practice</w:t>
      </w:r>
    </w:p>
    <w:p>
      <w:pPr>
        <w:pStyle w:val="Heading3"/>
        <w:spacing w:after="120" w:before="260"/>
      </w:pPr>
      <w:r>
        <w:rPr>
          <w:rFonts w:ascii="Aptos" w:cs="Aptos" w:eastAsia="Aptos" w:hAnsi="Aptos"/>
          <w:b/>
          <w:bCs/>
          <w:color w:val="0B111E"/>
          <w:sz w:val="24"/>
          <w:szCs w:val="24"/>
        </w:rPr>
        <w:t xml:space="preserve">5.1 The Story</w:t>
      </w:r>
    </w:p>
    <w:p>
      <w:pPr>
        <w:spacing w:after="140"/>
      </w:pPr>
      <w:r>
        <w:t xml:space="preserve">At 09:14 on a Thursday, Line 6 at a tier-1 automotive stamping facility halts. The press is down. Every minute costs the plant between $3,000 and $8,000 depending on the model running. Traditionally the triage is manual: the plant supervisor calls the tool-and-die lead, they walk down, they look, they discuss, they call maintenance. Ten to twenty minutes before root-cause hypothesis. With </w:t>
      </w:r>
      <w:r>
        <w:rPr>
          <w:rFonts w:ascii="Cascadia Mono" w:cs="Cascadia Mono" w:eastAsia="Cascadia Mono" w:hAnsi="Cascadia Mono"/>
          <w:color w:val="2B2B2B"/>
          <w:sz w:val="18"/>
          <w:szCs w:val="18"/>
        </w:rPr>
        <w:t xml:space="preserve">APEX-AXLE-LDT-01</w:t>
      </w:r>
      <w:r>
        <w:t xml:space="preserve"> running, the classification — mechanical vs. material vs. quality vs. operator — lands on the supervisor's device within 60 seconds of the halt, with specific recommendations and a HITL card.</w:t>
      </w:r>
    </w:p>
    <w:p>
      <w:pPr>
        <w:pStyle w:val="Heading3"/>
        <w:spacing w:after="120" w:before="260"/>
      </w:pPr>
      <w:r>
        <w:rPr>
          <w:rFonts w:ascii="Aptos" w:cs="Aptos" w:eastAsia="Aptos" w:hAnsi="Aptos"/>
          <w:b/>
          <w:bCs/>
          <w:color w:val="0B111E"/>
          <w:sz w:val="24"/>
          <w:szCs w:val="24"/>
        </w:rPr>
        <w:t xml:space="preserve">5.2 The Relationship to the AXLE Programme</w:t>
      </w:r>
    </w:p>
    <w:p>
      <w:pPr>
        <w:spacing w:after="140"/>
      </w:pPr>
      <w:r>
        <w:t xml:space="preserve">APEX's AXLE Practice is </w:t>
      </w:r>
      <w:r>
        <w:rPr>
          <w:b/>
          <w:bCs/>
        </w:rPr>
        <w:t xml:space="preserve">complementary to, not a replacement for</w:t>
      </w:r>
      <w:r>
        <w:t xml:space="preserve">, the full AXLE programme. The AXLE Comprehensive Solutions Reference details a fourteen-chapter strategic programme for automotive-adjacent manufacturing; this chapter summarises how AXLE-as-APEX-practice fits into a multi-industry APEX deployment.</w:t>
      </w:r>
    </w:p>
    <w:p>
      <w:pPr>
        <w:spacing w:after="140"/>
      </w:pPr>
      <w:r>
        <w:t xml:space="preserve">Clients adopting APEX multi-industry will typically take the AXLE Practice's five services as part of a cross-industry programme. Clients adopting AXLE as their strategic manufacturing transformation will use the full AXLE programme and may reference APEX-AXLE services inside it. The overlap is deliberate and additive.</w:t>
      </w:r>
    </w:p>
    <w:p>
      <w:pPr>
        <w:pStyle w:val="Heading3"/>
        <w:spacing w:after="120" w:before="260"/>
      </w:pPr>
      <w:r>
        <w:rPr>
          <w:rFonts w:ascii="Aptos" w:cs="Aptos" w:eastAsia="Aptos" w:hAnsi="Aptos"/>
          <w:b/>
          <w:bCs/>
          <w:color w:val="0B111E"/>
          <w:sz w:val="24"/>
          <w:szCs w:val="24"/>
        </w:rPr>
        <w:t xml:space="preserve">5.3 AI Integration &amp; Human Reality (AXLE in APEX)</w:t>
      </w:r>
    </w:p>
    <w:p>
      <w:pPr>
        <w:spacing w:after="140"/>
      </w:pPr>
      <w:r>
        <w:t xml:space="preserve">Personas: plant supervisor, quality engineer, supply chain planner, plant manager, recall coordinator. See Appendix C.</w:t>
      </w:r>
    </w:p>
    <w:p>
      <w:pPr>
        <w:spacing w:after="140"/>
      </w:pPr>
      <w:r>
        <w:t xml:space="preserve">Baseline typically </w:t>
      </w:r>
      <w:r>
        <w:rPr>
          <w:b/>
          <w:bCs/>
        </w:rPr>
        <w:t xml:space="preserve">Level 2</w:t>
      </w:r>
      <w:r>
        <w:t xml:space="preserve">. Wave 1 targets Level 3 on LDT-01 and KPI-05. Strict gates retained for QEX-02 and RCL-04.</w:t>
      </w:r>
    </w:p>
    <w:p>
      <w:pPr>
        <w:pStyle w:val="Heading3"/>
        <w:spacing w:after="120" w:before="260"/>
      </w:pPr>
      <w:r>
        <w:rPr>
          <w:rFonts w:ascii="Aptos" w:cs="Aptos" w:eastAsia="Aptos" w:hAnsi="Aptos"/>
          <w:b/>
          <w:bCs/>
          <w:color w:val="0B111E"/>
          <w:sz w:val="24"/>
          <w:szCs w:val="24"/>
        </w:rPr>
        <w:t xml:space="preserve">5.4 Solution Portfolio (AXLE in APEX)</w:t>
      </w:r>
    </w:p>
    <w:p>
      <w:pPr>
        <w:pStyle w:val="Heading4"/>
        <w:spacing w:after="100" w:before="220"/>
      </w:pPr>
      <w:r>
        <w:rPr>
          <w:rFonts w:ascii="Aptos" w:cs="Aptos" w:eastAsia="Aptos" w:hAnsi="Aptos"/>
          <w:b/>
          <w:bCs/>
          <w:color w:val="0B111E"/>
          <w:sz w:val="20"/>
          <w:szCs w:val="20"/>
        </w:rPr>
        <w:t xml:space="preserve">Line-Down Triage — APEX-AXLE-LDT-01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 press halts at 09:14. Every minute is $3,000-$8,000. The plant supervisor's first question is always the same: mechanical, material, quality, or operator? Answering it takes ten-to-twenty minutes of walking, looking, and talking. LDT-01 classifies in under sixty seconds using the combined signals from Plex MES, asset health telemetry, and the shift's production event stream. </w:t>
      </w:r>
      <w:r>
        <w:rPr>
          <w:rFonts w:ascii="Cascadia Mono" w:cs="Cascadia Mono" w:eastAsia="Cascadia Mono" w:hAnsi="Cascadia Mono"/>
          <w:color w:val="2B2B2B"/>
          <w:sz w:val="18"/>
          <w:szCs w:val="18"/>
        </w:rPr>
        <w:t xml:space="preserve">AXLE-A01 Halt Classifier</w:t>
      </w:r>
      <w:r>
        <w:t xml:space="preserve"> produces the four-way split; </w:t>
      </w:r>
      <w:r>
        <w:rPr>
          <w:rFonts w:ascii="Cascadia Mono" w:cs="Cascadia Mono" w:eastAsia="Cascadia Mono" w:hAnsi="Cascadia Mono"/>
          <w:color w:val="2B2B2B"/>
          <w:sz w:val="18"/>
          <w:szCs w:val="18"/>
        </w:rPr>
        <w:t xml:space="preserve">AXLE-A02 Root-Cause Hypothesiser</w:t>
      </w:r>
      <w:r>
        <w:t xml:space="preserve"> produces ranked root-cause candidates with specific diagnostic next-steps. The HITL card lands on the supervisor's device and they proceed with the informed first action. Typical line-down-minutes reduction: 20-40%.</w:t>
      </w:r>
    </w:p>
    <w:p>
      <w:pPr>
        <w:spacing w:after="140"/>
      </w:pPr>
      <w:r>
        <w:t xml:space="preserve">KPI impact: </w:t>
      </w:r>
      <w:r>
        <w:rPr>
          <w:rFonts w:ascii="Cascadia Mono" w:cs="Cascadia Mono" w:eastAsia="Cascadia Mono" w:hAnsi="Cascadia Mono"/>
          <w:color w:val="2B2B2B"/>
          <w:sz w:val="18"/>
          <w:szCs w:val="18"/>
        </w:rPr>
        <w:t xml:space="preserve">line_down_minutes</w:t>
      </w:r>
      <w:r>
        <w:t xml:space="preserve"> minimise · </w:t>
      </w:r>
      <w:r>
        <w:rPr>
          <w:rFonts w:ascii="Cascadia Mono" w:cs="Cascadia Mono" w:eastAsia="Cascadia Mono" w:hAnsi="Cascadia Mono"/>
          <w:color w:val="2B2B2B"/>
          <w:sz w:val="18"/>
          <w:szCs w:val="18"/>
        </w:rPr>
        <w:t xml:space="preserve">triage_accuracy_pct ≥ 90%</w:t>
      </w:r>
      <w:r>
        <w:t xml:space="preserve"> · </w:t>
      </w:r>
      <w:r>
        <w:rPr>
          <w:rFonts w:ascii="Cascadia Mono" w:cs="Cascadia Mono" w:eastAsia="Cascadia Mono" w:hAnsi="Cascadia Mono"/>
          <w:color w:val="2B2B2B"/>
          <w:sz w:val="18"/>
          <w:szCs w:val="18"/>
        </w:rPr>
        <w:t xml:space="preserve">mean_time_to_diagnose_min ≤ 10</w:t>
      </w:r>
      <w:r>
        <w:t xml:space="preserve">. Artifacts: AXLECML.PRODUCTION_EVENT/ASSET_HEALTH/MATERIAL_FLOW. Prereqs: Plex MES + SAP PM + F32 + SOX + </w:t>
      </w:r>
      <w:r>
        <w:rPr>
          <w:rFonts w:ascii="Cascadia Mono" w:cs="Cascadia Mono" w:eastAsia="Cascadia Mono" w:hAnsi="Cascadia Mono"/>
          <w:color w:val="2B2B2B"/>
          <w:sz w:val="18"/>
          <w:szCs w:val="18"/>
        </w:rPr>
        <w:t xml:space="preserve">plant-supervisor</w:t>
      </w:r>
      <w:r>
        <w:t xml:space="preserve"> group.</w:t>
      </w:r>
    </w:p>
    <w:p>
      <w:pPr>
        <w:pStyle w:val="Heading4"/>
        <w:spacing w:after="100" w:before="220"/>
      </w:pPr>
      <w:r>
        <w:rPr>
          <w:rFonts w:ascii="Aptos" w:cs="Aptos" w:eastAsia="Aptos" w:hAnsi="Aptos"/>
          <w:b/>
          <w:bCs/>
          <w:color w:val="0B111E"/>
          <w:sz w:val="20"/>
          <w:szCs w:val="20"/>
        </w:rPr>
        <w:t xml:space="preserve">Quality Excursion Response — APEX-AXLE-QEX-02</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HITL (ESCALATION for recalls)</w:t>
      </w:r>
    </w:p>
    <w:p>
      <w:pPr>
        <w:spacing w:after="140"/>
      </w:pPr>
      <w:r>
        <w:t xml:space="preserve">SPC chart excursions trigger containment decisions — sort, rework, quarantine, scrap. Decisions that wait cost; decisions made without genealogy information cost more (over-scrap from lack of traceability, under-scrap from missed affected parts). QEX-02 fuses SPC signals with full product genealogy from shop-floor data to give the quality engineer a bounded scope in minutes rather than hours. </w:t>
      </w:r>
      <w:r>
        <w:rPr>
          <w:rFonts w:ascii="Cascadia Mono" w:cs="Cascadia Mono" w:eastAsia="Cascadia Mono" w:hAnsi="Cascadia Mono"/>
          <w:color w:val="2B2B2B"/>
          <w:sz w:val="18"/>
          <w:szCs w:val="18"/>
        </w:rPr>
        <w:t xml:space="preserve">AXLE-A03 Excursion Classifier</w:t>
      </w:r>
      <w:r>
        <w:t xml:space="preserve"> sets severity; </w:t>
      </w:r>
      <w:r>
        <w:rPr>
          <w:rFonts w:ascii="Cascadia Mono" w:cs="Cascadia Mono" w:eastAsia="Cascadia Mono" w:hAnsi="Cascadia Mono"/>
          <w:color w:val="2B2B2B"/>
          <w:sz w:val="18"/>
          <w:szCs w:val="18"/>
        </w:rPr>
        <w:t xml:space="preserve">AXLE-A04 Genealogy Traversal Agent</w:t>
      </w:r>
      <w:r>
        <w:t xml:space="preserve"> produces the complete affected-part list — by process, by shift, by material lot. When the excursion's scope crosses a threshold (customer-delivered units affected, warranty exposure calculated), the gate elevates from HITL to ESCALATION and the recall coordinator is notified.</w:t>
      </w:r>
    </w:p>
    <w:p>
      <w:pPr>
        <w:spacing w:after="140"/>
      </w:pPr>
      <w:r>
        <w:t xml:space="preserve">KPI impact: </w:t>
      </w:r>
      <w:r>
        <w:rPr>
          <w:rFonts w:ascii="Cascadia Mono" w:cs="Cascadia Mono" w:eastAsia="Cascadia Mono" w:hAnsi="Cascadia Mono"/>
          <w:color w:val="2B2B2B"/>
          <w:sz w:val="18"/>
          <w:szCs w:val="18"/>
        </w:rPr>
        <w:t xml:space="preserve">containment_success_pct ≥ 95%</w:t>
      </w:r>
      <w:r>
        <w:t xml:space="preserve"> · </w:t>
      </w:r>
      <w:r>
        <w:rPr>
          <w:rFonts w:ascii="Cascadia Mono" w:cs="Cascadia Mono" w:eastAsia="Cascadia Mono" w:hAnsi="Cascadia Mono"/>
          <w:color w:val="2B2B2B"/>
          <w:sz w:val="18"/>
          <w:szCs w:val="18"/>
        </w:rPr>
        <w:t xml:space="preserve">escape_rate_pct ≤ 0.1%</w:t>
      </w:r>
      <w:r>
        <w:t xml:space="preserve"> · </w:t>
      </w:r>
      <w:r>
        <w:rPr>
          <w:rFonts w:ascii="Cascadia Mono" w:cs="Cascadia Mono" w:eastAsia="Cascadia Mono" w:hAnsi="Cascadia Mono"/>
          <w:color w:val="2B2B2B"/>
          <w:sz w:val="18"/>
          <w:szCs w:val="18"/>
        </w:rPr>
        <w:t xml:space="preserve">time_to_containment_min ≤ 60</w:t>
      </w:r>
      <w:r>
        <w:t xml:space="preserve">. Artifacts: AXLECML.QUALITY_EXCURSION/GENEALOGY/PRODUCT_LOT. Prereqs: Plex + SAP QM + LIMS + F32 + SOX + </w:t>
      </w:r>
      <w:r>
        <w:rPr>
          <w:rFonts w:ascii="Cascadia Mono" w:cs="Cascadia Mono" w:eastAsia="Cascadia Mono" w:hAnsi="Cascadia Mono"/>
          <w:color w:val="2B2B2B"/>
          <w:sz w:val="18"/>
          <w:szCs w:val="18"/>
        </w:rPr>
        <w:t xml:space="preserve">quality-engineer</w:t>
      </w:r>
      <w:r>
        <w:t xml:space="preserve"> group.</w:t>
      </w:r>
    </w:p>
    <w:p>
      <w:pPr>
        <w:pStyle w:val="Heading4"/>
        <w:spacing w:after="100" w:before="220"/>
      </w:pPr>
      <w:r>
        <w:rPr>
          <w:rFonts w:ascii="Aptos" w:cs="Aptos" w:eastAsia="Aptos" w:hAnsi="Aptos"/>
          <w:b/>
          <w:bCs/>
          <w:color w:val="0B111E"/>
          <w:sz w:val="20"/>
          <w:szCs w:val="20"/>
        </w:rPr>
        <w:t xml:space="preserve">Supply-Chain Disruption — APEX-AXLE-SCD-03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Supplier delays, quality holds, shortages — each translates to scheduling, expediting, and inventory-rebalancing decisions. SCD-03 watches inbound supplier events and translates them into specific action recommendations for the planner. </w:t>
      </w:r>
      <w:r>
        <w:rPr>
          <w:rFonts w:ascii="Cascadia Mono" w:cs="Cascadia Mono" w:eastAsia="Cascadia Mono" w:hAnsi="Cascadia Mono"/>
          <w:color w:val="2B2B2B"/>
          <w:sz w:val="18"/>
          <w:szCs w:val="18"/>
        </w:rPr>
        <w:t xml:space="preserve">AXLE-A05 Supplier Event Classifier</w:t>
      </w:r>
      <w:r>
        <w:t xml:space="preserve"> categorises the disruption. </w:t>
      </w:r>
      <w:r>
        <w:rPr>
          <w:rFonts w:ascii="Cascadia Mono" w:cs="Cascadia Mono" w:eastAsia="Cascadia Mono" w:hAnsi="Cascadia Mono"/>
          <w:color w:val="2B2B2B"/>
          <w:sz w:val="18"/>
          <w:szCs w:val="18"/>
        </w:rPr>
        <w:t xml:space="preserve">AXLE-A06 Re-plan Recommender</w:t>
      </w:r>
      <w:r>
        <w:t xml:space="preserve"> proposes a revised schedule considering safety stock, alternate sources, customer commitments. The planner reviews the proposal and approves — most recommendations are accepted; the model learns from overrides.</w:t>
      </w:r>
    </w:p>
    <w:p>
      <w:pPr>
        <w:spacing w:after="140"/>
      </w:pPr>
      <w:r>
        <w:t xml:space="preserve">KPI impact: </w:t>
      </w:r>
      <w:r>
        <w:rPr>
          <w:rFonts w:ascii="Cascadia Mono" w:cs="Cascadia Mono" w:eastAsia="Cascadia Mono" w:hAnsi="Cascadia Mono"/>
          <w:color w:val="2B2B2B"/>
          <w:sz w:val="18"/>
          <w:szCs w:val="18"/>
        </w:rPr>
        <w:t xml:space="preserve">order_fulfilment_on_time_pct ≥ 95%</w:t>
      </w:r>
      <w:r>
        <w:t xml:space="preserve"> · </w:t>
      </w:r>
      <w:r>
        <w:rPr>
          <w:rFonts w:ascii="Cascadia Mono" w:cs="Cascadia Mono" w:eastAsia="Cascadia Mono" w:hAnsi="Cascadia Mono"/>
          <w:color w:val="2B2B2B"/>
          <w:sz w:val="18"/>
          <w:szCs w:val="18"/>
        </w:rPr>
        <w:t xml:space="preserve">expedite_cost_reduction_pct ≥ 20%</w:t>
      </w:r>
      <w:r>
        <w:t xml:space="preserve"> · </w:t>
      </w:r>
      <w:r>
        <w:rPr>
          <w:rFonts w:ascii="Cascadia Mono" w:cs="Cascadia Mono" w:eastAsia="Cascadia Mono" w:hAnsi="Cascadia Mono"/>
          <w:color w:val="2B2B2B"/>
          <w:sz w:val="18"/>
          <w:szCs w:val="18"/>
        </w:rPr>
        <w:t xml:space="preserve">stockout_events</w:t>
      </w:r>
      <w:r>
        <w:t xml:space="preserve"> minimise. Artifacts: AXLECML.SUPPLIER_EVENT/PURCHASE_ORDER/INVENTORY_POSITION. Prereqs: SAP SCM + supplier portals + EDI + F16 + </w:t>
      </w:r>
      <w:r>
        <w:rPr>
          <w:rFonts w:ascii="Cascadia Mono" w:cs="Cascadia Mono" w:eastAsia="Cascadia Mono" w:hAnsi="Cascadia Mono"/>
          <w:color w:val="2B2B2B"/>
          <w:sz w:val="18"/>
          <w:szCs w:val="18"/>
        </w:rPr>
        <w:t xml:space="preserve">supply-chain-planner</w:t>
      </w:r>
      <w:r>
        <w:t xml:space="preserve"> group.</w:t>
      </w:r>
    </w:p>
    <w:p>
      <w:pPr>
        <w:pStyle w:val="Heading4"/>
        <w:spacing w:after="100" w:before="220"/>
      </w:pPr>
      <w:r>
        <w:rPr>
          <w:rFonts w:ascii="Aptos" w:cs="Aptos" w:eastAsia="Aptos" w:hAnsi="Aptos"/>
          <w:b/>
          <w:bCs/>
          <w:color w:val="0B111E"/>
          <w:sz w:val="20"/>
          <w:szCs w:val="20"/>
        </w:rPr>
        <w:t xml:space="preserve">Recall Traceability — APEX-AXLE-RCL-04</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A field quality issue requires recall. Traditional traceability from build to customer takes days or weeks; the regulator wants hours. RCL-04 maintains the full forward-and-backward genealogy continuously, so when a recall is initiated the affected-units list exists in minutes. </w:t>
      </w:r>
      <w:r>
        <w:rPr>
          <w:rFonts w:ascii="Cascadia Mono" w:cs="Cascadia Mono" w:eastAsia="Cascadia Mono" w:hAnsi="Cascadia Mono"/>
          <w:color w:val="2B2B2B"/>
          <w:sz w:val="18"/>
          <w:szCs w:val="18"/>
        </w:rPr>
        <w:t xml:space="preserve">AXLE-A07 Recall Scope Agent</w:t>
      </w:r>
      <w:r>
        <w:t xml:space="preserve"> produces the affected-VINs/affected-units list; </w:t>
      </w:r>
      <w:r>
        <w:rPr>
          <w:rFonts w:ascii="Cascadia Mono" w:cs="Cascadia Mono" w:eastAsia="Cascadia Mono" w:hAnsi="Cascadia Mono"/>
          <w:color w:val="2B2B2B"/>
          <w:sz w:val="18"/>
          <w:szCs w:val="18"/>
        </w:rPr>
        <w:t xml:space="preserve">AXLE-A08 Impact Assessor</w:t>
      </w:r>
      <w:r>
        <w:t xml:space="preserve"> (reasoning tier) evaluates the broader scope — connected-vehicle fleet data, warranty claim patterns, supplier involvement — and produces the regulator-ready package. ESCALATION routes to the Recall Coordinator with Legal, Comms, and Engineering notified.</w:t>
      </w:r>
    </w:p>
    <w:p>
      <w:pPr>
        <w:spacing w:after="140"/>
      </w:pPr>
      <w:r>
        <w:t xml:space="preserve">KPI impact: </w:t>
      </w:r>
      <w:r>
        <w:rPr>
          <w:rFonts w:ascii="Cascadia Mono" w:cs="Cascadia Mono" w:eastAsia="Cascadia Mono" w:hAnsi="Cascadia Mono"/>
          <w:color w:val="2B2B2B"/>
          <w:sz w:val="18"/>
          <w:szCs w:val="18"/>
        </w:rPr>
        <w:t xml:space="preserve">affected_units_identified_pct ≥ 99%</w:t>
      </w:r>
      <w:r>
        <w:t xml:space="preserve"> · </w:t>
      </w:r>
      <w:r>
        <w:rPr>
          <w:rFonts w:ascii="Cascadia Mono" w:cs="Cascadia Mono" w:eastAsia="Cascadia Mono" w:hAnsi="Cascadia Mono"/>
          <w:color w:val="2B2B2B"/>
          <w:sz w:val="18"/>
          <w:szCs w:val="18"/>
        </w:rPr>
        <w:t xml:space="preserve">time_to_notice_hours ≤ 8</w:t>
      </w:r>
      <w:r>
        <w:t xml:space="preserve"> · </w:t>
      </w:r>
      <w:r>
        <w:rPr>
          <w:rFonts w:ascii="Cascadia Mono" w:cs="Cascadia Mono" w:eastAsia="Cascadia Mono" w:hAnsi="Cascadia Mono"/>
          <w:color w:val="2B2B2B"/>
          <w:sz w:val="18"/>
          <w:szCs w:val="18"/>
        </w:rPr>
        <w:t xml:space="preserve">regulatory_compliance_pct ≥ 100%</w:t>
      </w:r>
      <w:r>
        <w:t xml:space="preserve">. Artifacts: AXLECML.RECALL_NOTICE/GENEALOGY/SHIPMENT. Prereqs: Plex + SAP QM + shipment tracking + NHTSA/regulator feeds + F32 + SOX + FDA (if food/pharma) + </w:t>
      </w:r>
      <w:r>
        <w:rPr>
          <w:rFonts w:ascii="Cascadia Mono" w:cs="Cascadia Mono" w:eastAsia="Cascadia Mono" w:hAnsi="Cascadia Mono"/>
          <w:color w:val="2B2B2B"/>
          <w:sz w:val="18"/>
          <w:szCs w:val="18"/>
        </w:rPr>
        <w:t xml:space="preserve">recall-coordinator</w:t>
      </w:r>
      <w:r>
        <w:t xml:space="preserve"> group.</w:t>
      </w:r>
    </w:p>
    <w:p>
      <w:pPr>
        <w:pStyle w:val="Heading4"/>
        <w:spacing w:after="100" w:before="220"/>
      </w:pPr>
      <w:r>
        <w:rPr>
          <w:rFonts w:ascii="Aptos" w:cs="Aptos" w:eastAsia="Aptos" w:hAnsi="Aptos"/>
          <w:b/>
          <w:bCs/>
          <w:color w:val="0B111E"/>
          <w:sz w:val="20"/>
          <w:szCs w:val="20"/>
        </w:rPr>
        <w:t xml:space="preserve">Plant KPI Drift — APEX-AXLE-KPI-05</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OEE, yield, scrap, and downtime KPIs have target ranges. When they drift, the causes are usually subtle and multi-factor; by the time the monthly review catches them, the drift has cost real money. KPI-05 runs continuous drift detection on the key KPIs and produces root-cause hypotheses. </w:t>
      </w:r>
      <w:r>
        <w:rPr>
          <w:rFonts w:ascii="Cascadia Mono" w:cs="Cascadia Mono" w:eastAsia="Cascadia Mono" w:hAnsi="Cascadia Mono"/>
          <w:color w:val="2B2B2B"/>
          <w:sz w:val="18"/>
          <w:szCs w:val="18"/>
        </w:rPr>
        <w:t xml:space="preserve">AXLE-A09 Drift Detector</w:t>
      </w:r>
      <w:r>
        <w:t xml:space="preserve"> identifies statistical drift against baselines. </w:t>
      </w:r>
      <w:r>
        <w:rPr>
          <w:rFonts w:ascii="Cascadia Mono" w:cs="Cascadia Mono" w:eastAsia="Cascadia Mono" w:hAnsi="Cascadia Mono"/>
          <w:color w:val="2B2B2B"/>
          <w:sz w:val="18"/>
          <w:szCs w:val="18"/>
        </w:rPr>
        <w:t xml:space="preserve">AXLE-A10 Root-Cause Reasoner</w:t>
      </w:r>
      <w:r>
        <w:t xml:space="preserve"> (reasoning tier) considers asset health, shift patterns, material lots, and recent changes to produce ranked cause hypotheses for the plant manager to investigate.</w:t>
      </w:r>
    </w:p>
    <w:p>
      <w:pPr>
        <w:spacing w:after="140"/>
      </w:pPr>
      <w:r>
        <w:t xml:space="preserve">KPI impact: </w:t>
      </w:r>
      <w:r>
        <w:rPr>
          <w:rFonts w:ascii="Cascadia Mono" w:cs="Cascadia Mono" w:eastAsia="Cascadia Mono" w:hAnsi="Cascadia Mono"/>
          <w:color w:val="2B2B2B"/>
          <w:sz w:val="18"/>
          <w:szCs w:val="18"/>
        </w:rPr>
        <w:t xml:space="preserve">oee_improvement_pct</w:t>
      </w:r>
      <w:r>
        <w:t xml:space="preserve"> maximise · </w:t>
      </w:r>
      <w:r>
        <w:rPr>
          <w:rFonts w:ascii="Cascadia Mono" w:cs="Cascadia Mono" w:eastAsia="Cascadia Mono" w:hAnsi="Cascadia Mono"/>
          <w:color w:val="2B2B2B"/>
          <w:sz w:val="18"/>
          <w:szCs w:val="18"/>
        </w:rPr>
        <w:t xml:space="preserve">drift_detected_pct ≥ 90%</w:t>
      </w:r>
      <w:r>
        <w:t xml:space="preserve"> · </w:t>
      </w:r>
      <w:r>
        <w:rPr>
          <w:rFonts w:ascii="Cascadia Mono" w:cs="Cascadia Mono" w:eastAsia="Cascadia Mono" w:hAnsi="Cascadia Mono"/>
          <w:color w:val="2B2B2B"/>
          <w:sz w:val="18"/>
          <w:szCs w:val="18"/>
        </w:rPr>
        <w:t xml:space="preserve">false_alarm_rate_pct ≤ 5%</w:t>
      </w:r>
      <w:r>
        <w:t xml:space="preserve">. Artifacts: AXLECML.PRODUCTION_EVENT/KPI_SNAPSHOT/ASSET_HEALTH. Prereqs: Plex + SAP + historian + F16 + </w:t>
      </w:r>
      <w:r>
        <w:rPr>
          <w:rFonts w:ascii="Cascadia Mono" w:cs="Cascadia Mono" w:eastAsia="Cascadia Mono" w:hAnsi="Cascadia Mono"/>
          <w:color w:val="2B2B2B"/>
          <w:sz w:val="18"/>
          <w:szCs w:val="18"/>
        </w:rPr>
        <w:t xml:space="preserve">plant-manager</w:t>
      </w:r>
      <w:r>
        <w:t xml:space="preserve"> group.</w:t>
      </w:r>
    </w:p>
    <w:p>
      <w:pPr>
        <w:pStyle w:val="Heading3"/>
        <w:spacing w:after="120" w:before="260"/>
      </w:pPr>
      <w:r>
        <w:rPr>
          <w:rFonts w:ascii="Aptos" w:cs="Aptos" w:eastAsia="Aptos" w:hAnsi="Aptos"/>
          <w:b/>
          <w:bCs/>
          <w:color w:val="0B111E"/>
          <w:sz w:val="24"/>
          <w:szCs w:val="24"/>
        </w:rPr>
        <w:t xml:space="preserve">5.5 Implementation Roadmap (AXLE Practice)</w:t>
      </w:r>
    </w:p>
    <w:p>
      <w:pPr>
        <w:spacing w:after="140"/>
      </w:pPr>
      <w:r>
        <w:t xml:space="preserve">Typical Wave 1 · $4–6M · LDT-01 + KPI-05 at one plant Typical Wave 2 · $6–10M · Add QEX-02 + SCD-03 at plant-group level Typical Wave 3 · $4–6M · RCL-04 enterprise-wide; consider graduating into the full AXLE programme if the client commits to that trajectory.</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6: Technology, Media &amp; Telecom (TMT) Practice</w:t>
      </w:r>
    </w:p>
    <w:p>
      <w:pPr>
        <w:pStyle w:val="Heading3"/>
        <w:spacing w:after="120" w:before="260"/>
      </w:pPr>
      <w:r>
        <w:rPr>
          <w:rFonts w:ascii="Aptos" w:cs="Aptos" w:eastAsia="Aptos" w:hAnsi="Aptos"/>
          <w:b/>
          <w:bCs/>
          <w:color w:val="0B111E"/>
          <w:sz w:val="24"/>
          <w:szCs w:val="24"/>
        </w:rPr>
        <w:t xml:space="preserve">6.1 The Story</w:t>
      </w:r>
    </w:p>
    <w:p>
      <w:pPr>
        <w:spacing w:after="140"/>
      </w:pPr>
      <w:r>
        <w:t xml:space="preserve">At 02:17 on a Saturday morning, a telco network operations centre lights up. A regional 5G core experiences elevated packet loss; customer-facing symptoms are beginning to manifest as dropped calls and slow data sessions. Traditional NOC workflows spend the first thirty minutes classifying the incident: is it RAN, core, transport, backhaul, or a cloud provider problem? Each answer has a different on-call page, and the wrong first page wastes critical minutes.</w:t>
      </w:r>
    </w:p>
    <w:p>
      <w:pPr>
        <w:spacing w:after="140"/>
      </w:pPr>
      <w:r>
        <w:t xml:space="preserve">With </w:t>
      </w:r>
      <w:r>
        <w:rPr>
          <w:rFonts w:ascii="Cascadia Mono" w:cs="Cascadia Mono" w:eastAsia="Cascadia Mono" w:hAnsi="Cascadia Mono"/>
          <w:color w:val="2B2B2B"/>
          <w:sz w:val="18"/>
          <w:szCs w:val="18"/>
        </w:rPr>
        <w:t xml:space="preserve">APEX-TMT-NET-01 Network Incident Response</w:t>
      </w:r>
      <w:r>
        <w:t xml:space="preserve"> running, the first classification lands in ninety seconds. </w:t>
      </w:r>
      <w:r>
        <w:rPr>
          <w:rFonts w:ascii="Cascadia Mono" w:cs="Cascadia Mono" w:eastAsia="Cascadia Mono" w:hAnsi="Cascadia Mono"/>
          <w:color w:val="2B2B2B"/>
          <w:sz w:val="18"/>
          <w:szCs w:val="18"/>
        </w:rPr>
        <w:t xml:space="preserve">TMT-A01 Incident Classifier</w:t>
      </w:r>
      <w:r>
        <w:t xml:space="preserve"> fuses streams from the NMS, alarm correlator, and customer-impact signal. </w:t>
      </w:r>
      <w:r>
        <w:rPr>
          <w:rFonts w:ascii="Cascadia Mono" w:cs="Cascadia Mono" w:eastAsia="Cascadia Mono" w:hAnsi="Cascadia Mono"/>
          <w:color w:val="2B2B2B"/>
          <w:sz w:val="18"/>
          <w:szCs w:val="18"/>
        </w:rPr>
        <w:t xml:space="preserve">TMT-A02 Remediation Recommender</w:t>
      </w:r>
      <w:r>
        <w:t xml:space="preserve"> proposes the specific action — a specific element-manager reset, a BGP re-announce, a cloud-provider ticket. The HITL card lands on the on-call NOC engineer with pre-assembled context: engineering already halfway done. Mean-time-to-recovery on classifiable incidents drops 40-60% in pilot.</w:t>
      </w:r>
    </w:p>
    <w:p>
      <w:pPr>
        <w:spacing w:after="140"/>
      </w:pPr>
      <w:r>
        <w:t xml:space="preserve">TMT is APEX's broadest Practice. It serves three sub-verticals (Technology, Media &amp; Entertainment, Telecom) with a set of services that individually overlap the others only lightly but collectively represent the most dynamic enterprise category in the APEX catalogue. Sub-variant codes: </w:t>
      </w:r>
      <w:r>
        <w:rPr>
          <w:rFonts w:ascii="Cascadia Mono" w:cs="Cascadia Mono" w:eastAsia="Cascadia Mono" w:hAnsi="Cascadia Mono"/>
          <w:color w:val="2B2B2B"/>
          <w:sz w:val="18"/>
          <w:szCs w:val="18"/>
        </w:rPr>
        <w:t xml:space="preserve">TMT-TEC</w:t>
      </w:r>
      <w:r>
        <w:t xml:space="preserve">, </w:t>
      </w:r>
      <w:r>
        <w:rPr>
          <w:rFonts w:ascii="Cascadia Mono" w:cs="Cascadia Mono" w:eastAsia="Cascadia Mono" w:hAnsi="Cascadia Mono"/>
          <w:color w:val="2B2B2B"/>
          <w:sz w:val="18"/>
          <w:szCs w:val="18"/>
        </w:rPr>
        <w:t xml:space="preserve">TMT-MED</w:t>
      </w:r>
      <w:r>
        <w:t xml:space="preserve">, </w:t>
      </w:r>
      <w:r>
        <w:rPr>
          <w:rFonts w:ascii="Cascadia Mono" w:cs="Cascadia Mono" w:eastAsia="Cascadia Mono" w:hAnsi="Cascadia Mono"/>
          <w:color w:val="2B2B2B"/>
          <w:sz w:val="18"/>
          <w:szCs w:val="18"/>
        </w:rPr>
        <w:t xml:space="preserve">TMT-TEL</w:t>
      </w:r>
      <w:r>
        <w:t xml:space="preserve">.</w:t>
      </w:r>
    </w:p>
    <w:p>
      <w:pPr>
        <w:pStyle w:val="Heading3"/>
        <w:spacing w:after="120" w:before="260"/>
      </w:pPr>
      <w:r>
        <w:rPr>
          <w:rFonts w:ascii="Aptos" w:cs="Aptos" w:eastAsia="Aptos" w:hAnsi="Aptos"/>
          <w:b/>
          <w:bCs/>
          <w:color w:val="0B111E"/>
          <w:sz w:val="24"/>
          <w:szCs w:val="24"/>
        </w:rPr>
        <w:t xml:space="preserve">6.2 Forces Driving Change</w:t>
      </w:r>
    </w:p>
    <w:p>
      <w:pPr>
        <w:spacing w:after="140"/>
      </w:pPr>
      <w:r>
        <w:t xml:space="preserve">TMT has every one of the five forces operating at once, but three dominate:</w:t>
      </w:r>
    </w:p>
    <w:p>
      <w:pPr>
        <w:pStyle w:val="ListParagraph"/>
        <w:numPr>
          <w:ilvl w:val="0"/>
          <w:numId w:val="1"/>
        </w:numPr>
        <w:spacing w:after="60"/>
      </w:pPr>
      <w:r>
        <w:rPr>
          <w:b/>
          <w:bCs/>
        </w:rPr>
        <w:t xml:space="preserve">Decision-velocity gap</w:t>
      </w:r>
      <w:r>
        <w:t xml:space="preserve"> — exponentially. Telecom network events and ad-fraud signals land at millisecond cadence; the human-capable cadence has not moved. Agentic platforms are the only viable close.</w:t>
      </w:r>
    </w:p>
    <w:p>
      <w:pPr>
        <w:pStyle w:val="ListParagraph"/>
        <w:numPr>
          <w:ilvl w:val="0"/>
          <w:numId w:val="1"/>
        </w:numPr>
        <w:spacing w:after="60"/>
      </w:pPr>
      <w:r>
        <w:rPr>
          <w:b/>
          <w:bCs/>
        </w:rPr>
        <w:t xml:space="preserve">Regulatory acceleration</w:t>
      </w:r>
      <w:r>
        <w:t xml:space="preserve"> — digital-services regulations (EU DSA, state-level privacy laws, FCC reliability standards) are multiplying; media rights compliance is a perpetual fire drill.</w:t>
      </w:r>
    </w:p>
    <w:p>
      <w:pPr>
        <w:pStyle w:val="ListParagraph"/>
        <w:numPr>
          <w:ilvl w:val="0"/>
          <w:numId w:val="1"/>
        </w:numPr>
        <w:spacing w:after="60"/>
      </w:pPr>
      <w:r>
        <w:rPr>
          <w:b/>
          <w:bCs/>
        </w:rPr>
        <w:t xml:space="preserve">Customer-experience expectations</w:t>
      </w:r>
      <w:r>
        <w:t xml:space="preserve"> — subscription churn is elastic to micro-experiences; one bad disruption propagates across social channels in hours.</w:t>
      </w:r>
    </w:p>
    <w:p>
      <w:pPr>
        <w:pStyle w:val="Heading3"/>
        <w:spacing w:after="120" w:before="260"/>
      </w:pPr>
      <w:r>
        <w:rPr>
          <w:rFonts w:ascii="Aptos" w:cs="Aptos" w:eastAsia="Aptos" w:hAnsi="Aptos"/>
          <w:b/>
          <w:bCs/>
          <w:color w:val="0B111E"/>
          <w:sz w:val="24"/>
          <w:szCs w:val="24"/>
        </w:rPr>
        <w:t xml:space="preserve">6.3 The Human Reality</w:t>
      </w:r>
    </w:p>
    <w:p>
      <w:pPr>
        <w:spacing w:after="140"/>
      </w:pPr>
      <w:r>
        <w:t xml:space="preserve">TMT personas span three sub-verticals:</w:t>
      </w:r>
    </w:p>
    <w:p>
      <w:pPr>
        <w:pStyle w:val="ListParagraph"/>
        <w:numPr>
          <w:ilvl w:val="0"/>
          <w:numId w:val="1"/>
        </w:numPr>
        <w:spacing w:after="60"/>
      </w:pPr>
      <w:r>
        <w:rPr>
          <w:b/>
          <w:bCs/>
        </w:rPr>
        <w:t xml:space="preserve">NOC Engineer</w:t>
      </w:r>
      <w:r>
        <w:t xml:space="preserve"> (Telecom) — primary for network incidents; owns first-hour classification and remediation decisions</w:t>
      </w:r>
    </w:p>
    <w:p>
      <w:pPr>
        <w:pStyle w:val="ListParagraph"/>
        <w:numPr>
          <w:ilvl w:val="0"/>
          <w:numId w:val="1"/>
        </w:numPr>
        <w:spacing w:after="60"/>
      </w:pPr>
      <w:r>
        <w:rPr>
          <w:b/>
          <w:bCs/>
        </w:rPr>
        <w:t xml:space="preserve">Customer Retention Analyst</w:t>
      </w:r>
      <w:r>
        <w:t xml:space="preserve"> (Telecom / Subscription Media) — primary for churn intervention; owns save-offer decisions</w:t>
      </w:r>
    </w:p>
    <w:p>
      <w:pPr>
        <w:pStyle w:val="ListParagraph"/>
        <w:numPr>
          <w:ilvl w:val="0"/>
          <w:numId w:val="1"/>
        </w:numPr>
        <w:spacing w:after="60"/>
      </w:pPr>
      <w:r>
        <w:rPr>
          <w:b/>
          <w:bCs/>
        </w:rPr>
        <w:t xml:space="preserve">Rights Ops Analyst</w:t>
      </w:r>
      <w:r>
        <w:t xml:space="preserve"> (Media) — primary for content-rights incidents; owns takedown and syndication remediation</w:t>
      </w:r>
    </w:p>
    <w:p>
      <w:pPr>
        <w:pStyle w:val="ListParagraph"/>
        <w:numPr>
          <w:ilvl w:val="0"/>
          <w:numId w:val="1"/>
        </w:numPr>
        <w:spacing w:after="60"/>
      </w:pPr>
      <w:r>
        <w:rPr>
          <w:b/>
          <w:bCs/>
        </w:rPr>
        <w:t xml:space="preserve">Subscription Ops Analyst</w:t>
      </w:r>
      <w:r>
        <w:t xml:space="preserve"> (SaaS / Media) — primary for subscription exceptions (payment failures, plan drift, usage anomalies)</w:t>
      </w:r>
    </w:p>
    <w:p>
      <w:pPr>
        <w:pStyle w:val="ListParagraph"/>
        <w:numPr>
          <w:ilvl w:val="0"/>
          <w:numId w:val="1"/>
        </w:numPr>
        <w:spacing w:after="60"/>
      </w:pPr>
      <w:r>
        <w:rPr>
          <w:b/>
          <w:bCs/>
        </w:rPr>
        <w:t xml:space="preserve">Cloud FinOps Engineer</w:t>
      </w:r>
      <w:r>
        <w:t xml:space="preserve"> (Technology) — primary for cost-anomaly response</w:t>
      </w:r>
    </w:p>
    <w:p>
      <w:pPr>
        <w:pStyle w:val="ListParagraph"/>
        <w:numPr>
          <w:ilvl w:val="0"/>
          <w:numId w:val="1"/>
        </w:numPr>
        <w:spacing w:after="60"/>
      </w:pPr>
      <w:r>
        <w:rPr>
          <w:b/>
          <w:bCs/>
        </w:rPr>
        <w:t xml:space="preserve">Ad-Ops Investigator</w:t>
      </w:r>
      <w:r>
        <w:t xml:space="preserve"> (Media) — primary for ad-fraud triage</w:t>
      </w:r>
    </w:p>
    <w:p>
      <w:pPr>
        <w:pStyle w:val="ListParagraph"/>
        <w:numPr>
          <w:ilvl w:val="0"/>
          <w:numId w:val="1"/>
        </w:numPr>
        <w:spacing w:after="60"/>
      </w:pPr>
      <w:r>
        <w:rPr>
          <w:b/>
          <w:bCs/>
        </w:rPr>
        <w:t xml:space="preserve">Field Network Engineer</w:t>
      </w:r>
      <w:r>
        <w:t xml:space="preserve"> (Telecom) — secondary for 5G outage dispatch</w:t>
      </w:r>
    </w:p>
    <w:p>
      <w:pPr>
        <w:pStyle w:val="Heading3"/>
        <w:spacing w:after="120" w:before="260"/>
      </w:pPr>
      <w:r>
        <w:rPr>
          <w:rFonts w:ascii="Aptos" w:cs="Aptos" w:eastAsia="Aptos" w:hAnsi="Aptos"/>
          <w:b/>
          <w:bCs/>
          <w:color w:val="0B111E"/>
          <w:sz w:val="24"/>
          <w:szCs w:val="24"/>
        </w:rPr>
        <w:t xml:space="preserve">6.4 AI Integration Maturity</w:t>
      </w:r>
    </w:p>
    <w:p>
      <w:pPr>
        <w:spacing w:after="140"/>
      </w:pPr>
      <w:r>
        <w:t xml:space="preserve">TMT baseline ranges widely. Hyperscaler-adjacent tech companies often start at </w:t>
      </w:r>
      <w:r>
        <w:rPr>
          <w:b/>
          <w:bCs/>
        </w:rPr>
        <w:t xml:space="preserve">Level 3</w:t>
      </w:r>
      <w:r>
        <w:t xml:space="preserve"> (they've already built recommendation systems). Traditional telcos often start at </w:t>
      </w:r>
      <w:r>
        <w:rPr>
          <w:b/>
          <w:bCs/>
        </w:rPr>
        <w:t xml:space="preserve">Level 1-2</w:t>
      </w:r>
      <w:r>
        <w:t xml:space="preserve"> (heavy NOC-and-dashboard culture). Media companies vary by size. Wave 1 targets Level 3 uniformly.</w:t>
      </w:r>
    </w:p>
    <w:p>
      <w:pPr>
        <w:pStyle w:val="Heading3"/>
        <w:spacing w:after="120" w:before="260"/>
      </w:pPr>
      <w:r>
        <w:rPr>
          <w:rFonts w:ascii="Aptos" w:cs="Aptos" w:eastAsia="Aptos" w:hAnsi="Aptos"/>
          <w:b/>
          <w:bCs/>
          <w:color w:val="0B111E"/>
          <w:sz w:val="24"/>
          <w:szCs w:val="24"/>
        </w:rPr>
        <w:t xml:space="preserve">6.5 Decision-Automation Positioning</w:t>
      </w:r>
    </w:p>
    <w:p>
      <w:pPr>
        <w:spacing w:after="140"/>
      </w:pPr>
      <w:r>
        <w:t xml:space="preserve">TMT is the Practice where Level 5 pilots reach viability fastest — for specific narrow services (ad-fraud decisions under a cost threshold, cloud-cost anomaly auto-remediation on owned resources). Because the per-decision consequence is often bounded and the decision volume is high, the math favours removing the HITL gate on narrow-scope services earlier than in HLS or ER.</w:t>
      </w:r>
    </w:p>
    <w:p>
      <w:pPr>
        <w:pStyle w:val="Heading3"/>
        <w:spacing w:after="120" w:before="260"/>
      </w:pPr>
      <w:r>
        <w:rPr>
          <w:rFonts w:ascii="Aptos" w:cs="Aptos" w:eastAsia="Aptos" w:hAnsi="Aptos"/>
          <w:b/>
          <w:bCs/>
          <w:color w:val="0B111E"/>
          <w:sz w:val="24"/>
          <w:szCs w:val="24"/>
        </w:rPr>
        <w:t xml:space="preserve">6.6 KPI Dashboard</w:t>
      </w:r>
    </w:p>
    <w:p>
      <w:pPr>
        <w:pStyle w:val="ListParagraph"/>
        <w:numPr>
          <w:ilvl w:val="0"/>
          <w:numId w:val="1"/>
        </w:numPr>
        <w:spacing w:after="60"/>
      </w:pPr>
      <w:r>
        <w:rPr>
          <w:b/>
          <w:bCs/>
        </w:rPr>
        <w:t xml:space="preserve">MTTR on network incidents, min</w:t>
      </w:r>
      <w:r>
        <w:t xml:space="preserve"> — target 40-60% reduction from baseline</w:t>
      </w:r>
    </w:p>
    <w:p>
      <w:pPr>
        <w:pStyle w:val="ListParagraph"/>
        <w:numPr>
          <w:ilvl w:val="0"/>
          <w:numId w:val="1"/>
        </w:numPr>
        <w:spacing w:after="60"/>
      </w:pPr>
      <w:r>
        <w:rPr>
          <w:b/>
          <w:bCs/>
        </w:rPr>
        <w:t xml:space="preserve">Churn save-offer success rate, %</w:t>
      </w:r>
      <w:r>
        <w:t xml:space="preserve"> — target 25-40% on targeted customers</w:t>
      </w:r>
    </w:p>
    <w:p>
      <w:pPr>
        <w:pStyle w:val="ListParagraph"/>
        <w:numPr>
          <w:ilvl w:val="0"/>
          <w:numId w:val="1"/>
        </w:numPr>
        <w:spacing w:after="60"/>
      </w:pPr>
      <w:r>
        <w:rPr>
          <w:b/>
          <w:bCs/>
        </w:rPr>
        <w:t xml:space="preserve">Ad fraud caught, %</w:t>
      </w:r>
      <w:r>
        <w:t xml:space="preserve"> — target ≥ 92% true-positive with ≤ 2% false-positive</w:t>
      </w:r>
    </w:p>
    <w:p>
      <w:pPr>
        <w:pStyle w:val="ListParagraph"/>
        <w:numPr>
          <w:ilvl w:val="0"/>
          <w:numId w:val="1"/>
        </w:numPr>
        <w:spacing w:after="60"/>
      </w:pPr>
      <w:r>
        <w:rPr>
          <w:b/>
          <w:bCs/>
        </w:rPr>
        <w:t xml:space="preserve">Cloud cost anomaly ticket-to-resolution, h</w:t>
      </w:r>
      <w:r>
        <w:t xml:space="preserve"> — target ≤ 4h on class-1</w:t>
      </w:r>
    </w:p>
    <w:p>
      <w:pPr>
        <w:pStyle w:val="ListParagraph"/>
        <w:numPr>
          <w:ilvl w:val="0"/>
          <w:numId w:val="1"/>
        </w:numPr>
        <w:spacing w:after="60"/>
      </w:pPr>
      <w:r>
        <w:rPr>
          <w:b/>
          <w:bCs/>
        </w:rPr>
        <w:t xml:space="preserve">Content rights incident time-to-containment, h</w:t>
      </w:r>
      <w:r>
        <w:t xml:space="preserve"> — target ≤ 6h</w:t>
      </w:r>
    </w:p>
    <w:p>
      <w:pPr>
        <w:pStyle w:val="Heading3"/>
        <w:spacing w:after="120" w:before="260"/>
      </w:pPr>
      <w:r>
        <w:rPr>
          <w:rFonts w:ascii="Aptos" w:cs="Aptos" w:eastAsia="Aptos" w:hAnsi="Aptos"/>
          <w:b/>
          <w:bCs/>
          <w:color w:val="0B111E"/>
          <w:sz w:val="24"/>
          <w:szCs w:val="24"/>
        </w:rPr>
        <w:t xml:space="preserve">6.7 Solution Portfolio &amp; Architecture</w:t>
      </w:r>
    </w:p>
    <w:p>
      <w:pPr>
        <w:spacing w:after="140"/>
      </w:pPr>
      <w:r>
        <w:t xml:space="preserve">Seven services in the TMT Practice (active build; GA target Q3 2026).</w:t>
      </w:r>
    </w:p>
    <w:p>
      <w:pPr>
        <w:pStyle w:val="Heading4"/>
        <w:spacing w:after="100" w:before="220"/>
      </w:pPr>
      <w:r>
        <w:rPr>
          <w:rFonts w:ascii="Aptos" w:cs="Aptos" w:eastAsia="Aptos" w:hAnsi="Aptos"/>
          <w:b/>
          <w:bCs/>
          <w:color w:val="0B111E"/>
          <w:sz w:val="20"/>
          <w:szCs w:val="20"/>
        </w:rPr>
        <w:t xml:space="preserve">Network Incident Response — APEX-TMT-NET-01</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 (ESCALATION for P1/P2)</w:t>
      </w:r>
    </w:p>
    <w:p>
      <w:pPr>
        <w:spacing w:after="140"/>
      </w:pPr>
      <w:r>
        <w:t xml:space="preserve">Described above. Scenarios: 5G core incidents, RAN outages, transport / backhaul failures, cloud-provider incidents. Personas: primary NOC Engineer, secondary Field Network Engineer, Regulatory Affairs (on large-customer-impact events). Integrates with NMS, alarm correlator, customer-impact feed, cloud-provider status APIs. Bundles TMT-A01/A02 + ORCH-30.</w:t>
      </w:r>
    </w:p>
    <w:p>
      <w:pPr>
        <w:pStyle w:val="Heading4"/>
        <w:spacing w:after="100" w:before="220"/>
      </w:pPr>
      <w:r>
        <w:rPr>
          <w:rFonts w:ascii="Aptos" w:cs="Aptos" w:eastAsia="Aptos" w:hAnsi="Aptos"/>
          <w:b/>
          <w:bCs/>
          <w:color w:val="0B111E"/>
          <w:sz w:val="20"/>
          <w:szCs w:val="20"/>
        </w:rPr>
        <w:t xml:space="preserve">Customer Churn Intervention — APEX-TMT-CCI-02</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Predictive-and-proactive churn save. </w:t>
      </w:r>
      <w:r>
        <w:rPr>
          <w:rFonts w:ascii="Cascadia Mono" w:cs="Cascadia Mono" w:eastAsia="Cascadia Mono" w:hAnsi="Cascadia Mono"/>
          <w:color w:val="2B2B2B"/>
          <w:sz w:val="18"/>
          <w:szCs w:val="18"/>
        </w:rPr>
        <w:t xml:space="preserve">TMT-A03 Churn Risk Scorer</w:t>
      </w:r>
      <w:r>
        <w:t xml:space="preserve"> fuses billing, usage, support interactions, and NPS signals into per-customer risk scores. </w:t>
      </w:r>
      <w:r>
        <w:rPr>
          <w:rFonts w:ascii="Cascadia Mono" w:cs="Cascadia Mono" w:eastAsia="Cascadia Mono" w:hAnsi="Cascadia Mono"/>
          <w:color w:val="2B2B2B"/>
          <w:sz w:val="18"/>
          <w:szCs w:val="18"/>
        </w:rPr>
        <w:t xml:space="preserve">TMT-A04 Save-Offer Orchestrator</w:t>
      </w:r>
      <w:r>
        <w:t xml:space="preserve"> generates personalised offer candidates — plan upgrades, bill credits, technician visits for service-quality issues — and routes to the Customer Retention Analyst for ACK_ONLY approval at an offer-value threshold. Bundles TMT-A03/A04 + CXML.SUBSCRIPTION_STATE + CXML.INTERACTION_HISTORY + ORCH-31.</w:t>
      </w:r>
    </w:p>
    <w:p>
      <w:pPr>
        <w:pStyle w:val="Heading4"/>
        <w:spacing w:after="100" w:before="220"/>
      </w:pPr>
      <w:r>
        <w:rPr>
          <w:rFonts w:ascii="Aptos" w:cs="Aptos" w:eastAsia="Aptos" w:hAnsi="Aptos"/>
          <w:b/>
          <w:bCs/>
          <w:color w:val="0B111E"/>
          <w:sz w:val="20"/>
          <w:szCs w:val="20"/>
        </w:rPr>
        <w:t xml:space="preserve">Content Rights Violation Triage — APEX-TMT-CRV-03</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 → ESCALATION</w:t>
      </w:r>
    </w:p>
    <w:p>
      <w:pPr>
        <w:spacing w:after="140"/>
      </w:pPr>
      <w:r>
        <w:t xml:space="preserve">Content appears on a platform or partner where rights do not permit. </w:t>
      </w:r>
      <w:r>
        <w:rPr>
          <w:rFonts w:ascii="Cascadia Mono" w:cs="Cascadia Mono" w:eastAsia="Cascadia Mono" w:hAnsi="Cascadia Mono"/>
          <w:color w:val="2B2B2B"/>
          <w:sz w:val="18"/>
          <w:szCs w:val="18"/>
        </w:rPr>
        <w:t xml:space="preserve">TMT-A05 Rights Matcher</w:t>
      </w:r>
      <w:r>
        <w:t xml:space="preserve"> cross-references content fingerprints against the rights database and geographic restrictions. </w:t>
      </w:r>
      <w:r>
        <w:rPr>
          <w:rFonts w:ascii="Cascadia Mono" w:cs="Cascadia Mono" w:eastAsia="Cascadia Mono" w:hAnsi="Cascadia Mono"/>
          <w:color w:val="2B2B2B"/>
          <w:sz w:val="18"/>
          <w:szCs w:val="18"/>
        </w:rPr>
        <w:t xml:space="preserve">TMT-A06 Takedown Coordinator</w:t>
      </w:r>
      <w:r>
        <w:t xml:space="preserve"> drafts takedown notices and syndication corrections. Escalates to Legal for disputes or multi-party entanglements. KPIs: </w:t>
      </w:r>
      <w:r>
        <w:rPr>
          <w:rFonts w:ascii="Cascadia Mono" w:cs="Cascadia Mono" w:eastAsia="Cascadia Mono" w:hAnsi="Cascadia Mono"/>
          <w:color w:val="2B2B2B"/>
          <w:sz w:val="18"/>
          <w:szCs w:val="18"/>
        </w:rPr>
        <w:t xml:space="preserve">time_to_containment_hours ≤ 6</w:t>
      </w:r>
      <w:r>
        <w:t xml:space="preserve"> · </w:t>
      </w:r>
      <w:r>
        <w:rPr>
          <w:rFonts w:ascii="Cascadia Mono" w:cs="Cascadia Mono" w:eastAsia="Cascadia Mono" w:hAnsi="Cascadia Mono"/>
          <w:color w:val="2B2B2B"/>
          <w:sz w:val="18"/>
          <w:szCs w:val="18"/>
        </w:rPr>
        <w:t xml:space="preserve">false_takedown_rate_pct ≤ 0.5</w:t>
      </w:r>
      <w:r>
        <w:t xml:space="preserve">.</w:t>
      </w:r>
    </w:p>
    <w:p>
      <w:pPr>
        <w:pStyle w:val="Heading4"/>
        <w:spacing w:after="100" w:before="220"/>
      </w:pPr>
      <w:r>
        <w:rPr>
          <w:rFonts w:ascii="Aptos" w:cs="Aptos" w:eastAsia="Aptos" w:hAnsi="Aptos"/>
          <w:b/>
          <w:bCs/>
          <w:color w:val="0B111E"/>
          <w:sz w:val="20"/>
          <w:szCs w:val="20"/>
        </w:rPr>
        <w:t xml:space="preserve">Subscription Exception Handling — APEX-TMT-SUB-04</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Payment failures, plan downgrades, usage drift, account-share detection. </w:t>
      </w:r>
      <w:r>
        <w:rPr>
          <w:rFonts w:ascii="Cascadia Mono" w:cs="Cascadia Mono" w:eastAsia="Cascadia Mono" w:hAnsi="Cascadia Mono"/>
          <w:color w:val="2B2B2B"/>
          <w:sz w:val="18"/>
          <w:szCs w:val="18"/>
        </w:rPr>
        <w:t xml:space="preserve">TMT-A07 Subscription Anomaly Classifier</w:t>
      </w:r>
      <w:r>
        <w:t xml:space="preserve"> categorises; </w:t>
      </w:r>
      <w:r>
        <w:rPr>
          <w:rFonts w:ascii="Cascadia Mono" w:cs="Cascadia Mono" w:eastAsia="Cascadia Mono" w:hAnsi="Cascadia Mono"/>
          <w:color w:val="2B2B2B"/>
          <w:sz w:val="18"/>
          <w:szCs w:val="18"/>
        </w:rPr>
        <w:t xml:space="preserve">TMT-A08 Recovery Action Generator</w:t>
      </w:r>
      <w:r>
        <w:t xml:space="preserve"> proposes the specific recovery (retry payment, offer downgrade, prompt household account consolidation). Subscription Ops Analyst reviews.</w:t>
      </w:r>
    </w:p>
    <w:p>
      <w:pPr>
        <w:pStyle w:val="Heading4"/>
        <w:spacing w:after="100" w:before="220"/>
      </w:pPr>
      <w:r>
        <w:rPr>
          <w:rFonts w:ascii="Aptos" w:cs="Aptos" w:eastAsia="Aptos" w:hAnsi="Aptos"/>
          <w:b/>
          <w:bCs/>
          <w:color w:val="0B111E"/>
          <w:sz w:val="20"/>
          <w:szCs w:val="20"/>
        </w:rPr>
        <w:t xml:space="preserve">Cloud Cost Anomaly Response — APEX-TMT-CCA-05</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 (ZERO_TOUCH on bounded classes)</w:t>
      </w:r>
    </w:p>
    <w:p>
      <w:pPr>
        <w:spacing w:after="140"/>
      </w:pPr>
      <w:r>
        <w:t xml:space="preserve">Cloud spend spike detection at resource-group level; root-cause decomposition; automated remediation on approved classes (e.g., scale-down untagged dev resources) with HITL on larger actions. </w:t>
      </w:r>
      <w:r>
        <w:rPr>
          <w:rFonts w:ascii="Cascadia Mono" w:cs="Cascadia Mono" w:eastAsia="Cascadia Mono" w:hAnsi="Cascadia Mono"/>
          <w:color w:val="2B2B2B"/>
          <w:sz w:val="18"/>
          <w:szCs w:val="18"/>
        </w:rPr>
        <w:t xml:space="preserve">TMT-A09 Cost Pattern Detector</w:t>
      </w:r>
      <w:r>
        <w:t xml:space="preserve"> + </w:t>
      </w:r>
      <w:r>
        <w:rPr>
          <w:rFonts w:ascii="Cascadia Mono" w:cs="Cascadia Mono" w:eastAsia="Cascadia Mono" w:hAnsi="Cascadia Mono"/>
          <w:color w:val="2B2B2B"/>
          <w:sz w:val="18"/>
          <w:szCs w:val="18"/>
        </w:rPr>
        <w:t xml:space="preserve">TMT-A10 Remediation Executor</w:t>
      </w:r>
      <w:r>
        <w:t xml:space="preserve">. Primary persona: Cloud FinOps Engineer.</w:t>
      </w:r>
    </w:p>
    <w:p>
      <w:pPr>
        <w:pStyle w:val="Heading4"/>
        <w:spacing w:after="100" w:before="220"/>
      </w:pPr>
      <w:r>
        <w:rPr>
          <w:rFonts w:ascii="Aptos" w:cs="Aptos" w:eastAsia="Aptos" w:hAnsi="Aptos"/>
          <w:b/>
          <w:bCs/>
          <w:color w:val="0B111E"/>
          <w:sz w:val="20"/>
          <w:szCs w:val="20"/>
        </w:rPr>
        <w:t xml:space="preserve">Ad Fraud Detection — APEX-TMT-ADF-06</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ZERO_TOUCH on low-$ events, HITL above threshold</w:t>
      </w:r>
    </w:p>
    <w:p>
      <w:pPr>
        <w:spacing w:after="140"/>
      </w:pPr>
      <w:r>
        <w:t xml:space="preserve">High-volume streaming detection of non-human or invalid traffic. </w:t>
      </w:r>
      <w:r>
        <w:rPr>
          <w:rFonts w:ascii="Cascadia Mono" w:cs="Cascadia Mono" w:eastAsia="Cascadia Mono" w:hAnsi="Cascadia Mono"/>
          <w:color w:val="2B2B2B"/>
          <w:sz w:val="18"/>
          <w:szCs w:val="18"/>
        </w:rPr>
        <w:t xml:space="preserve">TMT-A11 Fraud Signal Fuser</w:t>
      </w:r>
      <w:r>
        <w:t xml:space="preserve"> classifies against known patterns; </w:t>
      </w:r>
      <w:r>
        <w:rPr>
          <w:rFonts w:ascii="Cascadia Mono" w:cs="Cascadia Mono" w:eastAsia="Cascadia Mono" w:hAnsi="Cascadia Mono"/>
          <w:color w:val="2B2B2B"/>
          <w:sz w:val="18"/>
          <w:szCs w:val="18"/>
        </w:rPr>
        <w:t xml:space="preserve">TMT-A12 Investigation Packager</w:t>
      </w:r>
      <w:r>
        <w:t xml:space="preserve"> assembles evidence for disputes with ad networks. Gate starts HITL for all events; after Wave 2 maturity, sub-$ events transition to ZERO_TOUCH.</w:t>
      </w:r>
    </w:p>
    <w:p>
      <w:pPr>
        <w:pStyle w:val="Heading4"/>
        <w:spacing w:after="100" w:before="220"/>
      </w:pPr>
      <w:r>
        <w:rPr>
          <w:rFonts w:ascii="Aptos" w:cs="Aptos" w:eastAsia="Aptos" w:hAnsi="Aptos"/>
          <w:b/>
          <w:bCs/>
          <w:color w:val="0B111E"/>
          <w:sz w:val="20"/>
          <w:szCs w:val="20"/>
        </w:rPr>
        <w:t xml:space="preserve">5G Service Outage Triage — APEX-TMT-5GO-07</w:t>
      </w:r>
    </w:p>
    <w:p>
      <w:pPr>
        <w:spacing w:after="140"/>
      </w:pPr>
      <w:r>
        <w:rPr>
          <w:b/>
          <w:bCs/>
        </w:rPr>
        <w:t xml:space="preserve">Tier:</w:t>
      </w:r>
      <w:r>
        <w:t xml:space="preserve"> Enterprise · </w:t>
      </w:r>
      <w:r>
        <w:rPr>
          <w:b/>
          <w:bCs/>
        </w:rPr>
        <w:t xml:space="preserve">Status:</w:t>
      </w:r>
      <w:r>
        <w:t xml:space="preserve"> Planned v0.5 · </w:t>
      </w:r>
      <w:r>
        <w:rPr>
          <w:b/>
          <w:bCs/>
        </w:rPr>
        <w:t xml:space="preserve">Gate:</w:t>
      </w:r>
      <w:r>
        <w:t xml:space="preserve"> HITL</w:t>
      </w:r>
    </w:p>
    <w:p>
      <w:pPr>
        <w:spacing w:after="140"/>
      </w:pPr>
      <w:r>
        <w:t xml:space="preserve">Specialised for 5G-specific outages (slice faults, edge-node failures, mMTC stream quality). Bundles with NET-01 in deployment but has distinct tools (5G KPI analysers, slice state query) and persona mix (Network Engineer + Customer Experience Lead).</w:t>
      </w:r>
    </w:p>
    <w:p>
      <w:pPr>
        <w:pStyle w:val="Heading3"/>
        <w:spacing w:after="120" w:before="260"/>
      </w:pPr>
      <w:r>
        <w:rPr>
          <w:rFonts w:ascii="Aptos" w:cs="Aptos" w:eastAsia="Aptos" w:hAnsi="Aptos"/>
          <w:b/>
          <w:bCs/>
          <w:color w:val="0B111E"/>
          <w:sz w:val="24"/>
          <w:szCs w:val="24"/>
        </w:rPr>
        <w:t xml:space="preserve">6.8 Business Case Highlights (TMT)</w:t>
      </w:r>
    </w:p>
    <w:p>
      <w:pPr>
        <w:spacing w:after="140"/>
      </w:pPr>
      <w:r>
        <w:t xml:space="preserve">Typical Wave 1 financials (mid-market telco + subscription media):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NET-01 Network 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$3–6M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MTTR reduction 40-60% on classifiable incidents; customer-minutes and SLA credit savings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CCI-02 Churn Intervention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25-40% save-offer success rate on at-risk customers; ~$80M/yr revenue-at-risk typical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CCA-05 Cloud Cost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FinOps-driven spend reduction on untracked resources and anomalies</w:t>
            </w:r>
          </w:p>
        </w:tc>
      </w:tr>
    </w:tbl>
    <w:p>
      <w:pPr>
        <w:spacing w:after="120"/>
      </w:pPr>
      <w:r>
        <w:t xml:space="preserve"/>
      </w:r>
    </w:p>
    <w:p>
      <w:pPr>
        <w:spacing w:after="140"/>
      </w:pPr>
      <w:r>
        <w:t xml:space="preserve">TMT services benefit from the second-largest decision volumes (after RC) in the catalogue, which means gate-downgrade to ZERO_TOUCH on bounded classes is often reachable faster than in other Practices. Wave 2 commonly features the first APEX ZERO_TOUCH graduation (typically on ad-fraud sub-$ events).</w:t>
      </w:r>
    </w:p>
    <w:p>
      <w:pPr>
        <w:spacing w:after="140"/>
      </w:pPr>
      <w:r>
        <w:t xml:space="preserve">Total Wave 1 annualised: </w:t>
      </w:r>
      <w:r>
        <w:rPr>
          <w:b/>
          <w:bCs/>
        </w:rPr>
        <w:t xml:space="preserve">$6–12M</w:t>
      </w:r>
      <w:r>
        <w:t xml:space="preserve"> against </w:t>
      </w:r>
      <w:r>
        <w:rPr>
          <w:b/>
          <w:bCs/>
        </w:rPr>
        <w:t xml:space="preserve">$4–6M</w:t>
      </w:r>
      <w:r>
        <w:t xml:space="preserve"> investment.</w:t>
      </w:r>
    </w:p>
    <w:p>
      <w:pPr>
        <w:pStyle w:val="Heading3"/>
        <w:spacing w:after="120" w:before="260"/>
      </w:pPr>
      <w:r>
        <w:rPr>
          <w:rFonts w:ascii="Aptos" w:cs="Aptos" w:eastAsia="Aptos" w:hAnsi="Aptos"/>
          <w:b/>
          <w:bCs/>
          <w:color w:val="0B111E"/>
          <w:sz w:val="24"/>
          <w:szCs w:val="24"/>
        </w:rPr>
        <w:t xml:space="preserve">6.9 Implementation Roadmap (TMT)</w:t>
      </w:r>
    </w:p>
    <w:p>
      <w:pPr>
        <w:spacing w:after="140"/>
      </w:pPr>
      <w:r>
        <w:t xml:space="preserve">Typical TMT engagements start with NET-01 + CCI-02 in a single sub-vertical (usually Telecom or Subscription Media); CRV-03 and CCA-05 added in Wave 2; ad-fraud and 5G services in Wave 3 for telco clients.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7: Travel &amp; Hospitality (TH) Practice</w:t>
      </w:r>
    </w:p>
    <w:p>
      <w:pPr>
        <w:pStyle w:val="Heading3"/>
        <w:spacing w:after="120" w:before="260"/>
      </w:pPr>
      <w:r>
        <w:rPr>
          <w:rFonts w:ascii="Aptos" w:cs="Aptos" w:eastAsia="Aptos" w:hAnsi="Aptos"/>
          <w:b/>
          <w:bCs/>
          <w:color w:val="0B111E"/>
          <w:sz w:val="24"/>
          <w:szCs w:val="24"/>
        </w:rPr>
        <w:t xml:space="preserve">7.1 The Story</w:t>
      </w:r>
    </w:p>
    <w:p>
      <w:pPr>
        <w:spacing w:after="140"/>
      </w:pPr>
      <w:r>
        <w:t xml:space="preserve">At 14:22 on a Friday afternoon before a long weekend, a flight from a major US hub cancels. 187 passengers are stranded. The legacy disruption-recovery process — rebooking, hotel vouchers, transportation coordination, loyalty-customer prioritisation — runs sequentially through four different teams and takes hours. Meanwhile, Twitter is lighting up and the customer satisfaction hit to the airline is real.</w:t>
      </w:r>
    </w:p>
    <w:p>
      <w:pPr>
        <w:spacing w:after="140"/>
      </w:pPr>
      <w:r>
        <w:t xml:space="preserve">With </w:t>
      </w:r>
      <w:r>
        <w:rPr>
          <w:rFonts w:ascii="Cascadia Mono" w:cs="Cascadia Mono" w:eastAsia="Cascadia Mono" w:hAnsi="Cascadia Mono"/>
          <w:color w:val="2B2B2B"/>
          <w:sz w:val="18"/>
          <w:szCs w:val="18"/>
        </w:rPr>
        <w:t xml:space="preserve">APEX-TH-DRO-02 Disruption Recovery Orchestration</w:t>
      </w:r>
      <w:r>
        <w:t xml:space="preserve"> running, the four workstreams run in parallel. </w:t>
      </w:r>
      <w:r>
        <w:rPr>
          <w:rFonts w:ascii="Cascadia Mono" w:cs="Cascadia Mono" w:eastAsia="Cascadia Mono" w:hAnsi="Cascadia Mono"/>
          <w:color w:val="2B2B2B"/>
          <w:sz w:val="18"/>
          <w:szCs w:val="18"/>
        </w:rPr>
        <w:t xml:space="preserve">TH-A01 Disruption Scope Assessor</w:t>
      </w:r>
      <w:r>
        <w:t xml:space="preserve"> produces the affected-passenger list with their tier, connecting flights, baggage status, and downline commitments. </w:t>
      </w:r>
      <w:r>
        <w:rPr>
          <w:rFonts w:ascii="Cascadia Mono" w:cs="Cascadia Mono" w:eastAsia="Cascadia Mono" w:hAnsi="Cascadia Mono"/>
          <w:color w:val="2B2B2B"/>
          <w:sz w:val="18"/>
          <w:szCs w:val="18"/>
        </w:rPr>
        <w:t xml:space="preserve">TH-A02 Rebooking Optimiser</w:t>
      </w:r>
      <w:r>
        <w:t xml:space="preserve"> proposes rebook itineraries prioritised by tier and connection feasibility. </w:t>
      </w:r>
      <w:r>
        <w:rPr>
          <w:rFonts w:ascii="Cascadia Mono" w:cs="Cascadia Mono" w:eastAsia="Cascadia Mono" w:hAnsi="Cascadia Mono"/>
          <w:color w:val="2B2B2B"/>
          <w:sz w:val="18"/>
          <w:szCs w:val="18"/>
        </w:rPr>
        <w:t xml:space="preserve">TH-A03 Recovery Comms Agent</w:t>
      </w:r>
      <w:r>
        <w:t xml:space="preserve"> drafts personalised outbound communications. </w:t>
      </w:r>
      <w:r>
        <w:rPr>
          <w:rFonts w:ascii="Cascadia Mono" w:cs="Cascadia Mono" w:eastAsia="Cascadia Mono" w:hAnsi="Cascadia Mono"/>
          <w:color w:val="2B2B2B"/>
          <w:sz w:val="18"/>
          <w:szCs w:val="18"/>
        </w:rPr>
        <w:t xml:space="preserve">TH-A04 Hotel &amp; Ground Coordinator</w:t>
      </w:r>
      <w:r>
        <w:t xml:space="preserve"> pre-books inventory at nearby partner hotels. All four streams produce HITL-ready packages for the Operations Control Center within twelve minutes. The recovery ships at a quality the legacy sequence simply cannot match.</w:t>
      </w:r>
    </w:p>
    <w:p>
      <w:pPr>
        <w:pStyle w:val="Heading3"/>
        <w:spacing w:after="120" w:before="260"/>
      </w:pPr>
      <w:r>
        <w:rPr>
          <w:rFonts w:ascii="Aptos" w:cs="Aptos" w:eastAsia="Aptos" w:hAnsi="Aptos"/>
          <w:b/>
          <w:bCs/>
          <w:color w:val="0B111E"/>
          <w:sz w:val="24"/>
          <w:szCs w:val="24"/>
        </w:rPr>
        <w:t xml:space="preserve">7.2 Forces Driving Change</w:t>
      </w:r>
    </w:p>
    <w:p>
      <w:pPr>
        <w:spacing w:after="140"/>
      </w:pPr>
      <w:r>
        <w:t xml:space="preserve">TH is a high-customer-interaction, high-operational-complexity, low-margin Practice. Every force lands with force:</w:t>
      </w:r>
    </w:p>
    <w:p>
      <w:pPr>
        <w:pStyle w:val="ListParagraph"/>
        <w:numPr>
          <w:ilvl w:val="0"/>
          <w:numId w:val="1"/>
        </w:numPr>
        <w:spacing w:after="60"/>
      </w:pPr>
      <w:r>
        <w:rPr>
          <w:b/>
          <w:bCs/>
        </w:rPr>
        <w:t xml:space="preserve">Decision-velocity gap</w:t>
      </w:r>
      <w:r>
        <w:t xml:space="preserve"> — disruption recovery and overbooking decisions have narrow windows; rebooking a high-tier loyalty guest within minutes vs. hours is the difference between retention and churn</w:t>
      </w:r>
    </w:p>
    <w:p>
      <w:pPr>
        <w:pStyle w:val="ListParagraph"/>
        <w:numPr>
          <w:ilvl w:val="0"/>
          <w:numId w:val="1"/>
        </w:numPr>
        <w:spacing w:after="60"/>
      </w:pPr>
      <w:r>
        <w:rPr>
          <w:b/>
          <w:bCs/>
        </w:rPr>
        <w:t xml:space="preserve">Knowledge-worker shortage</w:t>
      </w:r>
      <w:r>
        <w:t xml:space="preserve"> — frontline hospitality workforce turnover is acute post-pandemic; institutional knowledge about disruption recovery walks out constantly</w:t>
      </w:r>
    </w:p>
    <w:p>
      <w:pPr>
        <w:pStyle w:val="ListParagraph"/>
        <w:numPr>
          <w:ilvl w:val="0"/>
          <w:numId w:val="1"/>
        </w:numPr>
        <w:spacing w:after="60"/>
      </w:pPr>
      <w:r>
        <w:rPr>
          <w:b/>
          <w:bCs/>
        </w:rPr>
        <w:t xml:space="preserve">Regulatory acceleration</w:t>
      </w:r>
      <w:r>
        <w:t xml:space="preserve"> — EU Passenger Rights, DOT tarmac rules, ADA compliance in hospitality all tightening</w:t>
      </w:r>
    </w:p>
    <w:p>
      <w:pPr>
        <w:pStyle w:val="ListParagraph"/>
        <w:numPr>
          <w:ilvl w:val="0"/>
          <w:numId w:val="1"/>
        </w:numPr>
        <w:spacing w:after="60"/>
      </w:pPr>
      <w:r>
        <w:rPr>
          <w:b/>
          <w:bCs/>
        </w:rPr>
        <w:t xml:space="preserve">Customer-experience expectations</w:t>
      </w:r>
      <w:r>
        <w:t xml:space="preserve"> — social-media amplification of bad experiences; one viral complaint equals thousands of impressions</w:t>
      </w:r>
    </w:p>
    <w:p>
      <w:pPr>
        <w:pStyle w:val="Heading3"/>
        <w:spacing w:after="120" w:before="260"/>
      </w:pPr>
      <w:r>
        <w:rPr>
          <w:rFonts w:ascii="Aptos" w:cs="Aptos" w:eastAsia="Aptos" w:hAnsi="Aptos"/>
          <w:b/>
          <w:bCs/>
          <w:color w:val="0B111E"/>
          <w:sz w:val="24"/>
          <w:szCs w:val="24"/>
        </w:rPr>
        <w:t xml:space="preserve">7.3 The Human Reality</w:t>
      </w:r>
    </w:p>
    <w:p>
      <w:pPr>
        <w:spacing w:after="140"/>
      </w:pPr>
      <w:r>
        <w:t xml:space="preserve">TH personas include the Operations Control Center dispatcher (airlines), the Hotel General Manager (hospitality), the Loyalty Experience Manager (both), the Revenue Manager (both), and the Frontline Guest Service Agent. Different personas for different services; the common thread is time-pressured customer-facing judgement.</w:t>
      </w:r>
    </w:p>
    <w:p>
      <w:pPr>
        <w:pStyle w:val="Heading3"/>
        <w:spacing w:after="120" w:before="260"/>
      </w:pPr>
      <w:r>
        <w:rPr>
          <w:rFonts w:ascii="Aptos" w:cs="Aptos" w:eastAsia="Aptos" w:hAnsi="Aptos"/>
          <w:b/>
          <w:bCs/>
          <w:color w:val="0B111E"/>
          <w:sz w:val="24"/>
          <w:szCs w:val="24"/>
        </w:rPr>
        <w:t xml:space="preserve">7.4 KPI Dashboard</w:t>
      </w:r>
    </w:p>
    <w:p>
      <w:pPr>
        <w:pStyle w:val="ListParagraph"/>
        <w:numPr>
          <w:ilvl w:val="0"/>
          <w:numId w:val="1"/>
        </w:numPr>
        <w:spacing w:after="60"/>
      </w:pPr>
      <w:r>
        <w:rPr>
          <w:b/>
          <w:bCs/>
        </w:rPr>
        <w:t xml:space="preserve">Disruption recovery time-to-plan, min</w:t>
      </w:r>
      <w:r>
        <w:t xml:space="preserve"> — target ≤ 15</w:t>
      </w:r>
    </w:p>
    <w:p>
      <w:pPr>
        <w:pStyle w:val="ListParagraph"/>
        <w:numPr>
          <w:ilvl w:val="0"/>
          <w:numId w:val="1"/>
        </w:numPr>
        <w:spacing w:after="60"/>
      </w:pPr>
      <w:r>
        <w:rPr>
          <w:b/>
          <w:bCs/>
        </w:rPr>
        <w:t xml:space="preserve">High-tier guest rescue rate, %</w:t>
      </w:r>
      <w:r>
        <w:t xml:space="preserve"> — target ≥ 90 on top-tier members affected</w:t>
      </w:r>
    </w:p>
    <w:p>
      <w:pPr>
        <w:pStyle w:val="ListParagraph"/>
        <w:numPr>
          <w:ilvl w:val="0"/>
          <w:numId w:val="1"/>
        </w:numPr>
        <w:spacing w:after="60"/>
      </w:pPr>
      <w:r>
        <w:rPr>
          <w:b/>
          <w:bCs/>
        </w:rPr>
        <w:t xml:space="preserve">Overbooking resolution success, %</w:t>
      </w:r>
      <w:r>
        <w:t xml:space="preserve"> — target ≥ 95% satisfactory rebook without compensation bleed</w:t>
      </w:r>
    </w:p>
    <w:p>
      <w:pPr>
        <w:pStyle w:val="ListParagraph"/>
        <w:numPr>
          <w:ilvl w:val="0"/>
          <w:numId w:val="1"/>
        </w:numPr>
        <w:spacing w:after="60"/>
      </w:pPr>
      <w:r>
        <w:rPr>
          <w:b/>
          <w:bCs/>
        </w:rPr>
        <w:t xml:space="preserve">Guest incident time-to-triage, min</w:t>
      </w:r>
      <w:r>
        <w:t xml:space="preserve"> — target ≤ 10</w:t>
      </w:r>
    </w:p>
    <w:p>
      <w:pPr>
        <w:pStyle w:val="ListParagraph"/>
        <w:numPr>
          <w:ilvl w:val="0"/>
          <w:numId w:val="1"/>
        </w:numPr>
        <w:spacing w:after="60"/>
      </w:pPr>
      <w:r>
        <w:rPr>
          <w:b/>
          <w:bCs/>
        </w:rPr>
        <w:t xml:space="preserve">Housekeeping exception time-to-resolution, min</w:t>
      </w:r>
      <w:r>
        <w:t xml:space="preserve"> — target ≤ 20 on critical path</w:t>
      </w:r>
    </w:p>
    <w:p>
      <w:pPr>
        <w:pStyle w:val="Heading3"/>
        <w:spacing w:after="120" w:before="260"/>
      </w:pPr>
      <w:r>
        <w:rPr>
          <w:rFonts w:ascii="Aptos" w:cs="Aptos" w:eastAsia="Aptos" w:hAnsi="Aptos"/>
          <w:b/>
          <w:bCs/>
          <w:color w:val="0B111E"/>
          <w:sz w:val="24"/>
          <w:szCs w:val="24"/>
        </w:rPr>
        <w:t xml:space="preserve">7.5 Solution Portfolio &amp; Architecture</w:t>
      </w:r>
    </w:p>
    <w:p>
      <w:pPr>
        <w:spacing w:after="140"/>
      </w:pPr>
      <w:r>
        <w:t xml:space="preserve">Six services in the TH Practice (active build; GA target Q2 2026).</w:t>
      </w:r>
    </w:p>
    <w:p>
      <w:pPr>
        <w:pStyle w:val="Heading4"/>
        <w:spacing w:after="100" w:before="220"/>
      </w:pPr>
      <w:r>
        <w:rPr>
          <w:rFonts w:ascii="Aptos" w:cs="Aptos" w:eastAsia="Aptos" w:hAnsi="Aptos"/>
          <w:b/>
          <w:bCs/>
          <w:color w:val="0B111E"/>
          <w:sz w:val="20"/>
          <w:szCs w:val="20"/>
        </w:rPr>
        <w:t xml:space="preserve">Overbooking &amp; Inventory Balancing — APEX-TH-OBI-01</w:t>
      </w:r>
    </w:p>
    <w:p>
      <w:pPr>
        <w:spacing w:after="140"/>
      </w:pPr>
      <w:r>
        <w:rPr>
          <w:b/>
          <w:bCs/>
        </w:rPr>
        <w:t xml:space="preserve">Tier:</w:t>
      </w:r>
      <w:r>
        <w:t xml:space="preserve"> Pro / Enterprise · </w:t>
      </w:r>
      <w:r>
        <w:rPr>
          <w:b/>
          <w:bCs/>
        </w:rPr>
        <w:t xml:space="preserve">Status:</w:t>
      </w:r>
      <w:r>
        <w:t xml:space="preserve"> Preview v1.0 · </w:t>
      </w:r>
      <w:r>
        <w:rPr>
          <w:b/>
          <w:bCs/>
        </w:rPr>
        <w:t xml:space="preserve">Gate:</w:t>
      </w:r>
      <w:r>
        <w:t xml:space="preserve"> HITL on overbooked day-of, ACK_ONLY on forward-looking</w:t>
      </w:r>
    </w:p>
    <w:p>
      <w:pPr>
        <w:spacing w:after="140"/>
      </w:pPr>
      <w:r>
        <w:t xml:space="preserve">Continuous overbooking optimisation for airlines and hotels. </w:t>
      </w:r>
      <w:r>
        <w:rPr>
          <w:rFonts w:ascii="Cascadia Mono" w:cs="Cascadia Mono" w:eastAsia="Cascadia Mono" w:hAnsi="Cascadia Mono"/>
          <w:color w:val="2B2B2B"/>
          <w:sz w:val="18"/>
          <w:szCs w:val="18"/>
        </w:rPr>
        <w:t xml:space="preserve">TH-A05 Demand Sensor</w:t>
      </w:r>
      <w:r>
        <w:t xml:space="preserve"> + </w:t>
      </w:r>
      <w:r>
        <w:rPr>
          <w:rFonts w:ascii="Cascadia Mono" w:cs="Cascadia Mono" w:eastAsia="Cascadia Mono" w:hAnsi="Cascadia Mono"/>
          <w:color w:val="2B2B2B"/>
          <w:sz w:val="18"/>
          <w:szCs w:val="18"/>
        </w:rPr>
        <w:t xml:space="preserve">TH-A06 Revenue-Aware Rebook Recommender</w:t>
      </w:r>
      <w:r>
        <w:t xml:space="preserve">. Integrates with GDS (airlines) or PMS (hotels).</w:t>
      </w:r>
    </w:p>
    <w:p>
      <w:pPr>
        <w:pStyle w:val="Heading4"/>
        <w:spacing w:after="100" w:before="220"/>
      </w:pPr>
      <w:r>
        <w:rPr>
          <w:rFonts w:ascii="Aptos" w:cs="Aptos" w:eastAsia="Aptos" w:hAnsi="Aptos"/>
          <w:b/>
          <w:bCs/>
          <w:color w:val="0B111E"/>
          <w:sz w:val="20"/>
          <w:szCs w:val="20"/>
        </w:rPr>
        <w:t xml:space="preserve">Disruption Recovery Orchestration — APEX-TH-DRO-02</w:t>
      </w:r>
    </w:p>
    <w:p>
      <w:pPr>
        <w:spacing w:after="140"/>
      </w:pPr>
      <w:r>
        <w:rPr>
          <w:b/>
          <w:bCs/>
        </w:rPr>
        <w:t xml:space="preserve">Tier:</w:t>
      </w:r>
      <w:r>
        <w:t xml:space="preserve"> Enterprise · </w:t>
      </w:r>
      <w:r>
        <w:rPr>
          <w:b/>
          <w:bCs/>
        </w:rPr>
        <w:t xml:space="preserve">Status:</w:t>
      </w:r>
      <w:r>
        <w:t xml:space="preserve"> Preview v1.0 · </w:t>
      </w:r>
      <w:r>
        <w:rPr>
          <w:b/>
          <w:bCs/>
        </w:rPr>
        <w:t xml:space="preserve">Gate:</w:t>
      </w:r>
      <w:r>
        <w:t xml:space="preserve"> HITL</w:t>
      </w:r>
    </w:p>
    <w:p>
      <w:pPr>
        <w:spacing w:after="140"/>
      </w:pPr>
      <w:r>
        <w:t xml:space="preserve">Described above. Bundles TH-A01/A02/A03/A04 + CXML + ORCH-40.</w:t>
      </w:r>
    </w:p>
    <w:p>
      <w:pPr>
        <w:pStyle w:val="Heading4"/>
        <w:spacing w:after="100" w:before="220"/>
      </w:pPr>
      <w:r>
        <w:rPr>
          <w:rFonts w:ascii="Aptos" w:cs="Aptos" w:eastAsia="Aptos" w:hAnsi="Aptos"/>
          <w:b/>
          <w:bCs/>
          <w:color w:val="0B111E"/>
          <w:sz w:val="20"/>
          <w:szCs w:val="20"/>
        </w:rPr>
        <w:t xml:space="preserve">Loyalty Guest Rescue — APEX-TH-LGR-03</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w:t>
      </w:r>
    </w:p>
    <w:p>
      <w:pPr>
        <w:spacing w:after="140"/>
      </w:pPr>
      <w:r>
        <w:t xml:space="preserve">Top-tier loyalty guest at risk: bad experience indicator fired, or an algorithmic service-recovery opportunity. </w:t>
      </w:r>
      <w:r>
        <w:rPr>
          <w:rFonts w:ascii="Cascadia Mono" w:cs="Cascadia Mono" w:eastAsia="Cascadia Mono" w:hAnsi="Cascadia Mono"/>
          <w:color w:val="2B2B2B"/>
          <w:sz w:val="18"/>
          <w:szCs w:val="18"/>
        </w:rPr>
        <w:t xml:space="preserve">TH-A07 Recovery Offer Generator</w:t>
      </w:r>
      <w:r>
        <w:t xml:space="preserve"> proposes tier-appropriate recovery (upgrade, credit, personalised outreach). Loyalty Experience Manager approves.</w:t>
      </w:r>
    </w:p>
    <w:p>
      <w:pPr>
        <w:pStyle w:val="Heading4"/>
        <w:spacing w:after="100" w:before="220"/>
      </w:pPr>
      <w:r>
        <w:rPr>
          <w:rFonts w:ascii="Aptos" w:cs="Aptos" w:eastAsia="Aptos" w:hAnsi="Aptos"/>
          <w:b/>
          <w:bCs/>
          <w:color w:val="0B111E"/>
          <w:sz w:val="20"/>
          <w:szCs w:val="20"/>
        </w:rPr>
        <w:t xml:space="preserve">Revenue-Management Anomaly — APEX-TH-RMA-04</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Pricing drift, competitor-shift anomalies, distribution-channel misalignments. </w:t>
      </w:r>
      <w:r>
        <w:rPr>
          <w:rFonts w:ascii="Cascadia Mono" w:cs="Cascadia Mono" w:eastAsia="Cascadia Mono" w:hAnsi="Cascadia Mono"/>
          <w:color w:val="2B2B2B"/>
          <w:sz w:val="18"/>
          <w:szCs w:val="18"/>
        </w:rPr>
        <w:t xml:space="preserve">TH-A08 Rate Anomaly Detector</w:t>
      </w:r>
      <w:r>
        <w:t xml:space="preserve"> + </w:t>
      </w:r>
      <w:r>
        <w:rPr>
          <w:rFonts w:ascii="Cascadia Mono" w:cs="Cascadia Mono" w:eastAsia="Cascadia Mono" w:hAnsi="Cascadia Mono"/>
          <w:color w:val="2B2B2B"/>
          <w:sz w:val="18"/>
          <w:szCs w:val="18"/>
        </w:rPr>
        <w:t xml:space="preserve">TH-A09 Correction Proposer</w:t>
      </w:r>
      <w:r>
        <w:t xml:space="preserve">. Revenue Manager reviews.</w:t>
      </w:r>
    </w:p>
    <w:p>
      <w:pPr>
        <w:pStyle w:val="Heading4"/>
        <w:spacing w:after="100" w:before="220"/>
      </w:pPr>
      <w:r>
        <w:rPr>
          <w:rFonts w:ascii="Aptos" w:cs="Aptos" w:eastAsia="Aptos" w:hAnsi="Aptos"/>
          <w:b/>
          <w:bCs/>
          <w:color w:val="0B111E"/>
          <w:sz w:val="20"/>
          <w:szCs w:val="20"/>
        </w:rPr>
        <w:t xml:space="preserve">Guest Incident Triage — APEX-TH-GIT-05</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 → ESCALATION</w:t>
      </w:r>
    </w:p>
    <w:p>
      <w:pPr>
        <w:spacing w:after="140"/>
      </w:pPr>
      <w:r>
        <w:t xml:space="preserve">Food safety, safety-and-security incidents, complaints patterns. </w:t>
      </w:r>
      <w:r>
        <w:rPr>
          <w:rFonts w:ascii="Cascadia Mono" w:cs="Cascadia Mono" w:eastAsia="Cascadia Mono" w:hAnsi="Cascadia Mono"/>
          <w:color w:val="2B2B2B"/>
          <w:sz w:val="18"/>
          <w:szCs w:val="18"/>
        </w:rPr>
        <w:t xml:space="preserve">TH-A10 Incident Classifier</w:t>
      </w:r>
      <w:r>
        <w:t xml:space="preserve"> + </w:t>
      </w:r>
      <w:r>
        <w:rPr>
          <w:rFonts w:ascii="Cascadia Mono" w:cs="Cascadia Mono" w:eastAsia="Cascadia Mono" w:hAnsi="Cascadia Mono"/>
          <w:color w:val="2B2B2B"/>
          <w:sz w:val="18"/>
          <w:szCs w:val="18"/>
        </w:rPr>
        <w:t xml:space="preserve">TH-A11 Response Coordinator</w:t>
      </w:r>
      <w:r>
        <w:t xml:space="preserve">. Similar pattern to RC-CXI-08 with hospitality-specific taxonomy.</w:t>
      </w:r>
    </w:p>
    <w:p>
      <w:pPr>
        <w:pStyle w:val="Heading4"/>
        <w:spacing w:after="100" w:before="220"/>
      </w:pPr>
      <w:r>
        <w:rPr>
          <w:rFonts w:ascii="Aptos" w:cs="Aptos" w:eastAsia="Aptos" w:hAnsi="Aptos"/>
          <w:b/>
          <w:bCs/>
          <w:color w:val="0B111E"/>
          <w:sz w:val="20"/>
          <w:szCs w:val="20"/>
        </w:rPr>
        <w:t xml:space="preserve">Housekeeping-Exception Routing — APEX-TH-HER-06</w:t>
      </w:r>
    </w:p>
    <w:p>
      <w:pPr>
        <w:spacing w:after="140"/>
      </w:pPr>
      <w:r>
        <w:rPr>
          <w:b/>
          <w:bCs/>
        </w:rPr>
        <w:t xml:space="preserve">Tier:</w:t>
      </w:r>
      <w:r>
        <w:t xml:space="preserve"> Essentials / Pro · </w:t>
      </w:r>
      <w:r>
        <w:rPr>
          <w:b/>
          <w:bCs/>
        </w:rPr>
        <w:t xml:space="preserve">Status:</w:t>
      </w:r>
      <w:r>
        <w:t xml:space="preserve"> Preview v0.9 · </w:t>
      </w:r>
      <w:r>
        <w:rPr>
          <w:b/>
          <w:bCs/>
        </w:rPr>
        <w:t xml:space="preserve">Gate:</w:t>
      </w:r>
      <w:r>
        <w:t xml:space="preserve"> ACK_ONLY</w:t>
      </w:r>
    </w:p>
    <w:p>
      <w:pPr>
        <w:spacing w:after="140"/>
      </w:pPr>
      <w:r>
        <w:t xml:space="preserve">Room-status exceptions routed to the right resource with priority scoring. </w:t>
      </w:r>
      <w:r>
        <w:rPr>
          <w:rFonts w:ascii="Cascadia Mono" w:cs="Cascadia Mono" w:eastAsia="Cascadia Mono" w:hAnsi="Cascadia Mono"/>
          <w:color w:val="2B2B2B"/>
          <w:sz w:val="18"/>
          <w:szCs w:val="18"/>
        </w:rPr>
        <w:t xml:space="preserve">TH-A12 Exception Prioritiser</w:t>
      </w:r>
      <w:r>
        <w:t xml:space="preserve">. Often the first service on a hotel pilot because it's low-stakes and shows quick wins.</w:t>
      </w:r>
    </w:p>
    <w:p>
      <w:pPr>
        <w:pStyle w:val="Heading4"/>
        <w:spacing w:after="100" w:before="220"/>
      </w:pPr>
      <w:r>
        <w:rPr>
          <w:rFonts w:ascii="Aptos" w:cs="Aptos" w:eastAsia="Aptos" w:hAnsi="Aptos"/>
          <w:b/>
          <w:bCs/>
          <w:color w:val="0B111E"/>
          <w:sz w:val="20"/>
          <w:szCs w:val="20"/>
        </w:rPr>
        <w:t xml:space="preserve">Traveler, Profile &amp; Preferences Tracking — APEX-TH-TTP-07</w:t>
      </w:r>
    </w:p>
    <w:p>
      <w:pPr>
        <w:spacing w:after="140"/>
      </w:pPr>
      <w:r>
        <w:rPr>
          <w:b/>
          <w:bCs/>
        </w:rPr>
        <w:t xml:space="preserve">Tier:</w:t>
      </w:r>
      <w:r>
        <w:t xml:space="preserve"> Enterprise · </w:t>
      </w:r>
      <w:r>
        <w:rPr>
          <w:b/>
          <w:bCs/>
        </w:rPr>
        <w:t xml:space="preserve">Status:</w:t>
      </w:r>
      <w:r>
        <w:t xml:space="preserve"> Preview v1.0 (GA target Q2 2026) · </w:t>
      </w:r>
      <w:r>
        <w:rPr>
          <w:b/>
          <w:bCs/>
        </w:rPr>
        <w:t xml:space="preserve">Gate:</w:t>
      </w:r>
      <w:r>
        <w:t xml:space="preserve"> ACK_ONLY (read-path) · HITL on any action that consumes profile or preference data · ESCALATION on consent-violation detection</w:t>
      </w:r>
    </w:p>
    <w:p>
      <w:pPr>
        <w:spacing w:after="140"/>
      </w:pPr>
      <w:r>
        <w:t xml:space="preserve">TH's analogue to RC's E2E product tracking: an end-to-end traveler timeline stitched across every TH service touchpoint. Unlike RC E2E-09 (where the subject is a </w:t>
      </w:r>
      <w:r>
        <w:rPr>
          <w:i/>
          <w:iCs/>
        </w:rPr>
        <w:t xml:space="preserve">product lot</w:t>
      </w:r>
      <w:r>
        <w:t xml:space="preserve">), the subject here is a </w:t>
      </w:r>
      <w:r>
        <w:rPr>
          <w:i/>
          <w:iCs/>
        </w:rPr>
        <w:t xml:space="preserve">person</w:t>
      </w:r>
      <w:r>
        <w:t xml:space="preserve"> — which makes privacy, consent, and anonymity </w:t>
      </w:r>
      <w:r>
        <w:rPr>
          <w:b/>
          <w:bCs/>
        </w:rPr>
        <w:t xml:space="preserve">first-class design concerns rather than afterthoughts</w:t>
      </w:r>
      <w:r>
        <w:t xml:space="preserve">.</w:t>
      </w:r>
    </w:p>
    <w:p>
      <w:pPr>
        <w:spacing w:after="140"/>
      </w:pPr>
      <w:r>
        <w:t xml:space="preserve">The Traveler Timeline spans: search → booking → ancillary purchases → check-in → journey (flight/stay) → disruption events → rebooking → guest interactions (incidents, comms) → loyalty accrual → departure/checkout → post-trip surveys and follow-ups. Every touchpoint is attributable; every attribution is consent-gated; every profile-data read is audit-logged.</w:t>
      </w:r>
    </w:p>
    <w:p>
      <w:pPr>
        <w:spacing w:after="140"/>
      </w:pPr>
      <w:r>
        <w:t xml:space="preserve">The service operates in two privacy modes simultaneously, selectable per trace query:</w:t>
      </w:r>
    </w:p>
    <w:p>
      <w:pPr>
        <w:pStyle w:val="ListParagraph"/>
        <w:numPr>
          <w:ilvl w:val="0"/>
          <w:numId w:val="1"/>
        </w:numPr>
        <w:spacing w:after="60"/>
      </w:pPr>
      <w:r>
        <w:rPr>
          <w:b/>
          <w:bCs/>
        </w:rPr>
        <w:t xml:space="preserve">Anonymous mode</w:t>
      </w:r>
      <w:r>
        <w:t xml:space="preserve"> (default for ops, revenue, and disruption-recovery analytics) — the traveler's identity is a stable opaque token; no cleartext PII is returned; aggregate trace results work fine for bed-capacity, load-factor, and disruption-reach math.</w:t>
      </w:r>
    </w:p>
    <w:p>
      <w:pPr>
        <w:pStyle w:val="ListParagraph"/>
        <w:numPr>
          <w:ilvl w:val="0"/>
          <w:numId w:val="1"/>
        </w:numPr>
        <w:spacing w:after="60"/>
      </w:pPr>
      <w:r>
        <w:rPr>
          <w:b/>
          <w:bCs/>
        </w:rPr>
        <w:t xml:space="preserve">Shared mode</w:t>
      </w:r>
      <w:r>
        <w:t xml:space="preserve"> (requires per-data-class consent evaluation before each call) — returns identifiable data only for the data classes the traveler has explicitly consented to share, and only for the purpose declared in the query call. Every reverse-tokenisation is audit-logged and inspectable by the traveler on request.</w:t>
      </w:r>
    </w:p>
    <w:p>
      <w:pPr>
        <w:spacing w:after="140"/>
      </w:pPr>
      <w:r>
        <w:t xml:space="preserve">Preferences are a separately-tokenised class of data with their own consent overlay — a traveler may consent to </w:t>
      </w:r>
      <w:r>
        <w:rPr>
          <w:i/>
          <w:iCs/>
        </w:rPr>
        <w:t xml:space="preserve">preferences being used to personalise service</w:t>
      </w:r>
      <w:r>
        <w:t xml:space="preserve"> without consenting to </w:t>
      </w:r>
      <w:r>
        <w:rPr>
          <w:i/>
          <w:iCs/>
        </w:rPr>
        <w:t xml:space="preserve">preferences being shared with partner operators</w:t>
      </w:r>
      <w:r>
        <w:t xml:space="preserve">. The service respects this granularity natively.</w:t>
      </w:r>
    </w:p>
    <w:p>
      <w:pPr>
        <w:spacing w:after="140"/>
      </w:pPr>
      <w:r>
        <w:t xml:space="preserve">KPI impact: </w:t>
      </w:r>
      <w:r>
        <w:rPr>
          <w:rFonts w:ascii="Cascadia Mono" w:cs="Cascadia Mono" w:eastAsia="Cascadia Mono" w:hAnsi="Cascadia Mono"/>
          <w:color w:val="2B2B2B"/>
          <w:sz w:val="18"/>
          <w:szCs w:val="18"/>
        </w:rPr>
        <w:t xml:space="preserve">trace_query_p95_sec ≤ 15</w:t>
      </w:r>
      <w:r>
        <w:t xml:space="preserve"> · </w:t>
      </w:r>
      <w:r>
        <w:rPr>
          <w:rFonts w:ascii="Cascadia Mono" w:cs="Cascadia Mono" w:eastAsia="Cascadia Mono" w:hAnsi="Cascadia Mono"/>
          <w:color w:val="2B2B2B"/>
          <w:sz w:val="18"/>
          <w:szCs w:val="18"/>
        </w:rPr>
        <w:t xml:space="preserve">consent_violation_rate_pct ≤ 0</w:t>
      </w:r>
      <w:r>
        <w:t xml:space="preserve"> (hard zero — any non-zero is a regulatory incident) · </w:t>
      </w:r>
      <w:r>
        <w:rPr>
          <w:rFonts w:ascii="Cascadia Mono" w:cs="Cascadia Mono" w:eastAsia="Cascadia Mono" w:hAnsi="Cascadia Mono"/>
          <w:color w:val="2B2B2B"/>
          <w:sz w:val="18"/>
          <w:szCs w:val="18"/>
        </w:rPr>
        <w:t xml:space="preserve">personalisation_opt_in_rate_pct</w:t>
      </w:r>
      <w:r>
        <w:t xml:space="preserve"> maximise · </w:t>
      </w:r>
      <w:r>
        <w:rPr>
          <w:rFonts w:ascii="Cascadia Mono" w:cs="Cascadia Mono" w:eastAsia="Cascadia Mono" w:hAnsi="Cascadia Mono"/>
          <w:color w:val="2B2B2B"/>
          <w:sz w:val="18"/>
          <w:szCs w:val="18"/>
        </w:rPr>
        <w:t xml:space="preserve">disruption_recovery_traveler_context_coverage_pct ≥ 99%</w:t>
      </w:r>
      <w:r>
        <w:t xml:space="preserve">. Artifacts: THML.BOOKING_RECORD + THML.DISRUPTION_EVENT + THML.RECOVERY_ACTION + THML.LOYALTY_GUEST_STATE + THML.GUEST_INCIDENT + THML.HOUSEKEEPING_EXCEPTION + new THML entities </w:t>
      </w:r>
      <w:r>
        <w:rPr>
          <w:rFonts w:ascii="Cascadia Mono" w:cs="Cascadia Mono" w:eastAsia="Cascadia Mono" w:hAnsi="Cascadia Mono"/>
          <w:color w:val="2B2B2B"/>
          <w:sz w:val="18"/>
          <w:szCs w:val="18"/>
        </w:rPr>
        <w:t xml:space="preserve">TRAVELER_PROFILE</w:t>
      </w:r>
      <w:r>
        <w:t xml:space="preserve"> and </w:t>
      </w:r>
      <w:r>
        <w:rPr>
          <w:rFonts w:ascii="Cascadia Mono" w:cs="Cascadia Mono" w:eastAsia="Cascadia Mono" w:hAnsi="Cascadia Mono"/>
          <w:color w:val="2B2B2B"/>
          <w:sz w:val="18"/>
          <w:szCs w:val="18"/>
        </w:rPr>
        <w:t xml:space="preserve">TRAVELER_PREFERENCES</w:t>
      </w:r>
      <w:r>
        <w:t xml:space="preserve"> + new </w:t>
      </w:r>
      <w:r>
        <w:rPr>
          <w:rFonts w:ascii="Cascadia Mono" w:cs="Cascadia Mono" w:eastAsia="Cascadia Mono" w:hAnsi="Cascadia Mono"/>
          <w:color w:val="2B2B2B"/>
          <w:sz w:val="18"/>
          <w:szCs w:val="18"/>
        </w:rPr>
        <w:t xml:space="preserve">gold_traveler_timeline_v1</w:t>
      </w:r>
      <w:r>
        <w:t xml:space="preserve"> view; agents TTP-A01 Traveler Timeline Composer, TTP-A02 Profile Assembler (consent-gated), TTP-A03 Preferences Resolver, TTP-A04 Consent Auditor; tools </w:t>
      </w:r>
      <w:r>
        <w:rPr>
          <w:rFonts w:ascii="Cascadia Mono" w:cs="Cascadia Mono" w:eastAsia="Cascadia Mono" w:hAnsi="Cascadia Mono"/>
          <w:color w:val="2B2B2B"/>
          <w:sz w:val="18"/>
          <w:szCs w:val="18"/>
        </w:rPr>
        <w:t xml:space="preserve">fabric-mcp.traveler_trace</w:t>
      </w:r>
      <w:r>
        <w:t xml:space="preserve">, </w:t>
      </w:r>
      <w:r>
        <w:rPr>
          <w:rFonts w:ascii="Cascadia Mono" w:cs="Cascadia Mono" w:eastAsia="Cascadia Mono" w:hAnsi="Cascadia Mono"/>
          <w:color w:val="2B2B2B"/>
          <w:sz w:val="18"/>
          <w:szCs w:val="18"/>
        </w:rPr>
        <w:t xml:space="preserve">fabric-mcp.profile_fetch_anonymous</w:t>
      </w:r>
      <w:r>
        <w:t xml:space="preserve">, </w:t>
      </w:r>
      <w:r>
        <w:rPr>
          <w:rFonts w:ascii="Cascadia Mono" w:cs="Cascadia Mono" w:eastAsia="Cascadia Mono" w:hAnsi="Cascadia Mono"/>
          <w:color w:val="2B2B2B"/>
          <w:sz w:val="18"/>
          <w:szCs w:val="18"/>
        </w:rPr>
        <w:t xml:space="preserve">fabric-mcp.profile_fetch_shared</w:t>
      </w:r>
      <w:r>
        <w:t xml:space="preserve">, </w:t>
      </w:r>
      <w:r>
        <w:rPr>
          <w:rFonts w:ascii="Cascadia Mono" w:cs="Cascadia Mono" w:eastAsia="Cascadia Mono" w:hAnsi="Cascadia Mono"/>
          <w:color w:val="2B2B2B"/>
          <w:sz w:val="18"/>
          <w:szCs w:val="18"/>
        </w:rPr>
        <w:t xml:space="preserve">fabric-mcp.preferences_resolve</w:t>
      </w:r>
      <w:r>
        <w:t xml:space="preserve">, </w:t>
      </w:r>
      <w:r>
        <w:rPr>
          <w:rFonts w:ascii="Cascadia Mono" w:cs="Cascadia Mono" w:eastAsia="Cascadia Mono" w:hAnsi="Cascadia Mono"/>
          <w:color w:val="2B2B2B"/>
          <w:sz w:val="18"/>
          <w:szCs w:val="18"/>
        </w:rPr>
        <w:t xml:space="preserve">tokenizer-mcp.consent_check</w:t>
      </w:r>
      <w:r>
        <w:t xml:space="preserve">; orchestration ORCH-46. Prereqs: booking, loyalty, incident, and disruption data in Silver; tokeniser with consent-flag support; Purview DLP configured for outbound PII blocking; </w:t>
      </w:r>
      <w:r>
        <w:rPr>
          <w:rFonts w:ascii="Cascadia Mono" w:cs="Cascadia Mono" w:eastAsia="Cascadia Mono" w:hAnsi="Cascadia Mono"/>
          <w:color w:val="2B2B2B"/>
          <w:sz w:val="18"/>
          <w:szCs w:val="18"/>
        </w:rPr>
        <w:t xml:space="preserve">guest-service-agent</w:t>
      </w:r>
      <w:r>
        <w:t xml:space="preserve"> + </w:t>
      </w:r>
      <w:r>
        <w:rPr>
          <w:rFonts w:ascii="Cascadia Mono" w:cs="Cascadia Mono" w:eastAsia="Cascadia Mono" w:hAnsi="Cascadia Mono"/>
          <w:color w:val="2B2B2B"/>
          <w:sz w:val="18"/>
          <w:szCs w:val="18"/>
        </w:rPr>
        <w:t xml:space="preserve">loyalty-experience-mgr</w:t>
      </w:r>
      <w:r>
        <w:t xml:space="preserve"> + </w:t>
      </w:r>
      <w:r>
        <w:rPr>
          <w:rFonts w:ascii="Cascadia Mono" w:cs="Cascadia Mono" w:eastAsia="Cascadia Mono" w:hAnsi="Cascadia Mono"/>
          <w:color w:val="2B2B2B"/>
          <w:sz w:val="18"/>
          <w:szCs w:val="18"/>
        </w:rPr>
        <w:t xml:space="preserve">compliance-officer</w:t>
      </w:r>
      <w:r>
        <w:t xml:space="preserve"> identity groups.</w:t>
      </w:r>
    </w:p>
    <w:p>
      <w:pPr>
        <w:pStyle w:val="Heading3"/>
        <w:spacing w:after="120" w:before="260"/>
      </w:pPr>
      <w:r>
        <w:rPr>
          <w:rFonts w:ascii="Aptos" w:cs="Aptos" w:eastAsia="Aptos" w:hAnsi="Aptos"/>
          <w:b/>
          <w:bCs/>
          <w:color w:val="0B111E"/>
          <w:sz w:val="24"/>
          <w:szCs w:val="24"/>
        </w:rPr>
        <w:t xml:space="preserve">7.6 Business Case Highlights (TH)</w:t>
      </w:r>
    </w:p>
    <w:p>
      <w:pPr>
        <w:spacing w:after="140"/>
      </w:pPr>
      <w:r>
        <w:t xml:space="preserve">Typical Wave 1 financials (major airline or large hotel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DRO-02 Disruption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Reduced compensation leakage; loyalty-customer retention during disruption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OBI-01 Overbooking Balancing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optimisation at higher net yield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LGR-03 Loyalty Guest Rescue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Top-tier retention; NPS improvement</w:t>
            </w:r>
          </w:p>
        </w:tc>
      </w:tr>
    </w:tbl>
    <w:p>
      <w:pPr>
        <w:spacing w:after="120"/>
      </w:pPr>
      <w:r>
        <w:t xml:space="preserve"/>
      </w:r>
    </w:p>
    <w:p>
      <w:pPr>
        <w:spacing w:after="140"/>
      </w:pPr>
      <w:r>
        <w:t xml:space="preserve">The commercial multiplier in TH is customer-lifetime-value impact: a high-tier loyalty guest saved is worth 5–15× the cost of the service-recovery offer made to save them. TH engagements commonly show the strongest NPS-trajectory improvements of any Practice in the first 90 days post-Wave 1 go-live.</w:t>
      </w:r>
    </w:p>
    <w:p>
      <w:pPr>
        <w:spacing w:after="140"/>
      </w:pPr>
      <w:r>
        <w:t xml:space="preserve">Total Wave 1 annualised: </w:t>
      </w:r>
      <w:r>
        <w:rPr>
          <w:b/>
          <w:bCs/>
        </w:rPr>
        <w:t xml:space="preserve">$5–10M</w:t>
      </w:r>
      <w:r>
        <w:t xml:space="preserve"> against </w:t>
      </w:r>
      <w:r>
        <w:rPr>
          <w:b/>
          <w:bCs/>
        </w:rPr>
        <w:t xml:space="preserve">$3–5M</w:t>
      </w:r>
      <w:r>
        <w:t xml:space="preserve"> investment.</w:t>
      </w:r>
    </w:p>
    <w:p>
      <w:pPr>
        <w:pStyle w:val="Heading3"/>
        <w:spacing w:after="120" w:before="260"/>
      </w:pPr>
      <w:r>
        <w:rPr>
          <w:rFonts w:ascii="Aptos" w:cs="Aptos" w:eastAsia="Aptos" w:hAnsi="Aptos"/>
          <w:b/>
          <w:bCs/>
          <w:color w:val="0B111E"/>
          <w:sz w:val="24"/>
          <w:szCs w:val="24"/>
        </w:rPr>
        <w:t xml:space="preserve">7.7 Implementation Roadmap (TH)</w:t>
      </w:r>
    </w:p>
    <w:p>
      <w:pPr>
        <w:spacing w:after="140"/>
      </w:pPr>
      <w:r>
        <w:t xml:space="preserve">Typical TH engagements start with HER-06 (low-stakes, quick win) + LGR-03 or OBI-01 (higher value) in Wave 1; DRO-02 and GIT-05 added in Wave 2 after trust is established; RMA-04 in Wave 3.</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7A: Implementation Deep-Dive — Traveler, Profile &amp; Preferences Tracking</w:t>
      </w:r>
    </w:p>
    <w:p>
      <w:pPr>
        <w:spacing w:after="140"/>
      </w:pPr>
      <w:r>
        <w:t xml:space="preserve">Parallel to Chapter 2A (RC Product E2E Tracking), this chapter is the implementation reference for </w:t>
      </w:r>
      <w:r>
        <w:rPr>
          <w:rFonts w:ascii="Cascadia Mono" w:cs="Cascadia Mono" w:eastAsia="Cascadia Mono" w:hAnsi="Cascadia Mono"/>
          <w:color w:val="2B2B2B"/>
          <w:sz w:val="18"/>
          <w:szCs w:val="18"/>
        </w:rPr>
        <w:t xml:space="preserve">APEX-TH-TTP-07 Traveler, Profile &amp; Preferences Tracking</w:t>
      </w:r>
      <w:r>
        <w:t xml:space="preserve">. Where the RC deep-dive can treat the subject (a product lot) as effectively non-sensitive, this chapter's subject is a </w:t>
      </w:r>
      <w:r>
        <w:rPr>
          <w:i/>
          <w:iCs/>
        </w:rPr>
        <w:t xml:space="preserve">person</w:t>
      </w:r>
      <w:r>
        <w:t xml:space="preserve">. Privacy, consent, and anonymity define the architecture rather than decorate it.</w:t>
      </w:r>
    </w:p>
    <w:p>
      <w:pPr>
        <w:spacing w:after="140"/>
      </w:pPr>
      <w:r>
        <w:t xml:space="preserve">Developers implementing the service should read this chapter alongside </w:t>
      </w:r>
      <w:r>
        <w:rPr>
          <w:b/>
          <w:bCs/>
        </w:rPr>
        <w:t xml:space="preserve">Companion 02</w:t>
      </w:r>
      <w:r>
        <w:t xml:space="preserve"> (Medallion + SOR) and </w:t>
      </w:r>
      <w:r>
        <w:rPr>
          <w:b/>
          <w:bCs/>
        </w:rPr>
        <w:t xml:space="preserve">Companion 05</w:t>
      </w:r>
      <w:r>
        <w:t xml:space="preserve"> (Observability &amp; Security) in the </w:t>
      </w:r>
      <w:r>
        <w:rPr>
          <w:i/>
          <w:iCs/>
        </w:rPr>
        <w:t xml:space="preserve">APEX Developer Implementation Guide</w:t>
      </w:r>
      <w:r>
        <w:t xml:space="preserve">, because the PII handling discipline here is the strictest in the APEX platform.</w:t>
      </w:r>
    </w:p>
    <w:p>
      <w:pPr>
        <w:pStyle w:val="Heading3"/>
        <w:spacing w:after="120" w:before="260"/>
      </w:pPr>
      <w:r>
        <w:rPr>
          <w:rFonts w:ascii="Aptos" w:cs="Aptos" w:eastAsia="Aptos" w:hAnsi="Aptos"/>
          <w:b/>
          <w:bCs/>
          <w:color w:val="0B111E"/>
          <w:sz w:val="24"/>
          <w:szCs w:val="24"/>
        </w:rPr>
        <w:t xml:space="preserve">7A.1 The Business Problem</w:t>
      </w:r>
    </w:p>
    <w:p>
      <w:pPr>
        <w:spacing w:after="140"/>
      </w:pPr>
      <w:r>
        <w:t xml:space="preserve">A major airline's disruption-recovery scenario: a weather event cancels 87 flights; 14,000 passengers need to be rebooked and communicated with in the next three hours. The operations control center needs to know, for each affected traveler:</w:t>
      </w:r>
    </w:p>
    <w:p>
      <w:pPr>
        <w:pStyle w:val="ListParagraph"/>
        <w:numPr>
          <w:ilvl w:val="0"/>
          <w:numId w:val="1"/>
        </w:numPr>
        <w:spacing w:after="60"/>
      </w:pPr>
      <w:r>
        <w:t xml:space="preserve">What is the traveler's loyalty tier, and do they qualify for tier-based rebooking priority?</w:t>
      </w:r>
    </w:p>
    <w:p>
      <w:pPr>
        <w:pStyle w:val="ListParagraph"/>
        <w:numPr>
          <w:ilvl w:val="0"/>
          <w:numId w:val="1"/>
        </w:numPr>
        <w:spacing w:after="60"/>
      </w:pPr>
      <w:r>
        <w:t xml:space="preserve">Does the traveler have onward connections, hotel bookings, or ground transport that compound the disruption?</w:t>
      </w:r>
    </w:p>
    <w:p>
      <w:pPr>
        <w:pStyle w:val="ListParagraph"/>
        <w:numPr>
          <w:ilvl w:val="0"/>
          <w:numId w:val="1"/>
        </w:numPr>
        <w:spacing w:after="60"/>
      </w:pPr>
      <w:r>
        <w:t xml:space="preserve">Does the traveler have accessibility needs, dietary restrictions, or travel-with-companions settings the rebook must honour?</w:t>
      </w:r>
    </w:p>
    <w:p>
      <w:pPr>
        <w:pStyle w:val="ListParagraph"/>
        <w:numPr>
          <w:ilvl w:val="0"/>
          <w:numId w:val="1"/>
        </w:numPr>
        <w:spacing w:after="60"/>
      </w:pPr>
      <w:r>
        <w:t xml:space="preserve">Does the traveler have communication-channel consent preferences — voice call OK, SMS OK, email only, or "do not contact except for safety"?</w:t>
      </w:r>
    </w:p>
    <w:p>
      <w:pPr>
        <w:pStyle w:val="ListParagraph"/>
        <w:numPr>
          <w:ilvl w:val="0"/>
          <w:numId w:val="1"/>
        </w:numPr>
        <w:spacing w:after="60"/>
      </w:pPr>
      <w:r>
        <w:t xml:space="preserve">Is this an anonymous booking, a known loyalty guest, or a corporate-travel guest with a shared profile?</w:t>
      </w:r>
    </w:p>
    <w:p>
      <w:pPr>
        <w:spacing w:after="140"/>
      </w:pPr>
      <w:r>
        <w:t xml:space="preserve">Without TTP-07, the answers are distributed across six systems (PSS, loyalty, CRM, ancillary booking, accessibility portal, consent registry) and assembled manually per-traveler. In the 14,000-passenger disruption above, manual assembly is impossible; the recovery defaults to tier-only prioritisation, ignoring the individual context. Travellers are recovered </w:t>
      </w:r>
      <w:r>
        <w:rPr>
          <w:i/>
          <w:iCs/>
        </w:rPr>
        <w:t xml:space="preserve">as cohorts</w:t>
      </w:r>
      <w:r>
        <w:t xml:space="preserve">, not </w:t>
      </w:r>
      <w:r>
        <w:rPr>
          <w:i/>
          <w:iCs/>
        </w:rPr>
        <w:t xml:space="preserve">as people</w:t>
      </w:r>
      <w:r>
        <w:t xml:space="preserve">.</w:t>
      </w:r>
    </w:p>
    <w:p>
      <w:pPr>
        <w:spacing w:after="140"/>
      </w:pPr>
      <w:r>
        <w:t xml:space="preserve">With TTP-07 live, every rebook decision within </w:t>
      </w:r>
      <w:r>
        <w:rPr>
          <w:rFonts w:ascii="Cascadia Mono" w:cs="Cascadia Mono" w:eastAsia="Cascadia Mono" w:hAnsi="Cascadia Mono"/>
          <w:color w:val="2B2B2B"/>
          <w:sz w:val="18"/>
          <w:szCs w:val="18"/>
        </w:rPr>
        <w:t xml:space="preserve">DRO-02 Disruption Recovery Orchestration</w:t>
      </w:r>
      <w:r>
        <w:t xml:space="preserve"> has the full consent-aware traveler context available in under 200 milliseconds per lookup. The recovery is personal at scale.</w:t>
      </w:r>
    </w:p>
    <w:p>
      <w:pPr>
        <w:pStyle w:val="Heading3"/>
        <w:spacing w:after="120" w:before="260"/>
      </w:pPr>
      <w:r>
        <w:rPr>
          <w:rFonts w:ascii="Aptos" w:cs="Aptos" w:eastAsia="Aptos" w:hAnsi="Aptos"/>
          <w:b/>
          <w:bCs/>
          <w:color w:val="0B111E"/>
          <w:sz w:val="24"/>
          <w:szCs w:val="24"/>
        </w:rPr>
        <w:t xml:space="preserve">7A.2 What "End-to-End" Means for a Traveler</w:t>
      </w:r>
    </w:p>
    <w:p>
      <w:pPr>
        <w:spacing w:after="140"/>
      </w:pPr>
      <w:r>
        <w:t xml:space="preserve">The Traveler Timeline crosses seven THML entities and optionally overlays with CXML for shared-data cross-practice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Pre-trip</w:t>
            </w:r>
          </w:p>
          <w:p>
            <w:pPr>
              <w:spacing w:after="0" w:line="240"/>
            </w:pPr>
            <w:r>
              <w:rPr>
                <w:rFonts w:ascii="Cascadia Mono" w:cs="Cascadia Mono" w:eastAsia="Cascadia Mono" w:hAnsi="Cascadia Mono"/>
                <w:color w:val="1F2937"/>
                <w:sz w:val="18"/>
                <w:szCs w:val="18"/>
              </w:rPr>
              <w:t xml:space="preserve">  Search                → (search-event telemetry, 90-day retention)</w:t>
            </w:r>
          </w:p>
          <w:p>
            <w:pPr>
              <w:spacing w:after="0" w:line="240"/>
            </w:pPr>
            <w:r>
              <w:rPr>
                <w:rFonts w:ascii="Cascadia Mono" w:cs="Cascadia Mono" w:eastAsia="Cascadia Mono" w:hAnsi="Cascadia Mono"/>
                <w:color w:val="1F2937"/>
                <w:sz w:val="18"/>
                <w:szCs w:val="18"/>
              </w:rPr>
              <w:t xml:space="preserve">  Booking               → THML.BOOKING_RECORD</w:t>
            </w:r>
          </w:p>
          <w:p>
            <w:pPr>
              <w:spacing w:after="0" w:line="240"/>
            </w:pPr>
            <w:r>
              <w:rPr>
                <w:rFonts w:ascii="Cascadia Mono" w:cs="Cascadia Mono" w:eastAsia="Cascadia Mono" w:hAnsi="Cascadia Mono"/>
                <w:color w:val="1F2937"/>
                <w:sz w:val="18"/>
                <w:szCs w:val="18"/>
              </w:rPr>
              <w:t xml:space="preserve">  Ancillaries           → THML.BOOKING_RECORD.ancillaries[]</w:t>
            </w:r>
          </w:p>
          <w:p>
            <w:pPr>
              <w:spacing w:after="0" w:line="240"/>
            </w:pPr>
            <w:r>
              <w:rPr>
                <w:rFonts w:ascii="Cascadia Mono" w:cs="Cascadia Mono" w:eastAsia="Cascadia Mono" w:hAnsi="Cascadia Mono"/>
                <w:color w:val="1F2937"/>
                <w:sz w:val="18"/>
                <w:szCs w:val="18"/>
              </w:rPr>
              <w:t xml:space="preserve">  Profile lookup        → THML.TRAVELER_PROFILE (consent-gated)</w:t>
            </w:r>
          </w:p>
          <w:p>
            <w:pPr>
              <w:spacing w:after="0" w:line="240"/>
            </w:pPr>
            <w:r>
              <w:rPr>
                <w:rFonts w:ascii="Cascadia Mono" w:cs="Cascadia Mono" w:eastAsia="Cascadia Mono" w:hAnsi="Cascadia Mono"/>
                <w:color w:val="1F2937"/>
                <w:sz w:val="18"/>
                <w:szCs w:val="18"/>
              </w:rPr>
              <w:t xml:space="preserve">  Preferences lookup    → THML.TRAVELER_PREFERENCES (consent-gated per class)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Trip</w:t>
            </w:r>
          </w:p>
          <w:p>
            <w:pPr>
              <w:spacing w:after="0" w:line="240"/>
            </w:pPr>
            <w:r>
              <w:rPr>
                <w:rFonts w:ascii="Cascadia Mono" w:cs="Cascadia Mono" w:eastAsia="Cascadia Mono" w:hAnsi="Cascadia Mono"/>
                <w:color w:val="1F2937"/>
                <w:sz w:val="18"/>
                <w:szCs w:val="18"/>
              </w:rPr>
              <w:t xml:space="preserve">  Check-in              → THML.BOOKING_RECORD.check_in_event</w:t>
            </w:r>
          </w:p>
          <w:p>
            <w:pPr>
              <w:spacing w:after="0" w:line="240"/>
            </w:pPr>
            <w:r>
              <w:rPr>
                <w:rFonts w:ascii="Cascadia Mono" w:cs="Cascadia Mono" w:eastAsia="Cascadia Mono" w:hAnsi="Cascadia Mono"/>
                <w:color w:val="1F2937"/>
                <w:sz w:val="18"/>
                <w:szCs w:val="18"/>
              </w:rPr>
              <w:t xml:space="preserve">  Flight / stay         → THML.BOOKING_RECORD.segment_events</w:t>
            </w:r>
          </w:p>
          <w:p>
            <w:pPr>
              <w:spacing w:after="0" w:line="240"/>
            </w:pPr>
            <w:r>
              <w:rPr>
                <w:rFonts w:ascii="Cascadia Mono" w:cs="Cascadia Mono" w:eastAsia="Cascadia Mono" w:hAnsi="Cascadia Mono"/>
                <w:color w:val="1F2937"/>
                <w:sz w:val="18"/>
                <w:szCs w:val="18"/>
              </w:rPr>
              <w:t xml:space="preserve">  Disruption            → THML.DISRUPTION_EVENT</w:t>
            </w:r>
          </w:p>
          <w:p>
            <w:pPr>
              <w:spacing w:after="0" w:line="240"/>
            </w:pPr>
            <w:r>
              <w:rPr>
                <w:rFonts w:ascii="Cascadia Mono" w:cs="Cascadia Mono" w:eastAsia="Cascadia Mono" w:hAnsi="Cascadia Mono"/>
                <w:color w:val="1F2937"/>
                <w:sz w:val="18"/>
                <w:szCs w:val="18"/>
              </w:rPr>
              <w:t xml:space="preserve">  Recovery action       → THML.RECOVERY_ACTION</w:t>
            </w:r>
          </w:p>
          <w:p>
            <w:pPr>
              <w:spacing w:after="0" w:line="240"/>
            </w:pPr>
            <w:r>
              <w:rPr>
                <w:rFonts w:ascii="Cascadia Mono" w:cs="Cascadia Mono" w:eastAsia="Cascadia Mono" w:hAnsi="Cascadia Mono"/>
                <w:color w:val="1F2937"/>
                <w:sz w:val="18"/>
                <w:szCs w:val="18"/>
              </w:rPr>
              <w:t xml:space="preserve">  Guest incident        → THML.GUEST_INCIDENT</w:t>
            </w:r>
          </w:p>
          <w:p>
            <w:pPr>
              <w:spacing w:after="0" w:line="240"/>
            </w:pPr>
            <w:r>
              <w:rPr>
                <w:rFonts w:ascii="Cascadia Mono" w:cs="Cascadia Mono" w:eastAsia="Cascadia Mono" w:hAnsi="Cascadia Mono"/>
                <w:color w:val="1F2937"/>
                <w:sz w:val="18"/>
                <w:szCs w:val="18"/>
              </w:rPr>
              <w:t xml:space="preserve">  Housekeeping event    → THML.HOUSEKEEPING_EXCEPTION (hotel stays)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Post-trip</w:t>
            </w:r>
          </w:p>
          <w:p>
            <w:pPr>
              <w:spacing w:after="0" w:line="240"/>
            </w:pPr>
            <w:r>
              <w:rPr>
                <w:rFonts w:ascii="Cascadia Mono" w:cs="Cascadia Mono" w:eastAsia="Cascadia Mono" w:hAnsi="Cascadia Mono"/>
                <w:color w:val="1F2937"/>
                <w:sz w:val="18"/>
                <w:szCs w:val="18"/>
              </w:rPr>
              <w:t xml:space="preserve">  Loyalty accrual       → THML.LOYALTY_GUEST_STATE</w:t>
            </w:r>
          </w:p>
          <w:p>
            <w:pPr>
              <w:spacing w:after="0" w:line="240"/>
            </w:pPr>
            <w:r>
              <w:rPr>
                <w:rFonts w:ascii="Cascadia Mono" w:cs="Cascadia Mono" w:eastAsia="Cascadia Mono" w:hAnsi="Cascadia Mono"/>
                <w:color w:val="1F2937"/>
                <w:sz w:val="18"/>
                <w:szCs w:val="18"/>
              </w:rPr>
              <w:t xml:space="preserve">  Departure / checkout  → THML.BOOKING_RECORD.close_event</w:t>
            </w:r>
          </w:p>
          <w:p>
            <w:pPr>
              <w:spacing w:after="0" w:line="240"/>
            </w:pPr>
            <w:r>
              <w:rPr>
                <w:rFonts w:ascii="Cascadia Mono" w:cs="Cascadia Mono" w:eastAsia="Cascadia Mono" w:hAnsi="Cascadia Mono"/>
                <w:color w:val="1F2937"/>
                <w:sz w:val="18"/>
                <w:szCs w:val="18"/>
              </w:rPr>
              <w:t xml:space="preserve">  Surveys / follow-up   → THML.INTERACTION_HISTORY (shared with CXML pattern)</w:t>
            </w:r>
          </w:p>
        </w:tc>
      </w:tr>
    </w:tbl>
    <w:p>
      <w:pPr>
        <w:spacing w:after="140"/>
      </w:pPr>
      <w:r>
        <w:t xml:space="preserve">TTP-07 stitches these into the </w:t>
      </w:r>
      <w:r>
        <w:rPr>
          <w:b/>
          <w:bCs/>
        </w:rPr>
        <w:t xml:space="preserve">Traveler Timeline</w:t>
      </w:r>
      <w:r>
        <w:t xml:space="preserve"> — a time-indexed view keyed on a stable, tokenised </w:t>
      </w:r>
      <w:r>
        <w:rPr>
          <w:rFonts w:ascii="Cascadia Mono" w:cs="Cascadia Mono" w:eastAsia="Cascadia Mono" w:hAnsi="Cascadia Mono"/>
          <w:color w:val="2B2B2B"/>
          <w:sz w:val="18"/>
          <w:szCs w:val="18"/>
        </w:rPr>
        <w:t xml:space="preserve">traveler_id_tkn</w:t>
      </w:r>
      <w:r>
        <w:t xml:space="preserve">. The profile and preferences are stored separately from the timeline (different retention policies, different consent scopes) and resolved against the timeline only when consented.</w:t>
      </w:r>
    </w:p>
    <w:p>
      <w:pPr>
        <w:pStyle w:val="Heading3"/>
        <w:spacing w:after="120" w:before="260"/>
      </w:pPr>
      <w:r>
        <w:rPr>
          <w:rFonts w:ascii="Aptos" w:cs="Aptos" w:eastAsia="Aptos" w:hAnsi="Aptos"/>
          <w:b/>
          <w:bCs/>
          <w:color w:val="0B111E"/>
          <w:sz w:val="24"/>
          <w:szCs w:val="24"/>
        </w:rPr>
        <w:t xml:space="preserve">7A.3 The Three-Tier Privacy Architecture</w:t>
      </w:r>
    </w:p>
    <w:p>
      <w:pPr>
        <w:spacing w:after="140"/>
      </w:pPr>
      <w:r>
        <w:t xml:space="preserve">TTP-07's foundational design choice is a three-tier privacy architecture. Every data access falls into exactly one tier:</w:t>
      </w:r>
    </w:p>
    <w:p>
      <w:pPr>
        <w:pStyle w:val="Heading4"/>
        <w:spacing w:after="100" w:before="220"/>
      </w:pPr>
      <w:r>
        <w:rPr>
          <w:rFonts w:ascii="Aptos" w:cs="Aptos" w:eastAsia="Aptos" w:hAnsi="Aptos"/>
          <w:b/>
          <w:bCs/>
          <w:color w:val="0B111E"/>
          <w:sz w:val="20"/>
          <w:szCs w:val="20"/>
        </w:rPr>
        <w:t xml:space="preserve">Tier A — Anonymous Operational</w:t>
      </w:r>
    </w:p>
    <w:p>
      <w:pPr>
        <w:spacing w:after="140"/>
      </w:pPr>
      <w:r>
        <w:t xml:space="preserve">No reverse-identifiable data. Traveler is a stable opaque token </w:t>
      </w:r>
      <w:r>
        <w:rPr>
          <w:rFonts w:ascii="Cascadia Mono" w:cs="Cascadia Mono" w:eastAsia="Cascadia Mono" w:hAnsi="Cascadia Mono"/>
          <w:color w:val="2B2B2B"/>
          <w:sz w:val="18"/>
          <w:szCs w:val="18"/>
        </w:rPr>
        <w:t xml:space="preserve">traveler_id_tkn</w:t>
      </w:r>
      <w:r>
        <w:t xml:space="preserve">; bookings, disruption events, service interactions are associated with the token but contain no cleartext PII. Anonymous Operational trace works for: bed-capacity math, load-factor analytics, disruption-reach math, revenue-management decisions, housekeeping routing, and all aggregate ops use cases.</w:t>
      </w:r>
    </w:p>
    <w:p>
      <w:pPr>
        <w:spacing w:after="140"/>
      </w:pPr>
      <w:r>
        <w:t xml:space="preserve">Rule: </w:t>
      </w:r>
      <w:r>
        <w:rPr>
          <w:b/>
          <w:bCs/>
        </w:rPr>
        <w:t xml:space="preserve">~85% of TTP-07 queries run in Tier A</w:t>
      </w:r>
      <w:r>
        <w:t xml:space="preserve"> and should. Only elevate when the use case genuinely requires identity.</w:t>
      </w:r>
    </w:p>
    <w:p>
      <w:pPr>
        <w:pStyle w:val="Heading4"/>
        <w:spacing w:after="100" w:before="220"/>
      </w:pPr>
      <w:r>
        <w:rPr>
          <w:rFonts w:ascii="Aptos" w:cs="Aptos" w:eastAsia="Aptos" w:hAnsi="Aptos"/>
          <w:b/>
          <w:bCs/>
          <w:color w:val="0B111E"/>
          <w:sz w:val="20"/>
          <w:szCs w:val="20"/>
        </w:rPr>
        <w:t xml:space="preserve">Tier B — Shared Profile (Consent-Scoped)</w:t>
      </w:r>
    </w:p>
    <w:p>
      <w:pPr>
        <w:spacing w:after="140"/>
      </w:pPr>
      <w:r>
        <w:t xml:space="preserve">Reversible to cleartext identity, but only under two constraints:</w:t>
      </w:r>
    </w:p>
    <w:p>
      <w:pPr>
        <w:spacing w:after="140"/>
      </w:pPr>
      <w:r>
        <w:t xml:space="preserve">1. The traveler has granted consent for the specific </w:t>
      </w:r>
      <w:r>
        <w:rPr>
          <w:b/>
          <w:bCs/>
        </w:rPr>
        <w:t xml:space="preserve">data class</w:t>
      </w:r>
      <w:r>
        <w:t xml:space="preserve"> (name, contact, accessibility, dietary, companions, payment, address) 2. The query declares the specific </w:t>
      </w:r>
      <w:r>
        <w:rPr>
          <w:b/>
          <w:bCs/>
        </w:rPr>
        <w:t xml:space="preserve">purpose</w:t>
      </w:r>
      <w:r>
        <w:t xml:space="preserve"> (disruption recovery, personalisation, safety event, regulatory, legal)</w:t>
      </w:r>
    </w:p>
    <w:p>
      <w:pPr>
        <w:spacing w:after="140"/>
      </w:pPr>
      <w:r>
        <w:t xml:space="preserve">Consent × Purpose creates a 7×5 matrix that </w:t>
      </w:r>
      <w:r>
        <w:rPr>
          <w:rFonts w:ascii="Cascadia Mono" w:cs="Cascadia Mono" w:eastAsia="Cascadia Mono" w:hAnsi="Cascadia Mono"/>
          <w:color w:val="2B2B2B"/>
          <w:sz w:val="18"/>
          <w:szCs w:val="18"/>
        </w:rPr>
        <w:t xml:space="preserve">tokenizer-mcp.consent_check</w:t>
      </w:r>
      <w:r>
        <w:t xml:space="preserve"> evaluates before every Tier-B lookup. A consent-mismatch returns a sanitised result (aggregate indication, no cleartext), never an error that reveals the underlying data exists.</w:t>
      </w:r>
    </w:p>
    <w:p>
      <w:pPr>
        <w:spacing w:after="140"/>
      </w:pPr>
      <w:r>
        <w:t xml:space="preserve">Rule: </w:t>
      </w:r>
      <w:r>
        <w:rPr>
          <w:b/>
          <w:bCs/>
        </w:rPr>
        <w:t xml:space="preserve">~13% of TTP-07 queries</w:t>
      </w:r>
      <w:r>
        <w:t xml:space="preserve"> are Tier B. Most legitimate Tier-B uses are disruption recovery (consent class: contact; purpose: disruption recovery), loyalty rescue (consent class: contact; purpose: service recovery), and guest incident triage (consent class: contact + accessibility; purpose: safety).</w:t>
      </w:r>
    </w:p>
    <w:p>
      <w:pPr>
        <w:pStyle w:val="Heading4"/>
        <w:spacing w:after="100" w:before="220"/>
      </w:pPr>
      <w:r>
        <w:rPr>
          <w:rFonts w:ascii="Aptos" w:cs="Aptos" w:eastAsia="Aptos" w:hAnsi="Aptos"/>
          <w:b/>
          <w:bCs/>
          <w:color w:val="0B111E"/>
          <w:sz w:val="20"/>
          <w:szCs w:val="20"/>
        </w:rPr>
        <w:t xml:space="preserve">Tier C — Legal / Regulatory Hold</w:t>
      </w:r>
    </w:p>
    <w:p>
      <w:pPr>
        <w:spacing w:after="140"/>
      </w:pPr>
      <w:r>
        <w:t xml:space="preserve">Reserved for law-enforcement requests, regulatory investigations, safety incidents requiring full identity disclosure, or audits by the traveler themselves. Every Tier-C access requires a specific incident or audit identifier to be present on the call; every access writes a customer-visible audit row that surfaces in the traveler's own data-access log if they request it.</w:t>
      </w:r>
    </w:p>
    <w:p>
      <w:pPr>
        <w:spacing w:after="140"/>
      </w:pPr>
      <w:r>
        <w:t xml:space="preserve">Rule: </w:t>
      </w:r>
      <w:r>
        <w:rPr>
          <w:b/>
          <w:bCs/>
        </w:rPr>
        <w:t xml:space="preserve">~2% of queries</w:t>
      </w:r>
      <w:r>
        <w:t xml:space="preserve"> in mature deployments. If Tier-C volume rises, it is usually a compliance incident in progress or a misconfigured service elevating unnecessarily — both get investigated.</w:t>
      </w:r>
    </w:p>
    <w:p>
      <w:pPr>
        <w:pStyle w:val="Heading3"/>
        <w:spacing w:after="120" w:before="260"/>
      </w:pPr>
      <w:r>
        <w:rPr>
          <w:rFonts w:ascii="Aptos" w:cs="Aptos" w:eastAsia="Aptos" w:hAnsi="Aptos"/>
          <w:b/>
          <w:bCs/>
          <w:color w:val="0B111E"/>
          <w:sz w:val="24"/>
          <w:szCs w:val="24"/>
        </w:rPr>
        <w:t xml:space="preserve">7A.4 The Traveler Trace Key</w:t>
      </w:r>
    </w:p>
    <w:p>
      <w:pPr>
        <w:spacing w:after="140"/>
      </w:pPr>
      <w:r>
        <w:t xml:space="preserve">A composite key that supports anonymous-by-default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traveler_trace_key = {</w:t>
            </w:r>
          </w:p>
          <w:p>
            <w:pPr>
              <w:spacing w:after="0" w:line="240"/>
            </w:pPr>
            <w:r>
              <w:rPr>
                <w:rFonts w:ascii="Cascadia Mono" w:cs="Cascadia Mono" w:eastAsia="Cascadia Mono" w:hAnsi="Cascadia Mono"/>
                <w:color w:val="1F2937"/>
                <w:sz w:val="18"/>
                <w:szCs w:val="18"/>
              </w:rPr>
              <w:t xml:space="preserve">  traveler_id_tkn,            // always present · stable tokenised ID</w:t>
            </w:r>
          </w:p>
          <w:p>
            <w:pPr>
              <w:spacing w:after="0" w:line="240"/>
            </w:pPr>
            <w:r>
              <w:rPr>
                <w:rFonts w:ascii="Cascadia Mono" w:cs="Cascadia Mono" w:eastAsia="Cascadia Mono" w:hAnsi="Cascadia Mono"/>
                <w:color w:val="1F2937"/>
                <w:sz w:val="18"/>
                <w:szCs w:val="18"/>
              </w:rPr>
              <w:t xml:space="preserve">  booking_locator_tkn?,       // tokenised PNR / reservation code</w:t>
            </w:r>
          </w:p>
          <w:p>
            <w:pPr>
              <w:spacing w:after="0" w:line="240"/>
            </w:pPr>
            <w:r>
              <w:rPr>
                <w:rFonts w:ascii="Cascadia Mono" w:cs="Cascadia Mono" w:eastAsia="Cascadia Mono" w:hAnsi="Cascadia Mono"/>
                <w:color w:val="1F2937"/>
                <w:sz w:val="18"/>
                <w:szCs w:val="18"/>
              </w:rPr>
              <w:t xml:space="preserve">  loyalty_tier_token?,        // tokenised loyalty state for tier-based decisions</w:t>
            </w:r>
          </w:p>
          <w:p>
            <w:pPr>
              <w:spacing w:after="0" w:line="240"/>
            </w:pPr>
            <w:r>
              <w:rPr>
                <w:rFonts w:ascii="Cascadia Mono" w:cs="Cascadia Mono" w:eastAsia="Cascadia Mono" w:hAnsi="Cascadia Mono"/>
                <w:color w:val="1F2937"/>
                <w:sz w:val="18"/>
                <w:szCs w:val="18"/>
              </w:rPr>
              <w:t xml:space="preserve">  trip_instance_id?           // unique per-trip ID within this traveler's history</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Only </w:t>
      </w:r>
      <w:r>
        <w:rPr>
          <w:rFonts w:ascii="Cascadia Mono" w:cs="Cascadia Mono" w:eastAsia="Cascadia Mono" w:hAnsi="Cascadia Mono"/>
          <w:color w:val="2B2B2B"/>
          <w:sz w:val="18"/>
          <w:szCs w:val="18"/>
        </w:rPr>
        <w:t xml:space="preserve">traveler_id_tkn</w:t>
      </w:r>
      <w:r>
        <w:t xml:space="preserve"> is mandatory. Anonymous bookings still get a </w:t>
      </w:r>
      <w:r>
        <w:rPr>
          <w:rFonts w:ascii="Cascadia Mono" w:cs="Cascadia Mono" w:eastAsia="Cascadia Mono" w:hAnsi="Cascadia Mono"/>
          <w:color w:val="2B2B2B"/>
          <w:sz w:val="18"/>
          <w:szCs w:val="18"/>
        </w:rPr>
        <w:t xml:space="preserve">traveler_id_tkn</w:t>
      </w:r>
      <w:r>
        <w:t xml:space="preserve"> generated at booking creation from a stable hash of the payment instrument + outbound itinerary, so that the same anonymous traveler appearing across multiple bookings is still recognisable as the same token — but the token is not reversible to cleartext identity without explicit consent (anonymous bookings don't have shared-profile consent by default).</w:t>
      </w:r>
    </w:p>
    <w:p>
      <w:pPr>
        <w:pStyle w:val="Heading3"/>
        <w:spacing w:after="120" w:before="260"/>
      </w:pPr>
      <w:r>
        <w:rPr>
          <w:rFonts w:ascii="Aptos" w:cs="Aptos" w:eastAsia="Aptos" w:hAnsi="Aptos"/>
          <w:b/>
          <w:bCs/>
          <w:color w:val="0B111E"/>
          <w:sz w:val="24"/>
          <w:szCs w:val="24"/>
        </w:rPr>
        <w:t xml:space="preserve">7A.5 Architecture</w:t>
      </w:r>
    </w:p>
    <w:p>
      <w:pPr>
        <w:spacing w:after="160" w:before="120"/>
        <w:jc w:val="center"/>
      </w:pPr>
      <w:r>
        <w:drawing>
          <wp:inline distT="0" distB="0" distL="0" distR="0">
            <wp:extent cx="6096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86150"/>
                    </a:xfrm>
                    <a:prstGeom prst="rect">
                      <a:avLst/>
                    </a:prstGeom>
                  </pic:spPr>
                </pic:pic>
              </a:graphicData>
            </a:graphic>
          </wp:inline>
        </w:drawing>
      </w:r>
    </w:p>
    <w:p>
      <w:pPr>
        <w:spacing w:after="140"/>
      </w:pPr>
      <w:r>
        <w:t xml:space="preserve">Note the dotted audit paths: every Tier-B and Tier-C access writes an audit event. Tier-A accesses don't require per-call auditing because no reverse-identifiable data is returned.</w:t>
      </w:r>
    </w:p>
    <w:p>
      <w:pPr>
        <w:pStyle w:val="Heading3"/>
        <w:spacing w:after="120" w:before="260"/>
      </w:pPr>
      <w:r>
        <w:rPr>
          <w:rFonts w:ascii="Aptos" w:cs="Aptos" w:eastAsia="Aptos" w:hAnsi="Aptos"/>
          <w:b/>
          <w:bCs/>
          <w:color w:val="0B111E"/>
          <w:sz w:val="24"/>
          <w:szCs w:val="24"/>
        </w:rPr>
        <w:t xml:space="preserve">7A.6 THML.TRAVELER_PROFILE</w:t>
      </w:r>
    </w:p>
    <w:p>
      <w:pPr>
        <w:spacing w:after="140"/>
      </w:pPr>
      <w:r>
        <w:t xml:space="preserve">A new THML entity introduced by TTP-07. Split into an anonymous core and a consent-gated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 Anonymous core (retained 7+ years; no reverse-identifiable fields)</w:t>
            </w:r>
          </w:p>
          <w:p>
            <w:pPr>
              <w:spacing w:after="0" w:line="240"/>
            </w:pPr>
            <w:r>
              <w:rPr>
                <w:rFonts w:ascii="Cascadia Mono" w:cs="Cascadia Mono" w:eastAsia="Cascadia Mono" w:hAnsi="Cascadia Mono"/>
                <w:color w:val="1F2937"/>
                <w:sz w:val="18"/>
                <w:szCs w:val="18"/>
              </w:rPr>
              <w:t xml:space="preserve">CREATE TABLE silver_traveler_profile (</w:t>
            </w:r>
          </w:p>
          <w:p>
            <w:pPr>
              <w:spacing w:after="0" w:line="240"/>
            </w:pPr>
            <w:r>
              <w:rPr>
                <w:rFonts w:ascii="Cascadia Mono" w:cs="Cascadia Mono" w:eastAsia="Cascadia Mono" w:hAnsi="Cascadia Mono"/>
                <w:color w:val="1F2937"/>
                <w:sz w:val="18"/>
                <w:szCs w:val="18"/>
              </w:rPr>
              <w:t xml:space="preserve">  traveler_id_tkn       STRING,</w:t>
            </w:r>
          </w:p>
          <w:p>
            <w:pPr>
              <w:spacing w:after="0" w:line="240"/>
            </w:pPr>
            <w:r>
              <w:rPr>
                <w:rFonts w:ascii="Cascadia Mono" w:cs="Cascadia Mono" w:eastAsia="Cascadia Mono" w:hAnsi="Cascadia Mono"/>
                <w:color w:val="1F2937"/>
                <w:sz w:val="18"/>
                <w:szCs w:val="18"/>
              </w:rPr>
              <w:t xml:space="preserve">  profile_created_ts    TIMESTAMP,</w:t>
            </w:r>
          </w:p>
          <w:p>
            <w:pPr>
              <w:spacing w:after="0" w:line="240"/>
            </w:pPr>
            <w:r>
              <w:rPr>
                <w:rFonts w:ascii="Cascadia Mono" w:cs="Cascadia Mono" w:eastAsia="Cascadia Mono" w:hAnsi="Cascadia Mono"/>
                <w:color w:val="1F2937"/>
                <w:sz w:val="18"/>
                <w:szCs w:val="18"/>
              </w:rPr>
              <w:t xml:space="preserve">  profile_last_seen_ts  TIMESTAMP,</w:t>
            </w:r>
          </w:p>
          <w:p>
            <w:pPr>
              <w:spacing w:after="0" w:line="240"/>
            </w:pPr>
            <w:r>
              <w:rPr>
                <w:rFonts w:ascii="Cascadia Mono" w:cs="Cascadia Mono" w:eastAsia="Cascadia Mono" w:hAnsi="Cascadia Mono"/>
                <w:color w:val="1F2937"/>
                <w:sz w:val="18"/>
                <w:szCs w:val="18"/>
              </w:rPr>
              <w:t xml:space="preserve">  trip_count_90d        INT,</w:t>
            </w:r>
          </w:p>
          <w:p>
            <w:pPr>
              <w:spacing w:after="0" w:line="240"/>
            </w:pPr>
            <w:r>
              <w:rPr>
                <w:rFonts w:ascii="Cascadia Mono" w:cs="Cascadia Mono" w:eastAsia="Cascadia Mono" w:hAnsi="Cascadia Mono"/>
                <w:color w:val="1F2937"/>
                <w:sz w:val="18"/>
                <w:szCs w:val="18"/>
              </w:rPr>
              <w:t xml:space="preserve">  trip_count_365d       INT,</w:t>
            </w:r>
          </w:p>
          <w:p>
            <w:pPr>
              <w:spacing w:after="0" w:line="240"/>
            </w:pPr>
            <w:r>
              <w:rPr>
                <w:rFonts w:ascii="Cascadia Mono" w:cs="Cascadia Mono" w:eastAsia="Cascadia Mono" w:hAnsi="Cascadia Mono"/>
                <w:color w:val="1F2937"/>
                <w:sz w:val="18"/>
                <w:szCs w:val="18"/>
              </w:rPr>
              <w:t xml:space="preserve">  loyalty_tier_token    STRING,</w:t>
            </w:r>
          </w:p>
          <w:p>
            <w:pPr>
              <w:spacing w:after="0" w:line="240"/>
            </w:pPr>
            <w:r>
              <w:rPr>
                <w:rFonts w:ascii="Cascadia Mono" w:cs="Cascadia Mono" w:eastAsia="Cascadia Mono" w:hAnsi="Cascadia Mono"/>
                <w:color w:val="1F2937"/>
                <w:sz w:val="18"/>
                <w:szCs w:val="18"/>
              </w:rPr>
              <w:t xml:space="preserve">  disruption_impact_90d DECIMAL,</w:t>
            </w:r>
          </w:p>
          <w:p>
            <w:pPr>
              <w:spacing w:after="0" w:line="240"/>
            </w:pPr>
            <w:r>
              <w:rPr>
                <w:rFonts w:ascii="Cascadia Mono" w:cs="Cascadia Mono" w:eastAsia="Cascadia Mono" w:hAnsi="Cascadia Mono"/>
                <w:color w:val="1F2937"/>
                <w:sz w:val="18"/>
                <w:szCs w:val="18"/>
              </w:rPr>
              <w:t xml:space="preserve">  pii_tokenized         BOOLEAN,     -- always TRUE</w:t>
            </w:r>
          </w:p>
          <w:p>
            <w:pPr>
              <w:spacing w:after="0" w:line="240"/>
            </w:pPr>
            <w:r>
              <w:rPr>
                <w:rFonts w:ascii="Cascadia Mono" w:cs="Cascadia Mono" w:eastAsia="Cascadia Mono" w:hAnsi="Cascadia Mono"/>
                <w:color w:val="1F2937"/>
                <w:sz w:val="18"/>
                <w:szCs w:val="18"/>
              </w:rPr>
              <w:t xml:space="preserve">  scd2_current          BOOLEAN,</w:t>
            </w:r>
          </w:p>
          <w:p>
            <w:pPr>
              <w:spacing w:after="0" w:line="240"/>
            </w:pPr>
            <w:r>
              <w:rPr>
                <w:rFonts w:ascii="Cascadia Mono" w:cs="Cascadia Mono" w:eastAsia="Cascadia Mono" w:hAnsi="Cascadia Mono"/>
                <w:color w:val="1F2937"/>
                <w:sz w:val="18"/>
                <w:szCs w:val="18"/>
              </w:rPr>
              <w:t xml:space="preserve">  event_id              STRING,</w:t>
            </w:r>
          </w:p>
          <w:p>
            <w:pPr>
              <w:spacing w:after="0" w:line="240"/>
            </w:pPr>
            <w:r>
              <w:rPr>
                <w:rFonts w:ascii="Cascadia Mono" w:cs="Cascadia Mono" w:eastAsia="Cascadia Mono" w:hAnsi="Cascadia Mono"/>
                <w:color w:val="1F2937"/>
                <w:sz w:val="18"/>
                <w:szCs w:val="18"/>
              </w:rPr>
              <w:t xml:space="preserve">  source_system         STRING</w:t>
            </w:r>
          </w:p>
          <w:p>
            <w:pPr>
              <w:spacing w:after="0" w:line="240"/>
            </w:pPr>
            <w:r>
              <w:rPr>
                <w:rFonts w:ascii="Cascadia Mono" w:cs="Cascadia Mono" w:eastAsia="Cascadia Mono" w:hAnsi="Cascadia Mono"/>
                <w:color w:val="1F2937"/>
                <w:sz w:val="18"/>
                <w:szCs w:val="18"/>
              </w:rPr>
              <w:t xml:space="preserve">) USING DELTA;</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Consent-gated extension (separate table, separate ACL, reversible tokens)</w:t>
            </w:r>
          </w:p>
          <w:p>
            <w:pPr>
              <w:spacing w:after="0" w:line="240"/>
            </w:pPr>
            <w:r>
              <w:rPr>
                <w:rFonts w:ascii="Cascadia Mono" w:cs="Cascadia Mono" w:eastAsia="Cascadia Mono" w:hAnsi="Cascadia Mono"/>
                <w:color w:val="1F2937"/>
                <w:sz w:val="18"/>
                <w:szCs w:val="18"/>
              </w:rPr>
              <w:t xml:space="preserve">CREATE TABLE silver_traveler_profile_pii (</w:t>
            </w:r>
          </w:p>
          <w:p>
            <w:pPr>
              <w:spacing w:after="0" w:line="240"/>
            </w:pPr>
            <w:r>
              <w:rPr>
                <w:rFonts w:ascii="Cascadia Mono" w:cs="Cascadia Mono" w:eastAsia="Cascadia Mono" w:hAnsi="Cascadia Mono"/>
                <w:color w:val="1F2937"/>
                <w:sz w:val="18"/>
                <w:szCs w:val="18"/>
              </w:rPr>
              <w:t xml:space="preserve">  traveler_id_tkn       STRING,</w:t>
            </w:r>
          </w:p>
          <w:p>
            <w:pPr>
              <w:spacing w:after="0" w:line="240"/>
            </w:pPr>
            <w:r>
              <w:rPr>
                <w:rFonts w:ascii="Cascadia Mono" w:cs="Cascadia Mono" w:eastAsia="Cascadia Mono" w:hAnsi="Cascadia Mono"/>
                <w:color w:val="1F2937"/>
                <w:sz w:val="18"/>
                <w:szCs w:val="18"/>
              </w:rPr>
              <w:t xml:space="preserve">  name_tkn              STRING,     -- tokenised with `name` category</w:t>
            </w:r>
          </w:p>
          <w:p>
            <w:pPr>
              <w:spacing w:after="0" w:line="240"/>
            </w:pPr>
            <w:r>
              <w:rPr>
                <w:rFonts w:ascii="Cascadia Mono" w:cs="Cascadia Mono" w:eastAsia="Cascadia Mono" w:hAnsi="Cascadia Mono"/>
                <w:color w:val="1F2937"/>
                <w:sz w:val="18"/>
                <w:szCs w:val="18"/>
              </w:rPr>
              <w:t xml:space="preserve">  email_tkn             STRING,     -- tokenised with `contact.email` category</w:t>
            </w:r>
          </w:p>
          <w:p>
            <w:pPr>
              <w:spacing w:after="0" w:line="240"/>
            </w:pPr>
            <w:r>
              <w:rPr>
                <w:rFonts w:ascii="Cascadia Mono" w:cs="Cascadia Mono" w:eastAsia="Cascadia Mono" w:hAnsi="Cascadia Mono"/>
                <w:color w:val="1F2937"/>
                <w:sz w:val="18"/>
                <w:szCs w:val="18"/>
              </w:rPr>
              <w:t xml:space="preserve">  phone_tkn             STRING,     -- tokenised with `contact.phone` category</w:t>
            </w:r>
          </w:p>
          <w:p>
            <w:pPr>
              <w:spacing w:after="0" w:line="240"/>
            </w:pPr>
            <w:r>
              <w:rPr>
                <w:rFonts w:ascii="Cascadia Mono" w:cs="Cascadia Mono" w:eastAsia="Cascadia Mono" w:hAnsi="Cascadia Mono"/>
                <w:color w:val="1F2937"/>
                <w:sz w:val="18"/>
                <w:szCs w:val="18"/>
              </w:rPr>
              <w:t xml:space="preserve">  postal_address_tkn    STRING,     -- tokenised with `contact.postal` category</w:t>
            </w:r>
          </w:p>
          <w:p>
            <w:pPr>
              <w:spacing w:after="0" w:line="240"/>
            </w:pPr>
            <w:r>
              <w:rPr>
                <w:rFonts w:ascii="Cascadia Mono" w:cs="Cascadia Mono" w:eastAsia="Cascadia Mono" w:hAnsi="Cascadia Mono"/>
                <w:color w:val="1F2937"/>
                <w:sz w:val="18"/>
                <w:szCs w:val="18"/>
              </w:rPr>
              <w:t xml:space="preserve">  payment_hash          STRING,     -- SHA of tokenised payment instrument; not reversible</w:t>
            </w:r>
          </w:p>
          <w:p>
            <w:pPr>
              <w:spacing w:after="0" w:line="240"/>
            </w:pPr>
            <w:r>
              <w:rPr>
                <w:rFonts w:ascii="Cascadia Mono" w:cs="Cascadia Mono" w:eastAsia="Cascadia Mono" w:hAnsi="Cascadia Mono"/>
                <w:color w:val="1F2937"/>
                <w:sz w:val="18"/>
                <w:szCs w:val="18"/>
              </w:rPr>
              <w:t xml:space="preserve">  accessibility_tkn     STRING,     -- tokenised with `accessibility` category</w:t>
            </w:r>
          </w:p>
          <w:p>
            <w:pPr>
              <w:spacing w:after="0" w:line="240"/>
            </w:pPr>
            <w:r>
              <w:rPr>
                <w:rFonts w:ascii="Cascadia Mono" w:cs="Cascadia Mono" w:eastAsia="Cascadia Mono" w:hAnsi="Cascadia Mono"/>
                <w:color w:val="1F2937"/>
                <w:sz w:val="18"/>
                <w:szCs w:val="18"/>
              </w:rPr>
              <w:t xml:space="preserve">  companion_tkns        ARRAY&lt;STRING&gt;,  -- tokenised companion traveler IDs</w:t>
            </w:r>
          </w:p>
          <w:p>
            <w:pPr>
              <w:spacing w:after="0" w:line="240"/>
            </w:pPr>
            <w:r>
              <w:rPr>
                <w:rFonts w:ascii="Cascadia Mono" w:cs="Cascadia Mono" w:eastAsia="Cascadia Mono" w:hAnsi="Cascadia Mono"/>
                <w:color w:val="1F2937"/>
                <w:sz w:val="18"/>
                <w:szCs w:val="18"/>
              </w:rPr>
              <w:t xml:space="preserve">  event_id              STRING,</w:t>
            </w:r>
          </w:p>
          <w:p>
            <w:pPr>
              <w:spacing w:after="0" w:line="240"/>
            </w:pPr>
            <w:r>
              <w:rPr>
                <w:rFonts w:ascii="Cascadia Mono" w:cs="Cascadia Mono" w:eastAsia="Cascadia Mono" w:hAnsi="Cascadia Mono"/>
                <w:color w:val="1F2937"/>
                <w:sz w:val="18"/>
                <w:szCs w:val="18"/>
              </w:rPr>
              <w:t xml:space="preserve">  scd2_current          BOOLEAN</w:t>
            </w:r>
          </w:p>
          <w:p>
            <w:pPr>
              <w:spacing w:after="0" w:line="240"/>
            </w:pPr>
            <w:r>
              <w:rPr>
                <w:rFonts w:ascii="Cascadia Mono" w:cs="Cascadia Mono" w:eastAsia="Cascadia Mono" w:hAnsi="Cascadia Mono"/>
                <w:color w:val="1F2937"/>
                <w:sz w:val="18"/>
                <w:szCs w:val="18"/>
              </w:rPr>
              <w:t xml:space="preserve">) USING DELTA;</w:t>
            </w:r>
          </w:p>
        </w:tc>
      </w:tr>
    </w:tbl>
    <w:p>
      <w:pPr>
        <w:spacing w:after="140"/>
      </w:pPr>
      <w:r>
        <w:t xml:space="preserve">The split is architectural, not cosmetic. </w:t>
      </w:r>
      <w:r>
        <w:rPr>
          <w:rFonts w:ascii="Cascadia Mono" w:cs="Cascadia Mono" w:eastAsia="Cascadia Mono" w:hAnsi="Cascadia Mono"/>
          <w:color w:val="2B2B2B"/>
          <w:sz w:val="18"/>
          <w:szCs w:val="18"/>
        </w:rPr>
        <w:t xml:space="preserve">silver_traveler_profile_pii</w:t>
      </w:r>
      <w:r>
        <w:t xml:space="preserve"> is readable only by </w:t>
      </w:r>
      <w:r>
        <w:rPr>
          <w:rFonts w:ascii="Cascadia Mono" w:cs="Cascadia Mono" w:eastAsia="Cascadia Mono" w:hAnsi="Cascadia Mono"/>
          <w:color w:val="2B2B2B"/>
          <w:sz w:val="18"/>
          <w:szCs w:val="18"/>
        </w:rPr>
        <w:t xml:space="preserve">mi-apex-th-pii-unlock</w:t>
      </w:r>
      <w:r>
        <w:t xml:space="preserve"> and only after </w:t>
      </w:r>
      <w:r>
        <w:rPr>
          <w:rFonts w:ascii="Cascadia Mono" w:cs="Cascadia Mono" w:eastAsia="Cascadia Mono" w:hAnsi="Cascadia Mono"/>
          <w:color w:val="2B2B2B"/>
          <w:sz w:val="18"/>
          <w:szCs w:val="18"/>
        </w:rPr>
        <w:t xml:space="preserve">tokenizer-mcp.consent_check</w:t>
      </w:r>
      <w:r>
        <w:t xml:space="preserve"> has returned an allow. The anonymous core is readable by the normal </w:t>
      </w:r>
      <w:r>
        <w:rPr>
          <w:rFonts w:ascii="Cascadia Mono" w:cs="Cascadia Mono" w:eastAsia="Cascadia Mono" w:hAnsi="Cascadia Mono"/>
          <w:color w:val="2B2B2B"/>
          <w:sz w:val="18"/>
          <w:szCs w:val="18"/>
        </w:rPr>
        <w:t xml:space="preserve">mi-apex-th-mcp</w:t>
      </w:r>
      <w:r>
        <w:t xml:space="preserve"> identity.</w:t>
      </w:r>
    </w:p>
    <w:p>
      <w:pPr>
        <w:pStyle w:val="Heading3"/>
        <w:spacing w:after="120" w:before="260"/>
      </w:pPr>
      <w:r>
        <w:rPr>
          <w:rFonts w:ascii="Aptos" w:cs="Aptos" w:eastAsia="Aptos" w:hAnsi="Aptos"/>
          <w:b/>
          <w:bCs/>
          <w:color w:val="0B111E"/>
          <w:sz w:val="24"/>
          <w:szCs w:val="24"/>
        </w:rPr>
        <w:t xml:space="preserve">7A.7 THML.TRAVELER_PREFERENCES</w:t>
      </w:r>
    </w:p>
    <w:p>
      <w:pPr>
        <w:spacing w:after="140"/>
      </w:pPr>
      <w:r>
        <w:t xml:space="preserve">Preferences are a separate entity with a class-level consent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CREATE TABLE silver_traveler_preferences (</w:t>
            </w:r>
          </w:p>
          <w:p>
            <w:pPr>
              <w:spacing w:after="0" w:line="240"/>
            </w:pPr>
            <w:r>
              <w:rPr>
                <w:rFonts w:ascii="Cascadia Mono" w:cs="Cascadia Mono" w:eastAsia="Cascadia Mono" w:hAnsi="Cascadia Mono"/>
                <w:color w:val="1F2937"/>
                <w:sz w:val="18"/>
                <w:szCs w:val="18"/>
              </w:rPr>
              <w:t xml:space="preserve">  traveler_id_tkn       STRING,</w:t>
            </w:r>
          </w:p>
          <w:p>
            <w:pPr>
              <w:spacing w:after="0" w:line="240"/>
            </w:pPr>
            <w:r>
              <w:rPr>
                <w:rFonts w:ascii="Cascadia Mono" w:cs="Cascadia Mono" w:eastAsia="Cascadia Mono" w:hAnsi="Cascadia Mono"/>
                <w:color w:val="1F2937"/>
                <w:sz w:val="18"/>
                <w:szCs w:val="18"/>
              </w:rPr>
              <w:t xml:space="preserve">  preference_class      STRING,  -- dietary, seating, room, accessibility, comms, loyalty, partner</w:t>
            </w:r>
          </w:p>
          <w:p>
            <w:pPr>
              <w:spacing w:after="0" w:line="240"/>
            </w:pPr>
            <w:r>
              <w:rPr>
                <w:rFonts w:ascii="Cascadia Mono" w:cs="Cascadia Mono" w:eastAsia="Cascadia Mono" w:hAnsi="Cascadia Mono"/>
                <w:color w:val="1F2937"/>
                <w:sz w:val="18"/>
                <w:szCs w:val="18"/>
              </w:rPr>
              <w:t xml:space="preserve">  preference_value      STRING,  -- class-specific encoded value</w:t>
            </w:r>
          </w:p>
          <w:p>
            <w:pPr>
              <w:spacing w:after="0" w:line="240"/>
            </w:pPr>
            <w:r>
              <w:rPr>
                <w:rFonts w:ascii="Cascadia Mono" w:cs="Cascadia Mono" w:eastAsia="Cascadia Mono" w:hAnsi="Cascadia Mono"/>
                <w:color w:val="1F2937"/>
                <w:sz w:val="18"/>
                <w:szCs w:val="18"/>
              </w:rPr>
              <w:t xml:space="preserve">  consent_personalize   BOOLEAN, -- consent to use for personalisation</w:t>
            </w:r>
          </w:p>
          <w:p>
            <w:pPr>
              <w:spacing w:after="0" w:line="240"/>
            </w:pPr>
            <w:r>
              <w:rPr>
                <w:rFonts w:ascii="Cascadia Mono" w:cs="Cascadia Mono" w:eastAsia="Cascadia Mono" w:hAnsi="Cascadia Mono"/>
                <w:color w:val="1F2937"/>
                <w:sz w:val="18"/>
                <w:szCs w:val="18"/>
              </w:rPr>
              <w:t xml:space="preserve">  consent_share_partner BOOLEAN, -- consent to share with partner operators</w:t>
            </w:r>
          </w:p>
          <w:p>
            <w:pPr>
              <w:spacing w:after="0" w:line="240"/>
            </w:pPr>
            <w:r>
              <w:rPr>
                <w:rFonts w:ascii="Cascadia Mono" w:cs="Cascadia Mono" w:eastAsia="Cascadia Mono" w:hAnsi="Cascadia Mono"/>
                <w:color w:val="1F2937"/>
                <w:sz w:val="18"/>
                <w:szCs w:val="18"/>
              </w:rPr>
              <w:t xml:space="preserve">  consent_expiry_ts     TIMESTAMP,</w:t>
            </w:r>
          </w:p>
          <w:p>
            <w:pPr>
              <w:spacing w:after="0" w:line="240"/>
            </w:pPr>
            <w:r>
              <w:rPr>
                <w:rFonts w:ascii="Cascadia Mono" w:cs="Cascadia Mono" w:eastAsia="Cascadia Mono" w:hAnsi="Cascadia Mono"/>
                <w:color w:val="1F2937"/>
                <w:sz w:val="18"/>
                <w:szCs w:val="18"/>
              </w:rPr>
              <w:t xml:space="preserve">  last_updated_ts       TIMESTAMP,</w:t>
            </w:r>
          </w:p>
          <w:p>
            <w:pPr>
              <w:spacing w:after="0" w:line="240"/>
            </w:pPr>
            <w:r>
              <w:rPr>
                <w:rFonts w:ascii="Cascadia Mono" w:cs="Cascadia Mono" w:eastAsia="Cascadia Mono" w:hAnsi="Cascadia Mono"/>
                <w:color w:val="1F2937"/>
                <w:sz w:val="18"/>
                <w:szCs w:val="18"/>
              </w:rPr>
              <w:t xml:space="preserve">  event_id              STRING</w:t>
            </w:r>
          </w:p>
          <w:p>
            <w:pPr>
              <w:spacing w:after="0" w:line="240"/>
            </w:pPr>
            <w:r>
              <w:rPr>
                <w:rFonts w:ascii="Cascadia Mono" w:cs="Cascadia Mono" w:eastAsia="Cascadia Mono" w:hAnsi="Cascadia Mono"/>
                <w:color w:val="1F2937"/>
                <w:sz w:val="18"/>
                <w:szCs w:val="18"/>
              </w:rPr>
              <w:t xml:space="preserve">) USING DELTA;</w:t>
            </w:r>
          </w:p>
        </w:tc>
      </w:tr>
    </w:tbl>
    <w:p>
      <w:pPr>
        <w:spacing w:after="140"/>
      </w:pPr>
      <w:r>
        <w:t xml:space="preserve">Consent is </w:t>
      </w:r>
      <w:r>
        <w:rPr>
          <w:b/>
          <w:bCs/>
        </w:rPr>
        <w:t xml:space="preserve">per class per purpose</w:t>
      </w:r>
      <w:r>
        <w:t xml:space="preserve">. A traveler can consent to using dietary preferences for in-flight meal selection (personalisation) without consenting to sharing dietary preferences with the partner hotel chain. TTP-07 never collapses consent across classes or purposes.</w:t>
      </w:r>
    </w:p>
    <w:p>
      <w:pPr>
        <w:pStyle w:val="Heading3"/>
        <w:spacing w:after="120" w:before="260"/>
      </w:pPr>
      <w:r>
        <w:rPr>
          <w:rFonts w:ascii="Aptos" w:cs="Aptos" w:eastAsia="Aptos" w:hAnsi="Aptos"/>
          <w:b/>
          <w:bCs/>
          <w:color w:val="0B111E"/>
          <w:sz w:val="24"/>
          <w:szCs w:val="24"/>
        </w:rPr>
        <w:t xml:space="preserve">7A.8 The gold_traveler_timeline_v1 View</w:t>
      </w:r>
    </w:p>
    <w:p>
      <w:pPr>
        <w:spacing w:after="140"/>
      </w:pPr>
      <w:r>
        <w:t xml:space="preserve">A materialised cross-entity view keyed on </w:t>
      </w:r>
      <w:r>
        <w:rPr>
          <w:rFonts w:ascii="Cascadia Mono" w:cs="Cascadia Mono" w:eastAsia="Cascadia Mono" w:hAnsi="Cascadia Mono"/>
          <w:color w:val="2B2B2B"/>
          <w:sz w:val="18"/>
          <w:szCs w:val="18"/>
        </w:rPr>
        <w:t xml:space="preserve">traveler_id_tkn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CREATE VIEW gold_traveler_timeline_v1 AS</w:t>
            </w:r>
          </w:p>
          <w:p>
            <w:pPr>
              <w:spacing w:after="0" w:line="240"/>
            </w:pPr>
            <w:r>
              <w:rPr>
                <w:rFonts w:ascii="Cascadia Mono" w:cs="Cascadia Mono" w:eastAsia="Cascadia Mono" w:hAnsi="Cascadia Mono"/>
                <w:color w:val="1F2937"/>
                <w:sz w:val="18"/>
                <w:szCs w:val="18"/>
              </w:rPr>
              <w:t xml:space="preserve">SELECT</w:t>
            </w:r>
          </w:p>
          <w:p>
            <w:pPr>
              <w:spacing w:after="0" w:line="240"/>
            </w:pPr>
            <w:r>
              <w:rPr>
                <w:rFonts w:ascii="Cascadia Mono" w:cs="Cascadia Mono" w:eastAsia="Cascadia Mono" w:hAnsi="Cascadia Mono"/>
                <w:color w:val="1F2937"/>
                <w:sz w:val="18"/>
                <w:szCs w:val="18"/>
              </w:rPr>
              <w:t xml:space="preserve">  traveler_id_tkn, trip_instance_id,</w:t>
            </w:r>
          </w:p>
          <w:p>
            <w:pPr>
              <w:spacing w:after="0" w:line="240"/>
            </w:pPr>
            <w:r>
              <w:rPr>
                <w:rFonts w:ascii="Cascadia Mono" w:cs="Cascadia Mono" w:eastAsia="Cascadia Mono" w:hAnsi="Cascadia Mono"/>
                <w:color w:val="1F2937"/>
                <w:sz w:val="18"/>
                <w:szCs w:val="18"/>
              </w:rPr>
              <w:t xml:space="preserve">  booking_locator_tkn,   booked_ts,      booking_segment_count,</w:t>
            </w:r>
          </w:p>
          <w:p>
            <w:pPr>
              <w:spacing w:after="0" w:line="240"/>
            </w:pPr>
            <w:r>
              <w:rPr>
                <w:rFonts w:ascii="Cascadia Mono" w:cs="Cascadia Mono" w:eastAsia="Cascadia Mono" w:hAnsi="Cascadia Mono"/>
                <w:color w:val="1F2937"/>
                <w:sz w:val="18"/>
                <w:szCs w:val="18"/>
              </w:rPr>
              <w:t xml:space="preserve">  checkin_ts,            boarding_ts,    completion_ts,</w:t>
            </w:r>
          </w:p>
          <w:p>
            <w:pPr>
              <w:spacing w:after="0" w:line="240"/>
            </w:pPr>
            <w:r>
              <w:rPr>
                <w:rFonts w:ascii="Cascadia Mono" w:cs="Cascadia Mono" w:eastAsia="Cascadia Mono" w:hAnsi="Cascadia Mono"/>
                <w:color w:val="1F2937"/>
                <w:sz w:val="18"/>
                <w:szCs w:val="18"/>
              </w:rPr>
              <w:t xml:space="preserve">  ancillary_count,       ancillary_tkns_array,</w:t>
            </w:r>
          </w:p>
          <w:p>
            <w:pPr>
              <w:spacing w:after="0" w:line="240"/>
            </w:pPr>
            <w:r>
              <w:rPr>
                <w:rFonts w:ascii="Cascadia Mono" w:cs="Cascadia Mono" w:eastAsia="Cascadia Mono" w:hAnsi="Cascadia Mono"/>
                <w:color w:val="1F2937"/>
                <w:sz w:val="18"/>
                <w:szCs w:val="18"/>
              </w:rPr>
              <w:t xml:space="preserve">  disruption_event_id,   disruption_ts,  disruption_classification,</w:t>
            </w:r>
          </w:p>
          <w:p>
            <w:pPr>
              <w:spacing w:after="0" w:line="240"/>
            </w:pPr>
            <w:r>
              <w:rPr>
                <w:rFonts w:ascii="Cascadia Mono" w:cs="Cascadia Mono" w:eastAsia="Cascadia Mono" w:hAnsi="Cascadia Mono"/>
                <w:color w:val="1F2937"/>
                <w:sz w:val="18"/>
                <w:szCs w:val="18"/>
              </w:rPr>
              <w:t xml:space="preserve">  recovery_action_id,    recovery_ts,    recovery_type,</w:t>
            </w:r>
          </w:p>
          <w:p>
            <w:pPr>
              <w:spacing w:after="0" w:line="240"/>
            </w:pPr>
            <w:r>
              <w:rPr>
                <w:rFonts w:ascii="Cascadia Mono" w:cs="Cascadia Mono" w:eastAsia="Cascadia Mono" w:hAnsi="Cascadia Mono"/>
                <w:color w:val="1F2937"/>
                <w:sz w:val="18"/>
                <w:szCs w:val="18"/>
              </w:rPr>
              <w:t xml:space="preserve">  loyalty_tier_token,    tier_at_booking,</w:t>
            </w:r>
          </w:p>
          <w:p>
            <w:pPr>
              <w:spacing w:after="0" w:line="240"/>
            </w:pPr>
            <w:r>
              <w:rPr>
                <w:rFonts w:ascii="Cascadia Mono" w:cs="Cascadia Mono" w:eastAsia="Cascadia Mono" w:hAnsi="Cascadia Mono"/>
                <w:color w:val="1F2937"/>
                <w:sz w:val="18"/>
                <w:szCs w:val="18"/>
              </w:rPr>
              <w:t xml:space="preserve">  guest_incident_id,     incident_ts,</w:t>
            </w:r>
          </w:p>
          <w:p>
            <w:pPr>
              <w:spacing w:after="0" w:line="240"/>
            </w:pPr>
            <w:r>
              <w:rPr>
                <w:rFonts w:ascii="Cascadia Mono" w:cs="Cascadia Mono" w:eastAsia="Cascadia Mono" w:hAnsi="Cascadia Mono"/>
                <w:color w:val="1F2937"/>
                <w:sz w:val="18"/>
                <w:szCs w:val="18"/>
              </w:rPr>
              <w:t xml:space="preserve">  housekeeping_exception_id, hxe_ts,</w:t>
            </w:r>
          </w:p>
          <w:p>
            <w:pPr>
              <w:spacing w:after="0" w:line="240"/>
            </w:pPr>
            <w:r>
              <w:rPr>
                <w:rFonts w:ascii="Cascadia Mono" w:cs="Cascadia Mono" w:eastAsia="Cascadia Mono" w:hAnsi="Cascadia Mono"/>
                <w:color w:val="1F2937"/>
                <w:sz w:val="18"/>
                <w:szCs w:val="18"/>
              </w:rPr>
              <w:t xml:space="preserve">  interaction_count_trip, last_interaction_ts</w:t>
            </w:r>
          </w:p>
          <w:p>
            <w:pPr>
              <w:spacing w:after="0" w:line="240"/>
            </w:pPr>
            <w:r>
              <w:rPr>
                <w:rFonts w:ascii="Cascadia Mono" w:cs="Cascadia Mono" w:eastAsia="Cascadia Mono" w:hAnsi="Cascadia Mono"/>
                <w:color w:val="1F2937"/>
                <w:sz w:val="18"/>
                <w:szCs w:val="18"/>
              </w:rPr>
              <w:t xml:space="preserve">FROM   THML.BOOKING_RECORD b</w:t>
            </w:r>
          </w:p>
          <w:p>
            <w:pPr>
              <w:spacing w:after="0" w:line="240"/>
            </w:pPr>
            <w:r>
              <w:rPr>
                <w:rFonts w:ascii="Cascadia Mono" w:cs="Cascadia Mono" w:eastAsia="Cascadia Mono" w:hAnsi="Cascadia Mono"/>
                <w:color w:val="1F2937"/>
                <w:sz w:val="18"/>
                <w:szCs w:val="18"/>
              </w:rPr>
              <w:t xml:space="preserve">LEFT JOIN THML.DISRUPTION_EVENT      d  USING (booking_locator_tkn)</w:t>
            </w:r>
          </w:p>
          <w:p>
            <w:pPr>
              <w:spacing w:after="0" w:line="240"/>
            </w:pPr>
            <w:r>
              <w:rPr>
                <w:rFonts w:ascii="Cascadia Mono" w:cs="Cascadia Mono" w:eastAsia="Cascadia Mono" w:hAnsi="Cascadia Mono"/>
                <w:color w:val="1F2937"/>
                <w:sz w:val="18"/>
                <w:szCs w:val="18"/>
              </w:rPr>
              <w:t xml:space="preserve">LEFT JOIN THML.RECOVERY_ACTION       r  USING (disruption_event_id)</w:t>
            </w:r>
          </w:p>
          <w:p>
            <w:pPr>
              <w:spacing w:after="0" w:line="240"/>
            </w:pPr>
            <w:r>
              <w:rPr>
                <w:rFonts w:ascii="Cascadia Mono" w:cs="Cascadia Mono" w:eastAsia="Cascadia Mono" w:hAnsi="Cascadia Mono"/>
                <w:color w:val="1F2937"/>
                <w:sz w:val="18"/>
                <w:szCs w:val="18"/>
              </w:rPr>
              <w:t xml:space="preserve">LEFT JOIN THML.LOYALTY_GUEST_STATE   l  USING (traveler_id_tkn)</w:t>
            </w:r>
          </w:p>
          <w:p>
            <w:pPr>
              <w:spacing w:after="0" w:line="240"/>
            </w:pPr>
            <w:r>
              <w:rPr>
                <w:rFonts w:ascii="Cascadia Mono" w:cs="Cascadia Mono" w:eastAsia="Cascadia Mono" w:hAnsi="Cascadia Mono"/>
                <w:color w:val="1F2937"/>
                <w:sz w:val="18"/>
                <w:szCs w:val="18"/>
              </w:rPr>
              <w:t xml:space="preserve">LEFT JOIN THML.GUEST_INCIDENT        g  USING (booking_locator_tkn)</w:t>
            </w:r>
          </w:p>
          <w:p>
            <w:pPr>
              <w:spacing w:after="0" w:line="240"/>
            </w:pPr>
            <w:r>
              <w:rPr>
                <w:rFonts w:ascii="Cascadia Mono" w:cs="Cascadia Mono" w:eastAsia="Cascadia Mono" w:hAnsi="Cascadia Mono"/>
                <w:color w:val="1F2937"/>
                <w:sz w:val="18"/>
                <w:szCs w:val="18"/>
              </w:rPr>
              <w:t xml:space="preserve">LEFT JOIN THML.HOUSEKEEPING_EXCEPTION h  USING (booking_locator_tkn)</w:t>
            </w:r>
          </w:p>
          <w:p>
            <w:pPr>
              <w:spacing w:after="0" w:line="240"/>
            </w:pPr>
            <w:r>
              <w:rPr>
                <w:rFonts w:ascii="Cascadia Mono" w:cs="Cascadia Mono" w:eastAsia="Cascadia Mono" w:hAnsi="Cascadia Mono"/>
                <w:color w:val="1F2937"/>
                <w:sz w:val="18"/>
                <w:szCs w:val="18"/>
              </w:rPr>
              <w:t xml:space="preserve">LEFT JOIN THML.INTERACTION_HISTORY   i  USING (traveler_id_tkn, trip_instance_id)</w:t>
            </w:r>
          </w:p>
          <w:p>
            <w:pPr>
              <w:spacing w:after="0" w:line="240"/>
            </w:pPr>
            <w:r>
              <w:rPr>
                <w:rFonts w:ascii="Cascadia Mono" w:cs="Cascadia Mono" w:eastAsia="Cascadia Mono" w:hAnsi="Cascadia Mono"/>
                <w:color w:val="1F2937"/>
                <w:sz w:val="18"/>
                <w:szCs w:val="18"/>
              </w:rPr>
              <w:t xml:space="preserve">WHERE   booked_ts &gt; DATEADD(day, -1095, SYSUTCDATETIME());    -- 3-year rolling</w:t>
            </w:r>
          </w:p>
        </w:tc>
      </w:tr>
    </w:tbl>
    <w:p>
      <w:pPr>
        <w:spacing w:after="140"/>
      </w:pPr>
      <w:r>
        <w:t xml:space="preserve">The view deliberately holds </w:t>
      </w:r>
      <w:r>
        <w:rPr>
          <w:b/>
          <w:bCs/>
        </w:rPr>
        <w:t xml:space="preserve">no cleartext-reversible fields</w:t>
      </w:r>
      <w:r>
        <w:t xml:space="preserve">. It is the Tier-A surface.</w:t>
      </w:r>
    </w:p>
    <w:p>
      <w:pPr>
        <w:pStyle w:val="Heading3"/>
        <w:spacing w:after="120" w:before="260"/>
      </w:pPr>
      <w:r>
        <w:rPr>
          <w:rFonts w:ascii="Aptos" w:cs="Aptos" w:eastAsia="Aptos" w:hAnsi="Aptos"/>
          <w:b/>
          <w:bCs/>
          <w:color w:val="0B111E"/>
          <w:sz w:val="24"/>
          <w:szCs w:val="24"/>
        </w:rPr>
        <w:t xml:space="preserve">7A.9 The TTP-07 MCP Tools</w:t>
      </w:r>
    </w:p>
    <w:p>
      <w:pPr>
        <w:spacing w:after="140"/>
      </w:pPr>
      <w:r>
        <w:t xml:space="preserve">Five tools, each carrying explicit privacy-tier behaviour:</w:t>
      </w:r>
    </w:p>
    <w:p>
      <w:pPr>
        <w:spacing w:after="140"/>
      </w:pPr>
      <w:r>
        <w:rPr>
          <w:b/>
          <w:bCs/>
        </w:rPr>
        <w:t xml:space="preserve">`fabric-mcp.traveler_trace(traveler_id_tkn, window_days = 90) → TravelerTimeline`</w:t>
      </w:r>
      <w:r>
        <w:t xml:space="preserve"> Returns the traveler's timeline for the window. </w:t>
      </w:r>
      <w:r>
        <w:rPr>
          <w:b/>
          <w:bCs/>
        </w:rPr>
        <w:t xml:space="preserve">Tier A only</w:t>
      </w:r>
      <w:r>
        <w:t xml:space="preserve"> — no cleartext is ever returned from this call, regardless of caller identity. Typical p95 ≤ 2 s.</w:t>
      </w:r>
    </w:p>
    <w:p>
      <w:pPr>
        <w:spacing w:after="140"/>
      </w:pPr>
      <w:r>
        <w:rPr>
          <w:b/>
          <w:bCs/>
        </w:rPr>
        <w:t xml:space="preserve">`fabric-mcp.profile_fetch_anonymous(traveler_id_tkn) → AnonymousProfile`</w:t>
      </w:r>
      <w:r>
        <w:t xml:space="preserve"> Returns the anonymous core profile. </w:t>
      </w:r>
      <w:r>
        <w:rPr>
          <w:b/>
          <w:bCs/>
        </w:rPr>
        <w:t xml:space="preserve">Tier A</w:t>
      </w:r>
      <w:r>
        <w:t xml:space="preserve">. No consent check needed because no reverse-identifiable data is returned.</w:t>
      </w:r>
    </w:p>
    <w:p>
      <w:pPr>
        <w:spacing w:after="140"/>
      </w:pPr>
      <w:r>
        <w:rPr>
          <w:b/>
          <w:bCs/>
        </w:rPr>
        <w:t xml:space="preserve">`fabric-mcp.profile_fetch_shared(traveler_id_tkn, data_classes[], purpose) → SharedProfile`</w:t>
      </w:r>
      <w:r>
        <w:t xml:space="preserve"> Returns reverse-tokenised cleartext data, but </w:t>
      </w:r>
      <w:r>
        <w:rPr>
          <w:b/>
          <w:bCs/>
        </w:rPr>
        <w:t xml:space="preserve">only for consented data classes and declared purpose</w:t>
      </w:r>
      <w:r>
        <w:t xml:space="preserve">. Calls </w:t>
      </w:r>
      <w:r>
        <w:rPr>
          <w:rFonts w:ascii="Cascadia Mono" w:cs="Cascadia Mono" w:eastAsia="Cascadia Mono" w:hAnsi="Cascadia Mono"/>
          <w:color w:val="2B2B2B"/>
          <w:sz w:val="18"/>
          <w:szCs w:val="18"/>
        </w:rPr>
        <w:t xml:space="preserve">tokenizer-mcp.consent_check</w:t>
      </w:r>
      <w:r>
        <w:t xml:space="preserve"> before reverse-resolution; returns a sanitised "consent-denied" marker per data-class if consent is absent. Every call writes a Tier-B audit row to </w:t>
      </w:r>
      <w:r>
        <w:rPr>
          <w:rFonts w:ascii="Cascadia Mono" w:cs="Cascadia Mono" w:eastAsia="Cascadia Mono" w:hAnsi="Cascadia Mono"/>
          <w:color w:val="2B2B2B"/>
          <w:sz w:val="18"/>
          <w:szCs w:val="18"/>
        </w:rPr>
        <w:t xml:space="preserve">apex_audit_log</w:t>
      </w:r>
      <w:r>
        <w:t xml:space="preserve"> including the declaring purpose.</w:t>
      </w:r>
    </w:p>
    <w:p>
      <w:pPr>
        <w:spacing w:after="140"/>
      </w:pPr>
      <w:r>
        <w:rPr>
          <w:b/>
          <w:bCs/>
        </w:rPr>
        <w:t xml:space="preserve">`fabric-mcp.preferences_resolve(traveler_id_tkn, preference_classes[], usage_purpose) → PreferenceSet`</w:t>
      </w:r>
      <w:r>
        <w:t xml:space="preserve"> Returns preferences for the consented classes. Usage purposes: </w:t>
      </w:r>
      <w:r>
        <w:rPr>
          <w:rFonts w:ascii="Cascadia Mono" w:cs="Cascadia Mono" w:eastAsia="Cascadia Mono" w:hAnsi="Cascadia Mono"/>
          <w:color w:val="2B2B2B"/>
          <w:sz w:val="18"/>
          <w:szCs w:val="18"/>
        </w:rPr>
        <w:t xml:space="preserve">personalize_service</w:t>
      </w:r>
      <w:r>
        <w:t xml:space="preserve">, </w:t>
      </w:r>
      <w:r>
        <w:rPr>
          <w:rFonts w:ascii="Cascadia Mono" w:cs="Cascadia Mono" w:eastAsia="Cascadia Mono" w:hAnsi="Cascadia Mono"/>
          <w:color w:val="2B2B2B"/>
          <w:sz w:val="18"/>
          <w:szCs w:val="18"/>
        </w:rPr>
        <w:t xml:space="preserve">share_with_partner</w:t>
      </w:r>
      <w:r>
        <w:t xml:space="preserve">, </w:t>
      </w:r>
      <w:r>
        <w:rPr>
          <w:rFonts w:ascii="Cascadia Mono" w:cs="Cascadia Mono" w:eastAsia="Cascadia Mono" w:hAnsi="Cascadia Mono"/>
          <w:color w:val="2B2B2B"/>
          <w:sz w:val="18"/>
          <w:szCs w:val="18"/>
        </w:rPr>
        <w:t xml:space="preserve">safety_event</w:t>
      </w:r>
      <w:r>
        <w:t xml:space="preserve">, </w:t>
      </w:r>
      <w:r>
        <w:rPr>
          <w:rFonts w:ascii="Cascadia Mono" w:cs="Cascadia Mono" w:eastAsia="Cascadia Mono" w:hAnsi="Cascadia Mono"/>
          <w:color w:val="2B2B2B"/>
          <w:sz w:val="18"/>
          <w:szCs w:val="18"/>
        </w:rPr>
        <w:t xml:space="preserve">regulatory</w:t>
      </w:r>
      <w:r>
        <w:t xml:space="preserve">. Declarative purpose binds the returned result to an observable downstream use.</w:t>
      </w:r>
    </w:p>
    <w:p>
      <w:pPr>
        <w:spacing w:after="140"/>
      </w:pPr>
      <w:r>
        <w:rPr>
          <w:b/>
          <w:bCs/>
        </w:rPr>
        <w:t xml:space="preserve">`tokenizer-mcp.consent_check(traveler_id_tkn, data_class, purpose) → ConsentResult`</w:t>
      </w:r>
      <w:r>
        <w:t xml:space="preserve"> The universal consent arbiter. Returns one of </w:t>
      </w:r>
      <w:r>
        <w:rPr>
          <w:rFonts w:ascii="Cascadia Mono" w:cs="Cascadia Mono" w:eastAsia="Cascadia Mono" w:hAnsi="Cascadia Mono"/>
          <w:color w:val="2B2B2B"/>
          <w:sz w:val="18"/>
          <w:szCs w:val="18"/>
        </w:rPr>
        <w:t xml:space="preserve">ALLOW</w:t>
      </w:r>
      <w:r>
        <w:t xml:space="preserve"> / </w:t>
      </w:r>
      <w:r>
        <w:rPr>
          <w:rFonts w:ascii="Cascadia Mono" w:cs="Cascadia Mono" w:eastAsia="Cascadia Mono" w:hAnsi="Cascadia Mono"/>
          <w:color w:val="2B2B2B"/>
          <w:sz w:val="18"/>
          <w:szCs w:val="18"/>
        </w:rPr>
        <w:t xml:space="preserve">DENY</w:t>
      </w:r>
      <w:r>
        <w:t xml:space="preserve"> / </w:t>
      </w:r>
      <w:r>
        <w:rPr>
          <w:rFonts w:ascii="Cascadia Mono" w:cs="Cascadia Mono" w:eastAsia="Cascadia Mono" w:hAnsi="Cascadia Mono"/>
          <w:color w:val="2B2B2B"/>
          <w:sz w:val="18"/>
          <w:szCs w:val="18"/>
        </w:rPr>
        <w:t xml:space="preserve">EXPIRED</w:t>
      </w:r>
      <w:r>
        <w:t xml:space="preserve"> / </w:t>
      </w:r>
      <w:r>
        <w:rPr>
          <w:rFonts w:ascii="Cascadia Mono" w:cs="Cascadia Mono" w:eastAsia="Cascadia Mono" w:hAnsi="Cascadia Mono"/>
          <w:color w:val="2B2B2B"/>
          <w:sz w:val="18"/>
          <w:szCs w:val="18"/>
        </w:rPr>
        <w:t xml:space="preserve">UNKNOWN</w:t>
      </w:r>
      <w:r>
        <w:t xml:space="preserve">. An UNKNOWN result triggers a DENY (consent must be affirmative; absence of record is not consent).</w:t>
      </w:r>
    </w:p>
    <w:p>
      <w:pPr>
        <w:pStyle w:val="Heading3"/>
        <w:spacing w:after="120" w:before="260"/>
      </w:pPr>
      <w:r>
        <w:rPr>
          <w:rFonts w:ascii="Aptos" w:cs="Aptos" w:eastAsia="Aptos" w:hAnsi="Aptos"/>
          <w:b/>
          <w:bCs/>
          <w:color w:val="0B111E"/>
          <w:sz w:val="24"/>
          <w:szCs w:val="24"/>
        </w:rPr>
        <w:t xml:space="preserve">7A.10 The Four TTP Agents</w:t>
      </w:r>
    </w:p>
    <w:p>
      <w:pPr>
        <w:spacing w:after="140"/>
      </w:pPr>
      <w:r>
        <w:rPr>
          <w:b/>
          <w:bCs/>
        </w:rPr>
        <w:t xml:space="preserve">`TTP-A01 · Traveler Timeline Composer`</w:t>
      </w:r>
      <w:r>
        <w:t xml:space="preserve"> — Given a </w:t>
      </w:r>
      <w:r>
        <w:rPr>
          <w:rFonts w:ascii="Cascadia Mono" w:cs="Cascadia Mono" w:eastAsia="Cascadia Mono" w:hAnsi="Cascadia Mono"/>
          <w:color w:val="2B2B2B"/>
          <w:sz w:val="18"/>
          <w:szCs w:val="18"/>
        </w:rPr>
        <w:t xml:space="preserve">traveler_id_tkn</w:t>
      </w:r>
      <w:r>
        <w:t xml:space="preserve">, composes the timeline narrative at the tier appropriate to the caller. For DRO-02 disruption recovery, composes a </w:t>
      </w:r>
      <w:r>
        <w:rPr>
          <w:i/>
          <w:iCs/>
        </w:rPr>
        <w:t xml:space="preserve">contextual pre-rebook briefing</w:t>
      </w:r>
      <w:r>
        <w:t xml:space="preserve">: "Traveler T-tkn-xxxxx, Diamond tier, 14 trips in 365 days, 2 disruption events in 90 days, accessibility flag present with consent, connecting-flight in 3 h 17 min, hotel booking at destination." All at Tier A until specific identity is needed.</w:t>
      </w:r>
    </w:p>
    <w:p>
      <w:pPr>
        <w:spacing w:after="140"/>
      </w:pPr>
      <w:r>
        <w:rPr>
          <w:b/>
          <w:bCs/>
        </w:rPr>
        <w:t xml:space="preserve">`TTP-A02 · Profile Assembler`</w:t>
      </w:r>
      <w:r>
        <w:t xml:space="preserve"> — The Tier-B bridge agent. Takes a caller's request (data classes + purpose) and either returns the consent-allowed cleartext or a structured explanation of what was denied and why. TTP-A02 never silently omits — if consent is denied, it says so explicitly.</w:t>
      </w:r>
    </w:p>
    <w:p>
      <w:pPr>
        <w:spacing w:after="140"/>
      </w:pPr>
      <w:r>
        <w:rPr>
          <w:b/>
          <w:bCs/>
        </w:rPr>
        <w:t xml:space="preserve">`TTP-A03 · Preferences Resolver`</w:t>
      </w:r>
      <w:r>
        <w:t xml:space="preserve"> — Resolves preferences at the right granularity for the use case. DRO-02 asks for </w:t>
      </w:r>
      <w:r>
        <w:rPr>
          <w:rFonts w:ascii="Cascadia Mono" w:cs="Cascadia Mono" w:eastAsia="Cascadia Mono" w:hAnsi="Cascadia Mono"/>
          <w:color w:val="2B2B2B"/>
          <w:sz w:val="18"/>
          <w:szCs w:val="18"/>
        </w:rPr>
        <w:t xml:space="preserve">[seating, dietary, accessibility]</w:t>
      </w:r>
      <w:r>
        <w:t xml:space="preserve"> for purpose </w:t>
      </w:r>
      <w:r>
        <w:rPr>
          <w:rFonts w:ascii="Cascadia Mono" w:cs="Cascadia Mono" w:eastAsia="Cascadia Mono" w:hAnsi="Cascadia Mono"/>
          <w:color w:val="2B2B2B"/>
          <w:sz w:val="18"/>
          <w:szCs w:val="18"/>
        </w:rPr>
        <w:t xml:space="preserve">safety_event</w:t>
      </w:r>
      <w:r>
        <w:t xml:space="preserve">; LGR-03 asks for </w:t>
      </w:r>
      <w:r>
        <w:rPr>
          <w:rFonts w:ascii="Cascadia Mono" w:cs="Cascadia Mono" w:eastAsia="Cascadia Mono" w:hAnsi="Cascadia Mono"/>
          <w:color w:val="2B2B2B"/>
          <w:sz w:val="18"/>
          <w:szCs w:val="18"/>
        </w:rPr>
        <w:t xml:space="preserve">[seating, room, comms]</w:t>
      </w:r>
      <w:r>
        <w:t xml:space="preserve"> for purpose </w:t>
      </w:r>
      <w:r>
        <w:rPr>
          <w:rFonts w:ascii="Cascadia Mono" w:cs="Cascadia Mono" w:eastAsia="Cascadia Mono" w:hAnsi="Cascadia Mono"/>
          <w:color w:val="2B2B2B"/>
          <w:sz w:val="18"/>
          <w:szCs w:val="18"/>
        </w:rPr>
        <w:t xml:space="preserve">personalize_service</w:t>
      </w:r>
      <w:r>
        <w:t xml:space="preserve">. The same traveler may consent to one combination but not the other.</w:t>
      </w:r>
    </w:p>
    <w:p>
      <w:pPr>
        <w:spacing w:after="140"/>
      </w:pPr>
      <w:r>
        <w:rPr>
          <w:b/>
          <w:bCs/>
        </w:rPr>
        <w:t xml:space="preserve">`TTP-A04 · Consent Auditor`</w:t>
      </w:r>
      <w:r>
        <w:t xml:space="preserve"> — A reasoning-tier agent that runs continuously in the background, not triggered by individual trace calls. Weekly, it scans Tier-B and Tier-C access logs to detect patterns of concern: repeated consent-denied responses (may indicate a service misconfigured to request data it doesn't legitimately need), declared purposes that don't match the calling service's documented purposes, traveler self-access requests. Output feeds the Decision Audit Review (DAR) monthly.</w:t>
      </w:r>
    </w:p>
    <w:p>
      <w:pPr>
        <w:pStyle w:val="Heading3"/>
        <w:spacing w:after="120" w:before="260"/>
      </w:pPr>
      <w:r>
        <w:rPr>
          <w:rFonts w:ascii="Aptos" w:cs="Aptos" w:eastAsia="Aptos" w:hAnsi="Aptos"/>
          <w:b/>
          <w:bCs/>
          <w:color w:val="0B111E"/>
          <w:sz w:val="24"/>
          <w:szCs w:val="24"/>
        </w:rPr>
        <w:t xml:space="preserve">7A.11 Consent Model Deep Detail</w:t>
      </w:r>
    </w:p>
    <w:p>
      <w:pPr>
        <w:spacing w:after="140"/>
      </w:pPr>
      <w:r>
        <w:t xml:space="preserve">Consent in TTP-07 is </w:t>
      </w:r>
      <w:r>
        <w:rPr>
          <w:b/>
          <w:bCs/>
        </w:rPr>
        <w:t xml:space="preserve">affirmative, granular, time-bounded, and revocable</w:t>
      </w:r>
      <w:r>
        <w:t xml:space="preserve">. Four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 class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name · contact.email · contact.phone · contact.postal · payment · accessibility · companions · dietary · seating · room · comms_channel · loyalty · partner_share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Purpose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service_delivery · personalize_service · disruption_recovery · safety_event · loyalty_engagement · share_with_partner · regulatory · legal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Temporal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always · trip-scoped · session-scoped · consent_expiry_ts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Scope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operator-only · partner-included · affiliate-included</w:t>
            </w:r>
          </w:p>
        </w:tc>
      </w:tr>
    </w:tbl>
    <w:p>
      <w:pPr>
        <w:spacing w:after="120"/>
      </w:pPr>
      <w:r>
        <w:t xml:space="preserve"/>
      </w:r>
    </w:p>
    <w:p>
      <w:pPr>
        <w:spacing w:after="140"/>
      </w:pPr>
      <w:r>
        <w:t xml:space="preserve">Example: a traveler consents to using </w:t>
      </w:r>
      <w:r>
        <w:rPr>
          <w:rFonts w:ascii="Cascadia Mono" w:cs="Cascadia Mono" w:eastAsia="Cascadia Mono" w:hAnsi="Cascadia Mono"/>
          <w:color w:val="2B2B2B"/>
          <w:sz w:val="18"/>
          <w:szCs w:val="18"/>
        </w:rPr>
        <w:t xml:space="preserve">dietary</w:t>
      </w:r>
      <w:r>
        <w:t xml:space="preserve"> for </w:t>
      </w:r>
      <w:r>
        <w:rPr>
          <w:rFonts w:ascii="Cascadia Mono" w:cs="Cascadia Mono" w:eastAsia="Cascadia Mono" w:hAnsi="Cascadia Mono"/>
          <w:color w:val="2B2B2B"/>
          <w:sz w:val="18"/>
          <w:szCs w:val="18"/>
        </w:rPr>
        <w:t xml:space="preserve">personalize_service</w:t>
      </w:r>
      <w:r>
        <w:t xml:space="preserve"> at the operator level, trip-scoped. This allows DRO-02 rebooking to book a compatible meal on a substituted flight but does NOT allow the operator to share dietary data with the partner hotel chain.</w:t>
      </w:r>
    </w:p>
    <w:p>
      <w:pPr>
        <w:spacing w:after="140"/>
      </w:pPr>
      <w:r>
        <w:t xml:space="preserve">The consent registry is a first-class entity (</w:t>
      </w:r>
      <w:r>
        <w:rPr>
          <w:rFonts w:ascii="Cascadia Mono" w:cs="Cascadia Mono" w:eastAsia="Cascadia Mono" w:hAnsi="Cascadia Mono"/>
          <w:color w:val="2B2B2B"/>
          <w:sz w:val="18"/>
          <w:szCs w:val="18"/>
        </w:rPr>
        <w:t xml:space="preserve">silver_traveler_consent</w:t>
      </w:r>
      <w:r>
        <w:t xml:space="preserve">) with full SCD2 history. Every consent change is auditable with timestamp and attribution (did the traveler change the consent? did the operator re-solicit?). Consent revocation propagates to Tier-B access within 15 minutes (the view-refresh cycle).</w:t>
      </w:r>
    </w:p>
    <w:p>
      <w:pPr>
        <w:pStyle w:val="Heading3"/>
        <w:spacing w:after="120" w:before="260"/>
      </w:pPr>
      <w:r>
        <w:rPr>
          <w:rFonts w:ascii="Aptos" w:cs="Aptos" w:eastAsia="Aptos" w:hAnsi="Aptos"/>
          <w:b/>
          <w:bCs/>
          <w:color w:val="0B111E"/>
          <w:sz w:val="24"/>
          <w:szCs w:val="24"/>
        </w:rPr>
        <w:t xml:space="preserve">7A.12 Right-to-Erasure and Right-to-Access</w:t>
      </w:r>
    </w:p>
    <w:p>
      <w:pPr>
        <w:spacing w:after="140"/>
      </w:pPr>
      <w:r>
        <w:t xml:space="preserve">Under GDPR and CCPA, travellers have legal rights to:</w:t>
      </w:r>
    </w:p>
    <w:p>
      <w:pPr>
        <w:pStyle w:val="ListParagraph"/>
        <w:numPr>
          <w:ilvl w:val="0"/>
          <w:numId w:val="1"/>
        </w:numPr>
        <w:spacing w:after="60"/>
      </w:pPr>
      <w:r>
        <w:rPr>
          <w:b/>
          <w:bCs/>
        </w:rPr>
        <w:t xml:space="preserve">Access</w:t>
      </w:r>
      <w:r>
        <w:t xml:space="preserve"> — "show me everything you have about me"</w:t>
      </w:r>
    </w:p>
    <w:p>
      <w:pPr>
        <w:pStyle w:val="ListParagraph"/>
        <w:numPr>
          <w:ilvl w:val="0"/>
          <w:numId w:val="1"/>
        </w:numPr>
        <w:spacing w:after="60"/>
      </w:pPr>
      <w:r>
        <w:rPr>
          <w:b/>
          <w:bCs/>
        </w:rPr>
        <w:t xml:space="preserve">Erasure</w:t>
      </w:r>
      <w:r>
        <w:t xml:space="preserve"> — "delete everything"</w:t>
      </w:r>
    </w:p>
    <w:p>
      <w:pPr>
        <w:pStyle w:val="ListParagraph"/>
        <w:numPr>
          <w:ilvl w:val="0"/>
          <w:numId w:val="1"/>
        </w:numPr>
        <w:spacing w:after="60"/>
      </w:pPr>
      <w:r>
        <w:rPr>
          <w:b/>
          <w:bCs/>
        </w:rPr>
        <w:t xml:space="preserve">Rectification</w:t>
      </w:r>
      <w:r>
        <w:t xml:space="preserve"> — "correct this field"</w:t>
      </w:r>
    </w:p>
    <w:p>
      <w:pPr>
        <w:pStyle w:val="ListParagraph"/>
        <w:numPr>
          <w:ilvl w:val="0"/>
          <w:numId w:val="1"/>
        </w:numPr>
        <w:spacing w:after="60"/>
      </w:pPr>
      <w:r>
        <w:rPr>
          <w:b/>
          <w:bCs/>
        </w:rPr>
        <w:t xml:space="preserve">Portability</w:t>
      </w:r>
      <w:r>
        <w:t xml:space="preserve"> — "export my data in a machine-readable format"</w:t>
      </w:r>
    </w:p>
    <w:p>
      <w:pPr>
        <w:spacing w:after="140"/>
      </w:pPr>
      <w:r>
        <w:t xml:space="preserve">TTP-07 implements all four natively:</w:t>
      </w:r>
    </w:p>
    <w:p>
      <w:pPr>
        <w:pStyle w:val="ListParagraph"/>
        <w:numPr>
          <w:ilvl w:val="0"/>
          <w:numId w:val="1"/>
        </w:numPr>
        <w:spacing w:after="60"/>
      </w:pPr>
      <w:r>
        <w:rPr>
          <w:b/>
          <w:bCs/>
        </w:rPr>
        <w:t xml:space="preserve">Access request</w:t>
      </w:r>
      <w:r>
        <w:t xml:space="preserve"> — the traveler's Tier-B data is returned via a dedicated agent (</w:t>
      </w:r>
      <w:r>
        <w:rPr>
          <w:rFonts w:ascii="Cascadia Mono" w:cs="Cascadia Mono" w:eastAsia="Cascadia Mono" w:hAnsi="Cascadia Mono"/>
          <w:color w:val="2B2B2B"/>
          <w:sz w:val="18"/>
          <w:szCs w:val="18"/>
        </w:rPr>
        <w:t xml:space="preserve">TTP-A02 Profile Assembler</w:t>
      </w:r>
      <w:r>
        <w:t xml:space="preserve"> in "self-access" mode), with a full Tier-B audit log showing every prior access. Response time: ≤ 48 hours from request receipt.</w:t>
      </w:r>
    </w:p>
    <w:p>
      <w:pPr>
        <w:pStyle w:val="ListParagraph"/>
        <w:numPr>
          <w:ilvl w:val="0"/>
          <w:numId w:val="1"/>
        </w:numPr>
        <w:spacing w:after="60"/>
      </w:pPr>
      <w:r>
        <w:rPr>
          <w:b/>
          <w:bCs/>
        </w:rPr>
        <w:t xml:space="preserve">Erasure request</w:t>
      </w:r>
      <w:r>
        <w:t xml:space="preserve"> — the traveler's </w:t>
      </w:r>
      <w:r>
        <w:rPr>
          <w:rFonts w:ascii="Cascadia Mono" w:cs="Cascadia Mono" w:eastAsia="Cascadia Mono" w:hAnsi="Cascadia Mono"/>
          <w:color w:val="2B2B2B"/>
          <w:sz w:val="18"/>
          <w:szCs w:val="18"/>
        </w:rPr>
        <w:t xml:space="preserve">traveler_id_tkn</w:t>
      </w:r>
      <w:r>
        <w:t xml:space="preserve"> is pseudonymised-forward: a new opaque token is generated, and every cleartext field in </w:t>
      </w:r>
      <w:r>
        <w:rPr>
          <w:rFonts w:ascii="Cascadia Mono" w:cs="Cascadia Mono" w:eastAsia="Cascadia Mono" w:hAnsi="Cascadia Mono"/>
          <w:color w:val="2B2B2B"/>
          <w:sz w:val="18"/>
          <w:szCs w:val="18"/>
        </w:rPr>
        <w:t xml:space="preserve">silver_traveler_profile_pii</w:t>
      </w:r>
      <w:r>
        <w:t xml:space="preserve"> is set to </w:t>
      </w:r>
      <w:r>
        <w:rPr>
          <w:rFonts w:ascii="Cascadia Mono" w:cs="Cascadia Mono" w:eastAsia="Cascadia Mono" w:hAnsi="Cascadia Mono"/>
          <w:color w:val="2B2B2B"/>
          <w:sz w:val="18"/>
          <w:szCs w:val="18"/>
        </w:rPr>
        <w:t xml:space="preserve">null</w:t>
      </w:r>
      <w:r>
        <w:t xml:space="preserve"> with a tombstone row. The anonymous timeline (no reverse-identifiable data) is retained for operational analytics. Response: 30 days (GDPR window).</w:t>
      </w:r>
    </w:p>
    <w:p>
      <w:pPr>
        <w:pStyle w:val="ListParagraph"/>
        <w:numPr>
          <w:ilvl w:val="0"/>
          <w:numId w:val="1"/>
        </w:numPr>
        <w:spacing w:after="60"/>
      </w:pPr>
      <w:r>
        <w:rPr>
          <w:b/>
          <w:bCs/>
        </w:rPr>
        <w:t xml:space="preserve">Rectification</w:t>
      </w:r>
      <w:r>
        <w:t xml:space="preserve"> — direct update via consented-channel; audit row written.</w:t>
      </w:r>
    </w:p>
    <w:p>
      <w:pPr>
        <w:pStyle w:val="ListParagraph"/>
        <w:numPr>
          <w:ilvl w:val="0"/>
          <w:numId w:val="1"/>
        </w:numPr>
        <w:spacing w:after="60"/>
      </w:pPr>
      <w:r>
        <w:rPr>
          <w:b/>
          <w:bCs/>
        </w:rPr>
        <w:t xml:space="preserve">Portability</w:t>
      </w:r>
      <w:r>
        <w:t xml:space="preserve"> — JSON export of Tier-B consented data classes; XML available for corporate-travel use cases.</w:t>
      </w:r>
    </w:p>
    <w:p>
      <w:pPr>
        <w:pStyle w:val="Heading3"/>
        <w:spacing w:after="120" w:before="260"/>
      </w:pPr>
      <w:r>
        <w:rPr>
          <w:rFonts w:ascii="Aptos" w:cs="Aptos" w:eastAsia="Aptos" w:hAnsi="Aptos"/>
          <w:b/>
          <w:bCs/>
          <w:color w:val="0B111E"/>
          <w:sz w:val="24"/>
          <w:szCs w:val="24"/>
        </w:rPr>
        <w:t xml:space="preserve">7A.13 Integration with TH Services</w:t>
      </w:r>
    </w:p>
    <w:p>
      <w:pPr>
        <w:spacing w:after="140"/>
      </w:pPr>
      <w:r>
        <w:t xml:space="preserve">TTP-07 is consumed by every other TH service in different 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DRO-02 Disruption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Per-traveler traveler_trace + profile_fetch_shared + preferences_resolve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A → B (on-demand)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disruption_recovery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LGR-03 Loyalty Guest Rescue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profile_fetch_shared + preferences_resolve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B</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service_recovery</w:t>
            </w:r>
            <w:r>
              <w:t xml:space="preserve"> / </w:t>
            </w:r>
            <w:r>
              <w:rPr>
                <w:rFonts w:ascii="Cascadia Mono" w:cs="Cascadia Mono" w:eastAsia="Cascadia Mono" w:hAnsi="Cascadia Mono"/>
                <w:color w:val="2B2B2B"/>
                <w:sz w:val="18"/>
                <w:szCs w:val="18"/>
              </w:rPr>
              <w:t xml:space="preserve">personalize_service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GIT-05 Guest 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traveler_trace + profile_fetch_shared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A → B (for safety)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safety_event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HER-06 Housekeeping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traveler_trace + preferences_resolve (room class)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personalize_service</w:t>
            </w:r>
            <w:r>
              <w:t xml:space="preserve"> (preferences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OBI-01 Overbooking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traveler_trace (for tier prioritisation)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A 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 — aggregate decisions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RMA-04 Revenue-Mgmt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traveler_trace (aggregate)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bl>
    <w:p>
      <w:pPr>
        <w:spacing w:after="120"/>
      </w:pPr>
      <w:r>
        <w:t xml:space="preserve"/>
      </w:r>
    </w:p>
    <w:p>
      <w:pPr>
        <w:spacing w:after="140"/>
      </w:pPr>
      <w:r>
        <w:t xml:space="preserve">OBI-01 is a deliberate Tier-A-only consumer. Overbooking decisions must not be influenced by individual-identity considerations (doing so creates discrimination risk). The service sees loyalty-tier tokens but not identifiable travelers.</w:t>
      </w:r>
    </w:p>
    <w:p>
      <w:pPr>
        <w:pStyle w:val="Heading3"/>
        <w:spacing w:after="120" w:before="260"/>
      </w:pPr>
      <w:r>
        <w:rPr>
          <w:rFonts w:ascii="Aptos" w:cs="Aptos" w:eastAsia="Aptos" w:hAnsi="Aptos"/>
          <w:b/>
          <w:bCs/>
          <w:color w:val="0B111E"/>
          <w:sz w:val="24"/>
          <w:szCs w:val="24"/>
        </w:rPr>
        <w:t xml:space="preserve">7A.14 Rollout Roadmap</w:t>
      </w:r>
    </w:p>
    <w:p>
      <w:pPr>
        <w:spacing w:after="140"/>
      </w:pPr>
      <w:r>
        <w:rPr>
          <w:b/>
          <w:bCs/>
        </w:rPr>
        <w:t xml:space="preserve">Phase 1 (Weeks 1–6):</w:t>
      </w:r>
      <w:r>
        <w:t xml:space="preserve"> Consent registry standup; TRAVELER_PROFILE / TRAVELER_PREFERENCES / silver_traveler_consent tables; backfill from legacy CRM + loyalty systems with careful consent-defaulting rules (never default-to-opt-in on new data classes).</w:t>
      </w:r>
    </w:p>
    <w:p>
      <w:pPr>
        <w:spacing w:after="140"/>
      </w:pPr>
      <w:r>
        <w:rPr>
          <w:b/>
          <w:bCs/>
        </w:rPr>
        <w:t xml:space="preserve">Phase 2 (Weeks 7–10):</w:t>
      </w:r>
      <w:r>
        <w:t xml:space="preserve"> Tier A — </w:t>
      </w:r>
      <w:r>
        <w:rPr>
          <w:rFonts w:ascii="Cascadia Mono" w:cs="Cascadia Mono" w:eastAsia="Cascadia Mono" w:hAnsi="Cascadia Mono"/>
          <w:color w:val="2B2B2B"/>
          <w:sz w:val="18"/>
          <w:szCs w:val="18"/>
        </w:rPr>
        <w:t xml:space="preserve">gold_traveler_timeline_v1</w:t>
      </w:r>
      <w:r>
        <w:t xml:space="preserve"> materialised; </w:t>
      </w:r>
      <w:r>
        <w:rPr>
          <w:rFonts w:ascii="Cascadia Mono" w:cs="Cascadia Mono" w:eastAsia="Cascadia Mono" w:hAnsi="Cascadia Mono"/>
          <w:color w:val="2B2B2B"/>
          <w:sz w:val="18"/>
          <w:szCs w:val="18"/>
        </w:rPr>
        <w:t xml:space="preserve">traveler_trace</w:t>
      </w:r>
      <w:r>
        <w:t xml:space="preserve"> + </w:t>
      </w:r>
      <w:r>
        <w:rPr>
          <w:rFonts w:ascii="Cascadia Mono" w:cs="Cascadia Mono" w:eastAsia="Cascadia Mono" w:hAnsi="Cascadia Mono"/>
          <w:color w:val="2B2B2B"/>
          <w:sz w:val="18"/>
          <w:szCs w:val="18"/>
        </w:rPr>
        <w:t xml:space="preserve">profile_fetch_anonymous</w:t>
      </w:r>
      <w:r>
        <w:t xml:space="preserve"> tools deployed; TTP-A01 agent shipped. OBI-01, HER-06, RMA-04 integrate first (Tier-A-only consumers).</w:t>
      </w:r>
    </w:p>
    <w:p>
      <w:pPr>
        <w:spacing w:after="140"/>
      </w:pPr>
      <w:r>
        <w:rPr>
          <w:b/>
          <w:bCs/>
        </w:rPr>
        <w:t xml:space="preserve">Phase 3 (Weeks 11–14):</w:t>
      </w:r>
      <w:r>
        <w:t xml:space="preserve"> Tier B — </w:t>
      </w:r>
      <w:r>
        <w:rPr>
          <w:rFonts w:ascii="Cascadia Mono" w:cs="Cascadia Mono" w:eastAsia="Cascadia Mono" w:hAnsi="Cascadia Mono"/>
          <w:color w:val="2B2B2B"/>
          <w:sz w:val="18"/>
          <w:szCs w:val="18"/>
        </w:rPr>
        <w:t xml:space="preserve">profile_fetch_shared</w:t>
      </w:r>
      <w:r>
        <w:t xml:space="preserve">, </w:t>
      </w:r>
      <w:r>
        <w:rPr>
          <w:rFonts w:ascii="Cascadia Mono" w:cs="Cascadia Mono" w:eastAsia="Cascadia Mono" w:hAnsi="Cascadia Mono"/>
          <w:color w:val="2B2B2B"/>
          <w:sz w:val="18"/>
          <w:szCs w:val="18"/>
        </w:rPr>
        <w:t xml:space="preserve">preferences_resolve</w:t>
      </w:r>
      <w:r>
        <w:t xml:space="preserve">, </w:t>
      </w:r>
      <w:r>
        <w:rPr>
          <w:rFonts w:ascii="Cascadia Mono" w:cs="Cascadia Mono" w:eastAsia="Cascadia Mono" w:hAnsi="Cascadia Mono"/>
          <w:color w:val="2B2B2B"/>
          <w:sz w:val="18"/>
          <w:szCs w:val="18"/>
        </w:rPr>
        <w:t xml:space="preserve">tokenizer-mcp.consent_check</w:t>
      </w:r>
      <w:r>
        <w:t xml:space="preserve"> deployed; TTP-A02, TTP-A03 shipped. DRO-02, LGR-03, GIT-05 integrate.</w:t>
      </w:r>
    </w:p>
    <w:p>
      <w:pPr>
        <w:spacing w:after="140"/>
      </w:pPr>
      <w:r>
        <w:rPr>
          <w:b/>
          <w:bCs/>
        </w:rPr>
        <w:t xml:space="preserve">Phase 4 (Weeks 15–18):</w:t>
      </w:r>
      <w:r>
        <w:t xml:space="preserve"> Right-to-erasure workflow live; Right-to-access self-service portal available; TTP-A04 Consent Auditor shipped and running weekly.</w:t>
      </w:r>
    </w:p>
    <w:p>
      <w:pPr>
        <w:spacing w:after="140"/>
      </w:pPr>
      <w:r>
        <w:rPr>
          <w:b/>
          <w:bCs/>
        </w:rPr>
        <w:t xml:space="preserve">Phase 5 (Weeks 19–22):</w:t>
      </w:r>
      <w:r>
        <w:t xml:space="preserve"> Tier C rails for legal/regulatory access; independent audit of the full service with a big-four privacy practice; residual findings remediated.</w:t>
      </w:r>
    </w:p>
    <w:p>
      <w:pPr>
        <w:spacing w:after="140"/>
      </w:pPr>
      <w:r>
        <w:t xml:space="preserve">Total: 22 weeks to full go-live. Typical investment envelope: $4–7M, higher than RC E2E-09's $2–4M because of the PII discipline depth and the legal/regulatory workstream.</w:t>
      </w:r>
    </w:p>
    <w:p>
      <w:pPr>
        <w:pStyle w:val="Heading3"/>
        <w:spacing w:after="120" w:before="260"/>
      </w:pPr>
      <w:r>
        <w:rPr>
          <w:rFonts w:ascii="Aptos" w:cs="Aptos" w:eastAsia="Aptos" w:hAnsi="Aptos"/>
          <w:b/>
          <w:bCs/>
          <w:color w:val="0B111E"/>
          <w:sz w:val="24"/>
          <w:szCs w:val="24"/>
        </w:rPr>
        <w:t xml:space="preserve">7A.15 Regulatory Posture</w:t>
      </w:r>
    </w:p>
    <w:p>
      <w:pPr>
        <w:spacing w:after="140"/>
      </w:pPr>
      <w:r>
        <w:t xml:space="preserve">TTP-07 is designed for GDPR, CCPA, EU Passenger Rights, DOT US privacy framework, and ADA-adjacent accessibility requirements. The specific obligations met:</w:t>
      </w:r>
    </w:p>
    <w:p>
      <w:pPr>
        <w:pStyle w:val="ListParagraph"/>
        <w:numPr>
          <w:ilvl w:val="0"/>
          <w:numId w:val="1"/>
        </w:numPr>
        <w:spacing w:after="60"/>
      </w:pPr>
      <w:r>
        <w:rPr>
          <w:b/>
          <w:bCs/>
        </w:rPr>
        <w:t xml:space="preserve">Lawful basis</w:t>
      </w:r>
      <w:r>
        <w:t xml:space="preserve"> — consent for Tier B; contract/legitimate-interest for Tier A operational; legal-obligation for Tier C</w:t>
      </w:r>
    </w:p>
    <w:p>
      <w:pPr>
        <w:pStyle w:val="ListParagraph"/>
        <w:numPr>
          <w:ilvl w:val="0"/>
          <w:numId w:val="1"/>
        </w:numPr>
        <w:spacing w:after="60"/>
      </w:pPr>
      <w:r>
        <w:rPr>
          <w:b/>
          <w:bCs/>
        </w:rPr>
        <w:t xml:space="preserve">Data minimisation</w:t>
      </w:r>
      <w:r>
        <w:t xml:space="preserve"> — the consent check rejects purpose-class combinations that are broader than necessary</w:t>
      </w:r>
    </w:p>
    <w:p>
      <w:pPr>
        <w:pStyle w:val="ListParagraph"/>
        <w:numPr>
          <w:ilvl w:val="0"/>
          <w:numId w:val="1"/>
        </w:numPr>
        <w:spacing w:after="60"/>
      </w:pPr>
      <w:r>
        <w:rPr>
          <w:b/>
          <w:bCs/>
        </w:rPr>
        <w:t xml:space="preserve">Storage limitation</w:t>
      </w:r>
      <w:r>
        <w:t xml:space="preserve"> — anonymous timeline 3 years, Tier-B PII tied to consent-expiry or trip-scope, Tier-C tied to retention-hold identifier</w:t>
      </w:r>
    </w:p>
    <w:p>
      <w:pPr>
        <w:pStyle w:val="ListParagraph"/>
        <w:numPr>
          <w:ilvl w:val="0"/>
          <w:numId w:val="1"/>
        </w:numPr>
        <w:spacing w:after="60"/>
      </w:pPr>
      <w:r>
        <w:rPr>
          <w:b/>
          <w:bCs/>
        </w:rPr>
        <w:t xml:space="preserve">Integrity and confidentiality</w:t>
      </w:r>
      <w:r>
        <w:t xml:space="preserve"> — tokeniser with customer-managed keys; DLP on outbound agent responses; audit on every Tier-B and Tier-C access</w:t>
      </w:r>
    </w:p>
    <w:p>
      <w:pPr>
        <w:pStyle w:val="ListParagraph"/>
        <w:numPr>
          <w:ilvl w:val="0"/>
          <w:numId w:val="1"/>
        </w:numPr>
        <w:spacing w:after="60"/>
      </w:pPr>
      <w:r>
        <w:rPr>
          <w:b/>
          <w:bCs/>
        </w:rPr>
        <w:t xml:space="preserve">Accountability</w:t>
      </w:r>
      <w:r>
        <w:t xml:space="preserve"> — TTP-A04 Consent Auditor produces the monthly compliance evidence; DAR includes privacy review as a standing agenda item</w:t>
      </w:r>
    </w:p>
    <w:p>
      <w:pPr>
        <w:pStyle w:val="ListParagraph"/>
        <w:numPr>
          <w:ilvl w:val="0"/>
          <w:numId w:val="1"/>
        </w:numPr>
        <w:spacing w:after="60"/>
      </w:pPr>
      <w:r>
        <w:rPr>
          <w:b/>
          <w:bCs/>
        </w:rPr>
        <w:t xml:space="preserve">Rights of the data subject</w:t>
      </w:r>
      <w:r>
        <w:t xml:space="preserve"> — first-party Access, Erasure, Rectification, Portability (§7A.12)</w:t>
      </w:r>
    </w:p>
    <w:p>
      <w:pPr>
        <w:spacing w:after="140"/>
      </w:pPr>
      <w:r>
        <w:t xml:space="preserve">An annual independent privacy audit is a condition of Enterprise-tier TTP-07 operation; the audit report is shared with Compliance and with the traveller-representative body where one exists (works councils, consumer-advocacy bodies, etc.).</w:t>
      </w:r>
    </w:p>
    <w:p>
      <w:pPr>
        <w:pStyle w:val="Heading3"/>
        <w:spacing w:after="120" w:before="260"/>
      </w:pPr>
      <w:r>
        <w:rPr>
          <w:rFonts w:ascii="Aptos" w:cs="Aptos" w:eastAsia="Aptos" w:hAnsi="Aptos"/>
          <w:b/>
          <w:bCs/>
          <w:color w:val="0B111E"/>
          <w:sz w:val="24"/>
          <w:szCs w:val="24"/>
        </w:rPr>
        <w:t xml:space="preserve">7A.16 Performance &amp; SLO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A traveler_trace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 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B profile_fetch_shared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200 ms (tokeniser hot path)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Preference resolve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150 ms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 check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50 ms (cached hot path)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Consent-denial sanitised-response rate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(no leak via timing or error shape)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 revocation propagation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15 min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Right-to-access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48 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Right-to-erasure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30 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Consent-violation rate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 (hard zero; any non-zero is a compliance incident)</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7A.17 Testing Strategy</w:t>
      </w:r>
    </w:p>
    <w:p>
      <w:pPr>
        <w:pStyle w:val="ListParagraph"/>
        <w:numPr>
          <w:ilvl w:val="0"/>
          <w:numId w:val="1"/>
        </w:numPr>
        <w:spacing w:after="60"/>
      </w:pPr>
      <w:r>
        <w:rPr>
          <w:b/>
          <w:bCs/>
        </w:rPr>
        <w:t xml:space="preserve">Consent-matrix fuzz test</w:t>
      </w:r>
      <w:r>
        <w:t xml:space="preserve"> — automated test that generates random consent-class / purpose combinations and verifies the tokeniser returns the correct ALLOW/DENY response</w:t>
      </w:r>
    </w:p>
    <w:p>
      <w:pPr>
        <w:pStyle w:val="ListParagraph"/>
        <w:numPr>
          <w:ilvl w:val="0"/>
          <w:numId w:val="1"/>
        </w:numPr>
        <w:spacing w:after="60"/>
      </w:pPr>
      <w:r>
        <w:rPr>
          <w:b/>
          <w:bCs/>
        </w:rPr>
        <w:t xml:space="preserve">Sanitised-response uniformity</w:t>
      </w:r>
      <w:r>
        <w:t xml:space="preserve"> — timing and response-shape tests confirming a consent-denied response is indistinguishable from a "data exists but not consented" response and from a "data does not exist" response. Preventing information leakage through error behaviour is a specific test class here.</w:t>
      </w:r>
    </w:p>
    <w:p>
      <w:pPr>
        <w:pStyle w:val="ListParagraph"/>
        <w:numPr>
          <w:ilvl w:val="0"/>
          <w:numId w:val="1"/>
        </w:numPr>
        <w:spacing w:after="60"/>
      </w:pPr>
      <w:r>
        <w:rPr>
          <w:b/>
          <w:bCs/>
        </w:rPr>
        <w:t xml:space="preserve">Re-tokenisation drill</w:t>
      </w:r>
      <w:r>
        <w:t xml:space="preserve"> — quarterly process where a sample traveler's tokens are rotated and every downstream integration is verified to handle the rotation transparently</w:t>
      </w:r>
    </w:p>
    <w:p>
      <w:pPr>
        <w:pStyle w:val="ListParagraph"/>
        <w:numPr>
          <w:ilvl w:val="0"/>
          <w:numId w:val="1"/>
        </w:numPr>
        <w:spacing w:after="60"/>
      </w:pPr>
      <w:r>
        <w:rPr>
          <w:b/>
          <w:bCs/>
        </w:rPr>
        <w:t xml:space="preserve">Revocation propagation test</w:t>
      </w:r>
      <w:r>
        <w:t xml:space="preserve"> — weekly synthetic revocation with verification that Tier-B access is denied within the 15-min SLO</w:t>
      </w:r>
    </w:p>
    <w:p>
      <w:pPr>
        <w:pStyle w:val="Heading3"/>
        <w:spacing w:after="120" w:before="260"/>
      </w:pPr>
      <w:r>
        <w:rPr>
          <w:rFonts w:ascii="Aptos" w:cs="Aptos" w:eastAsia="Aptos" w:hAnsi="Aptos"/>
          <w:b/>
          <w:bCs/>
          <w:color w:val="0B111E"/>
          <w:sz w:val="24"/>
          <w:szCs w:val="24"/>
        </w:rPr>
        <w:t xml:space="preserve">7A.18 Implementation Checklist</w:t>
      </w:r>
    </w:p>
    <w:p>
      <w:pPr>
        <w:spacing w:after="140"/>
      </w:pPr>
      <w:r>
        <w:t xml:space="preserve">Before go-live:</w:t>
      </w:r>
    </w:p>
    <w:p>
      <w:pPr>
        <w:pStyle w:val="ListParagraph"/>
        <w:numPr>
          <w:ilvl w:val="0"/>
          <w:numId w:val="1"/>
        </w:numPr>
        <w:spacing w:after="60"/>
      </w:pPr>
      <w:r>
        <w:t xml:space="preserve">[ ] Consent registry populated with affirmative-only entries; no default-opt-in</w:t>
      </w:r>
    </w:p>
    <w:p>
      <w:pPr>
        <w:pStyle w:val="ListParagraph"/>
        <w:numPr>
          <w:ilvl w:val="0"/>
          <w:numId w:val="1"/>
        </w:numPr>
        <w:spacing w:after="60"/>
      </w:pPr>
      <w:r>
        <w:t xml:space="preserve">[ ] TRAVELER_PROFILE / TRAVELER_PREFERENCES entities in Silver with proper ACL segregation</w:t>
      </w:r>
    </w:p>
    <w:p>
      <w:pPr>
        <w:pStyle w:val="ListParagraph"/>
        <w:numPr>
          <w:ilvl w:val="0"/>
          <w:numId w:val="1"/>
        </w:numPr>
        <w:spacing w:after="60"/>
      </w:pPr>
      <w:r>
        <w:t xml:space="preserve">[ ] </w:t>
      </w:r>
      <w:r>
        <w:rPr>
          <w:rFonts w:ascii="Cascadia Mono" w:cs="Cascadia Mono" w:eastAsia="Cascadia Mono" w:hAnsi="Cascadia Mono"/>
          <w:color w:val="2B2B2B"/>
          <w:sz w:val="18"/>
          <w:szCs w:val="18"/>
        </w:rPr>
        <w:t xml:space="preserve">gold_traveler_timeline_v1</w:t>
      </w:r>
      <w:r>
        <w:t xml:space="preserve"> materialised with 5-min refresh and no reverse-identifiable columns</w:t>
      </w:r>
    </w:p>
    <w:p>
      <w:pPr>
        <w:pStyle w:val="ListParagraph"/>
        <w:numPr>
          <w:ilvl w:val="0"/>
          <w:numId w:val="1"/>
        </w:numPr>
        <w:spacing w:after="60"/>
      </w:pPr>
      <w:r>
        <w:t xml:space="preserve">[ ] Tokeniser extended with consent-flag category support</w:t>
      </w:r>
    </w:p>
    <w:p>
      <w:pPr>
        <w:pStyle w:val="ListParagraph"/>
        <w:numPr>
          <w:ilvl w:val="0"/>
          <w:numId w:val="1"/>
        </w:numPr>
        <w:spacing w:after="60"/>
      </w:pPr>
      <w:r>
        <w:t xml:space="preserve">[ ] All five TTP tools deployed under </w:t>
      </w:r>
      <w:r>
        <w:rPr>
          <w:rFonts w:ascii="Cascadia Mono" w:cs="Cascadia Mono" w:eastAsia="Cascadia Mono" w:hAnsi="Cascadia Mono"/>
          <w:color w:val="2B2B2B"/>
          <w:sz w:val="18"/>
          <w:szCs w:val="18"/>
        </w:rPr>
        <w:t xml:space="preserve">mi-apex-th-mcp</w:t>
      </w:r>
      <w:r>
        <w:t xml:space="preserve">; Tier-B tools have separate </w:t>
      </w:r>
      <w:r>
        <w:rPr>
          <w:rFonts w:ascii="Cascadia Mono" w:cs="Cascadia Mono" w:eastAsia="Cascadia Mono" w:hAnsi="Cascadia Mono"/>
          <w:color w:val="2B2B2B"/>
          <w:sz w:val="18"/>
          <w:szCs w:val="18"/>
        </w:rPr>
        <w:t xml:space="preserve">mi-apex-th-pii-unlock</w:t>
      </w:r>
      <w:r>
        <w:t xml:space="preserve"> grant</w:t>
      </w:r>
    </w:p>
    <w:p>
      <w:pPr>
        <w:pStyle w:val="ListParagraph"/>
        <w:numPr>
          <w:ilvl w:val="0"/>
          <w:numId w:val="1"/>
        </w:numPr>
        <w:spacing w:after="60"/>
      </w:pPr>
      <w:r>
        <w:t xml:space="preserve">[ ] Four TTP agents registered with manifests and tool allow-lists</w:t>
      </w:r>
    </w:p>
    <w:p>
      <w:pPr>
        <w:pStyle w:val="ListParagraph"/>
        <w:numPr>
          <w:ilvl w:val="0"/>
          <w:numId w:val="1"/>
        </w:numPr>
        <w:spacing w:after="60"/>
      </w:pPr>
      <w:r>
        <w:t xml:space="preserve">[ ] ORCH-46 deployed (Logic Apps for fast paths, Durable for right-to-access and right-to-erasure flows)</w:t>
      </w:r>
    </w:p>
    <w:p>
      <w:pPr>
        <w:pStyle w:val="ListParagraph"/>
        <w:numPr>
          <w:ilvl w:val="0"/>
          <w:numId w:val="1"/>
        </w:numPr>
        <w:spacing w:after="60"/>
      </w:pPr>
      <w:r>
        <w:t xml:space="preserve">[ ] Purview DLP policies on every outbound agent response from TH agents</w:t>
      </w:r>
    </w:p>
    <w:p>
      <w:pPr>
        <w:pStyle w:val="ListParagraph"/>
        <w:numPr>
          <w:ilvl w:val="0"/>
          <w:numId w:val="1"/>
        </w:numPr>
        <w:spacing w:after="60"/>
      </w:pPr>
      <w:r>
        <w:t xml:space="preserve">[ ] Right-to-access and right-to-erasure self-service portals integrated with the consent registry</w:t>
      </w:r>
    </w:p>
    <w:p>
      <w:pPr>
        <w:pStyle w:val="ListParagraph"/>
        <w:numPr>
          <w:ilvl w:val="0"/>
          <w:numId w:val="1"/>
        </w:numPr>
        <w:spacing w:after="60"/>
      </w:pPr>
      <w:r>
        <w:t xml:space="preserve">[ ] Privacy audit scheduled (annual minimum for Enterprise tier)</w:t>
      </w:r>
    </w:p>
    <w:p>
      <w:pPr>
        <w:pStyle w:val="ListParagraph"/>
        <w:numPr>
          <w:ilvl w:val="0"/>
          <w:numId w:val="1"/>
        </w:numPr>
        <w:spacing w:after="60"/>
      </w:pPr>
      <w:r>
        <w:t xml:space="preserve">[ ] Compliance Officer trained on TTP-A04 Consent Auditor reports</w:t>
      </w:r>
    </w:p>
    <w:p>
      <w:pPr>
        <w:spacing w:after="140"/>
      </w:pPr>
      <w:r>
        <w:t xml:space="preserve">Post go-live:</w:t>
      </w:r>
    </w:p>
    <w:p>
      <w:pPr>
        <w:pStyle w:val="ListParagraph"/>
        <w:numPr>
          <w:ilvl w:val="0"/>
          <w:numId w:val="1"/>
        </w:numPr>
        <w:spacing w:after="60"/>
      </w:pPr>
      <w:r>
        <w:t xml:space="preserve">[ ] Weekly TTP-A04 audit review</w:t>
      </w:r>
    </w:p>
    <w:p>
      <w:pPr>
        <w:pStyle w:val="ListParagraph"/>
        <w:numPr>
          <w:ilvl w:val="0"/>
          <w:numId w:val="1"/>
        </w:numPr>
        <w:spacing w:after="60"/>
      </w:pPr>
      <w:r>
        <w:t xml:space="preserve">[ ] Monthly DAR with privacy review as standing item</w:t>
      </w:r>
    </w:p>
    <w:p>
      <w:pPr>
        <w:pStyle w:val="ListParagraph"/>
        <w:numPr>
          <w:ilvl w:val="0"/>
          <w:numId w:val="1"/>
        </w:numPr>
        <w:spacing w:after="60"/>
      </w:pPr>
      <w:r>
        <w:t xml:space="preserve">[ ] Quarterly re-tokenisation drill</w:t>
      </w:r>
    </w:p>
    <w:p>
      <w:pPr>
        <w:pStyle w:val="ListParagraph"/>
        <w:numPr>
          <w:ilvl w:val="0"/>
          <w:numId w:val="1"/>
        </w:numPr>
        <w:spacing w:after="60"/>
      </w:pPr>
      <w:r>
        <w:t xml:space="preserve">[ ] Annual privacy audit with external firm</w:t>
      </w:r>
    </w:p>
    <w:p>
      <w:pPr>
        <w:pStyle w:val="ListParagraph"/>
        <w:numPr>
          <w:ilvl w:val="0"/>
          <w:numId w:val="1"/>
        </w:numPr>
        <w:spacing w:after="60"/>
      </w:pPr>
      <w:r>
        <w:t xml:space="preserve">[ ] Semi-annual consent-matrix scope review (are we still requesting only what we need?)</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8: Industrial &amp; Commercial Equipment (ICE) Practice</w:t>
      </w:r>
    </w:p>
    <w:p>
      <w:pPr>
        <w:pStyle w:val="Heading3"/>
        <w:spacing w:after="120" w:before="260"/>
      </w:pPr>
      <w:r>
        <w:rPr>
          <w:rFonts w:ascii="Aptos" w:cs="Aptos" w:eastAsia="Aptos" w:hAnsi="Aptos"/>
          <w:b/>
          <w:bCs/>
          <w:color w:val="0B111E"/>
          <w:sz w:val="24"/>
          <w:szCs w:val="24"/>
        </w:rPr>
        <w:t xml:space="preserve">8.1 The Story</w:t>
      </w:r>
    </w:p>
    <w:p>
      <w:pPr>
        <w:spacing w:after="140"/>
      </w:pPr>
      <w:r>
        <w:t xml:space="preserve">At 09:03 on a Tuesday, an agricultural OEM's telematics feed shows an engine failure on a harvesting combine in the field at a customer farm. Harvest is time-critical; every hour of downtime during the window costs the farmer tens of thousands in yield risk. The dealer is 120 miles away; the nearest certified technician is at a neighbouring dealer 45 miles the other direction. The right part may or may not be on the technician's truck.</w:t>
      </w:r>
    </w:p>
    <w:p>
      <w:pPr>
        <w:spacing w:after="140"/>
      </w:pPr>
      <w:r>
        <w:rPr>
          <w:rFonts w:ascii="Cascadia Mono" w:cs="Cascadia Mono" w:eastAsia="Cascadia Mono" w:hAnsi="Cascadia Mono"/>
          <w:color w:val="2B2B2B"/>
          <w:sz w:val="18"/>
          <w:szCs w:val="18"/>
        </w:rPr>
        <w:t xml:space="preserve">APEX-ICE-FAF-01 Field Asset Failure Response</w:t>
      </w:r>
      <w:r>
        <w:t xml:space="preserve"> runs the end-to-end coordination. </w:t>
      </w:r>
      <w:r>
        <w:rPr>
          <w:rFonts w:ascii="Cascadia Mono" w:cs="Cascadia Mono" w:eastAsia="Cascadia Mono" w:hAnsi="Cascadia Mono"/>
          <w:color w:val="2B2B2B"/>
          <w:sz w:val="18"/>
          <w:szCs w:val="18"/>
        </w:rPr>
        <w:t xml:space="preserve">ICE-A01 Fault Classifier</w:t>
      </w:r>
      <w:r>
        <w:t xml:space="preserve"> identifies the engine-fault code and its typical root causes. </w:t>
      </w:r>
      <w:r>
        <w:rPr>
          <w:rFonts w:ascii="Cascadia Mono" w:cs="Cascadia Mono" w:eastAsia="Cascadia Mono" w:hAnsi="Cascadia Mono"/>
          <w:color w:val="2B2B2B"/>
          <w:sz w:val="18"/>
          <w:szCs w:val="18"/>
        </w:rPr>
        <w:t xml:space="preserve">ICE-A02 Parts Availability Matcher</w:t>
      </w:r>
      <w:r>
        <w:t xml:space="preserve"> queries the parts inventory of every dealer within a 200-mile radius. </w:t>
      </w:r>
      <w:r>
        <w:rPr>
          <w:rFonts w:ascii="Cascadia Mono" w:cs="Cascadia Mono" w:eastAsia="Cascadia Mono" w:hAnsi="Cascadia Mono"/>
          <w:color w:val="2B2B2B"/>
          <w:sz w:val="18"/>
          <w:szCs w:val="18"/>
        </w:rPr>
        <w:t xml:space="preserve">ICE-A03 Technician Dispatch Recommender</w:t>
      </w:r>
      <w:r>
        <w:t xml:space="preserve"> pairs the fault with the closest certified technician who has (or can carry) the right part. The HITL card goes to the Service Dispatcher at the OEM with a complete plan: technician, parts, route, ETA, customer communication draft. Dispatch time drops from hours to minutes; first-time-fix rate improves materially.</w:t>
      </w:r>
    </w:p>
    <w:p>
      <w:pPr>
        <w:spacing w:after="140"/>
      </w:pPr>
      <w:r>
        <w:t xml:space="preserve">ICE covers the broader industrial &amp; commercial equipment space: heavy equipment (agriculture, construction, mining), aerospace &amp; defense equipment, and industrial-product manufacturers whose customers are enterprises rather than end consumers. ICE sub-variants include </w:t>
      </w:r>
      <w:r>
        <w:rPr>
          <w:rFonts w:ascii="Cascadia Mono" w:cs="Cascadia Mono" w:eastAsia="Cascadia Mono" w:hAnsi="Cascadia Mono"/>
          <w:color w:val="2B2B2B"/>
          <w:sz w:val="18"/>
          <w:szCs w:val="18"/>
        </w:rPr>
        <w:t xml:space="preserve">ICE-HVY</w:t>
      </w:r>
      <w:r>
        <w:t xml:space="preserve"> Heavy Equipment, </w:t>
      </w:r>
      <w:r>
        <w:rPr>
          <w:rFonts w:ascii="Cascadia Mono" w:cs="Cascadia Mono" w:eastAsia="Cascadia Mono" w:hAnsi="Cascadia Mono"/>
          <w:color w:val="2B2B2B"/>
          <w:sz w:val="18"/>
          <w:szCs w:val="18"/>
        </w:rPr>
        <w:t xml:space="preserve">ICE-AD</w:t>
      </w:r>
      <w:r>
        <w:t xml:space="preserve"> Aerospace &amp; Defense, and </w:t>
      </w:r>
      <w:r>
        <w:rPr>
          <w:rFonts w:ascii="Cascadia Mono" w:cs="Cascadia Mono" w:eastAsia="Cascadia Mono" w:hAnsi="Cascadia Mono"/>
          <w:color w:val="2B2B2B"/>
          <w:sz w:val="18"/>
          <w:szCs w:val="18"/>
        </w:rPr>
        <w:t xml:space="preserve">ICE-AUT</w:t>
      </w:r>
      <w:r>
        <w:t xml:space="preserve"> Automotive (for equipment OEMs whose customers are auto manufacturers; complementary to the AXLE Practice which serves auto OEMs themselves).</w:t>
      </w:r>
    </w:p>
    <w:p>
      <w:pPr>
        <w:pStyle w:val="Heading3"/>
        <w:spacing w:after="120" w:before="260"/>
      </w:pPr>
      <w:r>
        <w:rPr>
          <w:rFonts w:ascii="Aptos" w:cs="Aptos" w:eastAsia="Aptos" w:hAnsi="Aptos"/>
          <w:b/>
          <w:bCs/>
          <w:color w:val="0B111E"/>
          <w:sz w:val="24"/>
          <w:szCs w:val="24"/>
        </w:rPr>
        <w:t xml:space="preserve">8.2 Forces Driving Change</w:t>
      </w:r>
    </w:p>
    <w:p>
      <w:pPr>
        <w:pStyle w:val="ListParagraph"/>
        <w:numPr>
          <w:ilvl w:val="0"/>
          <w:numId w:val="1"/>
        </w:numPr>
        <w:spacing w:after="60"/>
      </w:pPr>
      <w:r>
        <w:rPr>
          <w:b/>
          <w:bCs/>
        </w:rPr>
        <w:t xml:space="preserve">Knowledge-worker shortage</w:t>
      </w:r>
      <w:r>
        <w:t xml:space="preserve"> — the field-service workforce is ageing; customer-site technicians carry institutional knowledge that is not documented</w:t>
      </w:r>
    </w:p>
    <w:p>
      <w:pPr>
        <w:pStyle w:val="ListParagraph"/>
        <w:numPr>
          <w:ilvl w:val="0"/>
          <w:numId w:val="1"/>
        </w:numPr>
        <w:spacing w:after="60"/>
      </w:pPr>
      <w:r>
        <w:rPr>
          <w:b/>
          <w:bCs/>
        </w:rPr>
        <w:t xml:space="preserve">Customer-experience expectations</w:t>
      </w:r>
      <w:r>
        <w:t xml:space="preserve"> — uptime has become an explicit commercial promise; "as-a-service" business models (Equipment-as-a-Service, Power-by-the-Hour) make uptime a directly-billed outcome</w:t>
      </w:r>
    </w:p>
    <w:p>
      <w:pPr>
        <w:pStyle w:val="ListParagraph"/>
        <w:numPr>
          <w:ilvl w:val="0"/>
          <w:numId w:val="1"/>
        </w:numPr>
        <w:spacing w:after="60"/>
      </w:pPr>
      <w:r>
        <w:rPr>
          <w:b/>
          <w:bCs/>
        </w:rPr>
        <w:t xml:space="preserve">Regulatory acceleration</w:t>
      </w:r>
      <w:r>
        <w:t xml:space="preserve"> — safety and emissions regulations on industrial equipment; warranty-and-recall compliance</w:t>
      </w:r>
    </w:p>
    <w:p>
      <w:pPr>
        <w:pStyle w:val="ListParagraph"/>
        <w:numPr>
          <w:ilvl w:val="0"/>
          <w:numId w:val="1"/>
        </w:numPr>
        <w:spacing w:after="60"/>
      </w:pPr>
      <w:r>
        <w:rPr>
          <w:b/>
          <w:bCs/>
        </w:rPr>
        <w:t xml:space="preserve">Decision-velocity gap</w:t>
      </w:r>
      <w:r>
        <w:t xml:space="preserve"> — field-asset failures have narrow time-to-repair windows that human coordination cannot meet at scale</w:t>
      </w:r>
    </w:p>
    <w:p>
      <w:pPr>
        <w:pStyle w:val="Heading3"/>
        <w:spacing w:after="120" w:before="260"/>
      </w:pPr>
      <w:r>
        <w:rPr>
          <w:rFonts w:ascii="Aptos" w:cs="Aptos" w:eastAsia="Aptos" w:hAnsi="Aptos"/>
          <w:b/>
          <w:bCs/>
          <w:color w:val="0B111E"/>
          <w:sz w:val="24"/>
          <w:szCs w:val="24"/>
        </w:rPr>
        <w:t xml:space="preserve">8.3 The Human Reality</w:t>
      </w:r>
    </w:p>
    <w:p>
      <w:pPr>
        <w:spacing w:after="140"/>
      </w:pPr>
      <w:r>
        <w:t xml:space="preserve">ICE personas: Service Dispatcher (primary), Field Service Technician (secondary operator + primary knowledge-source), Parts Planner, Warranty Analyst, Contract Renewal Manager (for as-a-service contracts), Safety &amp; Compliance Inspector.</w:t>
      </w:r>
    </w:p>
    <w:p>
      <w:pPr>
        <w:pStyle w:val="Heading3"/>
        <w:spacing w:after="120" w:before="260"/>
      </w:pPr>
      <w:r>
        <w:rPr>
          <w:rFonts w:ascii="Aptos" w:cs="Aptos" w:eastAsia="Aptos" w:hAnsi="Aptos"/>
          <w:b/>
          <w:bCs/>
          <w:color w:val="0B111E"/>
          <w:sz w:val="24"/>
          <w:szCs w:val="24"/>
        </w:rPr>
        <w:t xml:space="preserve">8.4 KPI Dashboard</w:t>
      </w:r>
    </w:p>
    <w:p>
      <w:pPr>
        <w:pStyle w:val="ListParagraph"/>
        <w:numPr>
          <w:ilvl w:val="0"/>
          <w:numId w:val="1"/>
        </w:numPr>
        <w:spacing w:after="60"/>
      </w:pPr>
      <w:r>
        <w:rPr>
          <w:b/>
          <w:bCs/>
        </w:rPr>
        <w:t xml:space="preserve">Dispatch plan time, min</w:t>
      </w:r>
      <w:r>
        <w:t xml:space="preserve"> — target ≤ 15 from incident to plan</w:t>
      </w:r>
    </w:p>
    <w:p>
      <w:pPr>
        <w:pStyle w:val="ListParagraph"/>
        <w:numPr>
          <w:ilvl w:val="0"/>
          <w:numId w:val="1"/>
        </w:numPr>
        <w:spacing w:after="60"/>
      </w:pPr>
      <w:r>
        <w:rPr>
          <w:b/>
          <w:bCs/>
        </w:rPr>
        <w:t xml:space="preserve">First-time-fix rate, %</w:t>
      </w:r>
      <w:r>
        <w:t xml:space="preserve"> — target ≥ 85</w:t>
      </w:r>
    </w:p>
    <w:p>
      <w:pPr>
        <w:pStyle w:val="ListParagraph"/>
        <w:numPr>
          <w:ilvl w:val="0"/>
          <w:numId w:val="1"/>
        </w:numPr>
        <w:spacing w:after="60"/>
      </w:pPr>
      <w:r>
        <w:rPr>
          <w:b/>
          <w:bCs/>
        </w:rPr>
        <w:t xml:space="preserve">Parts availability match rate, %</w:t>
      </w:r>
      <w:r>
        <w:t xml:space="preserve"> — target ≥ 95 within 24h window</w:t>
      </w:r>
    </w:p>
    <w:p>
      <w:pPr>
        <w:pStyle w:val="ListParagraph"/>
        <w:numPr>
          <w:ilvl w:val="0"/>
          <w:numId w:val="1"/>
        </w:numPr>
        <w:spacing w:after="60"/>
      </w:pPr>
      <w:r>
        <w:rPr>
          <w:b/>
          <w:bCs/>
        </w:rPr>
        <w:t xml:space="preserve">Warranty claim pattern catch rate, %</w:t>
      </w:r>
      <w:r>
        <w:t xml:space="preserve"> — target ≥ 90 on material patterns</w:t>
      </w:r>
    </w:p>
    <w:p>
      <w:pPr>
        <w:pStyle w:val="ListParagraph"/>
        <w:numPr>
          <w:ilvl w:val="0"/>
          <w:numId w:val="1"/>
        </w:numPr>
        <w:spacing w:after="60"/>
      </w:pPr>
      <w:r>
        <w:rPr>
          <w:b/>
          <w:bCs/>
        </w:rPr>
        <w:t xml:space="preserve">As-a-service utilisation, %</w:t>
      </w:r>
      <w:r>
        <w:t xml:space="preserve"> — target maintain ≥ 85 across fleet</w:t>
      </w:r>
    </w:p>
    <w:p>
      <w:pPr>
        <w:pStyle w:val="ListParagraph"/>
        <w:numPr>
          <w:ilvl w:val="0"/>
          <w:numId w:val="1"/>
        </w:numPr>
        <w:spacing w:after="60"/>
      </w:pPr>
      <w:r>
        <w:rPr>
          <w:b/>
          <w:bCs/>
        </w:rPr>
        <w:t xml:space="preserve">Contract renewal rate, %</w:t>
      </w:r>
      <w:r>
        <w:t xml:space="preserve"> — target proactively intervene on 100% of at-risk</w:t>
      </w:r>
    </w:p>
    <w:p>
      <w:pPr>
        <w:pStyle w:val="Heading3"/>
        <w:spacing w:after="120" w:before="260"/>
      </w:pPr>
      <w:r>
        <w:rPr>
          <w:rFonts w:ascii="Aptos" w:cs="Aptos" w:eastAsia="Aptos" w:hAnsi="Aptos"/>
          <w:b/>
          <w:bCs/>
          <w:color w:val="0B111E"/>
          <w:sz w:val="24"/>
          <w:szCs w:val="24"/>
        </w:rPr>
        <w:t xml:space="preserve">8.5 Solution Portfolio &amp; Architecture</w:t>
      </w:r>
    </w:p>
    <w:p>
      <w:pPr>
        <w:spacing w:after="140"/>
      </w:pPr>
      <w:r>
        <w:t xml:space="preserve">Six services in the ICE Practice (active build; GA target Q3 2026).</w:t>
      </w:r>
    </w:p>
    <w:p>
      <w:pPr>
        <w:pStyle w:val="Heading4"/>
        <w:spacing w:after="100" w:before="220"/>
      </w:pPr>
      <w:r>
        <w:rPr>
          <w:rFonts w:ascii="Aptos" w:cs="Aptos" w:eastAsia="Aptos" w:hAnsi="Aptos"/>
          <w:b/>
          <w:bCs/>
          <w:color w:val="0B111E"/>
          <w:sz w:val="20"/>
          <w:szCs w:val="20"/>
        </w:rPr>
        <w:t xml:space="preserve">Field Asset Failure Response — APEX-ICE-FAF-01</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w:t>
      </w:r>
    </w:p>
    <w:p>
      <w:pPr>
        <w:spacing w:after="140"/>
      </w:pPr>
      <w:r>
        <w:t xml:space="preserve">Described above. Bundles ICE-A01/A02/A03 + AXLECML.ASSET_HEALTH (shared) + ERCML.WORK_ORDER (shared) + ORCH-50.</w:t>
      </w:r>
    </w:p>
    <w:p>
      <w:pPr>
        <w:pStyle w:val="Heading4"/>
        <w:spacing w:after="100" w:before="220"/>
      </w:pPr>
      <w:r>
        <w:rPr>
          <w:rFonts w:ascii="Aptos" w:cs="Aptos" w:eastAsia="Aptos" w:hAnsi="Aptos"/>
          <w:b/>
          <w:bCs/>
          <w:color w:val="0B111E"/>
          <w:sz w:val="20"/>
          <w:szCs w:val="20"/>
        </w:rPr>
        <w:t xml:space="preserve">Spare-Parts Availability Triage — APEX-ICE-SPA-02</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Continuous cross-depot parts availability optimisation. Proactive transfers, safety-stock rebalancing, obsolete-parts flagging. Parts Planner primary.</w:t>
      </w:r>
    </w:p>
    <w:p>
      <w:pPr>
        <w:pStyle w:val="Heading4"/>
        <w:spacing w:after="100" w:before="220"/>
      </w:pPr>
      <w:r>
        <w:rPr>
          <w:rFonts w:ascii="Aptos" w:cs="Aptos" w:eastAsia="Aptos" w:hAnsi="Aptos"/>
          <w:b/>
          <w:bCs/>
          <w:color w:val="0B111E"/>
          <w:sz w:val="20"/>
          <w:szCs w:val="20"/>
        </w:rPr>
        <w:t xml:space="preserve">Warranty Claim Pattern Analysis — APEX-ICE-WCP-03</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 → ESCALATION</w:t>
      </w:r>
    </w:p>
    <w:p>
      <w:pPr>
        <w:spacing w:after="140"/>
      </w:pPr>
      <w:r>
        <w:t xml:space="preserve">Cross-product warranty-pattern detection: defect clusters surfaced before they become recall-events. Warranty Analyst primary; escalates to Engineering when a pattern crosses the material threshold.</w:t>
      </w:r>
    </w:p>
    <w:p>
      <w:pPr>
        <w:pStyle w:val="Heading4"/>
        <w:spacing w:after="100" w:before="220"/>
      </w:pPr>
      <w:r>
        <w:rPr>
          <w:rFonts w:ascii="Aptos" w:cs="Aptos" w:eastAsia="Aptos" w:hAnsi="Aptos"/>
          <w:b/>
          <w:bCs/>
          <w:color w:val="0B111E"/>
          <w:sz w:val="20"/>
          <w:szCs w:val="20"/>
        </w:rPr>
        <w:t xml:space="preserve">Contract-Renewal Revenue Protection — APEX-ICE-CRV-04</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w:t>
      </w:r>
    </w:p>
    <w:p>
      <w:pPr>
        <w:spacing w:after="140"/>
      </w:pPr>
      <w:r>
        <w:t xml:space="preserve">As-a-service and extended-warranty contract renewal prediction; proactive intervention for at-risk renewals. Contract Renewal Manager primary.</w:t>
      </w:r>
    </w:p>
    <w:p>
      <w:pPr>
        <w:pStyle w:val="Heading4"/>
        <w:spacing w:after="100" w:before="220"/>
      </w:pPr>
      <w:r>
        <w:rPr>
          <w:rFonts w:ascii="Aptos" w:cs="Aptos" w:eastAsia="Aptos" w:hAnsi="Aptos"/>
          <w:b/>
          <w:bCs/>
          <w:color w:val="0B111E"/>
          <w:sz w:val="20"/>
          <w:szCs w:val="20"/>
        </w:rPr>
        <w:t xml:space="preserve">As-a-Service Utilisation Optimisation — APEX-ICE-AAU-05</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ACK_ONLY</w:t>
      </w:r>
    </w:p>
    <w:p>
      <w:pPr>
        <w:spacing w:after="140"/>
      </w:pPr>
      <w:r>
        <w:t xml:space="preserve">For OEMs offering equipment-as-a-service (a growing commercial model), continuous fleet utilisation optimisation across customer sites. Balances customer experience with cost recovery.</w:t>
      </w:r>
    </w:p>
    <w:p>
      <w:pPr>
        <w:pStyle w:val="Heading4"/>
        <w:spacing w:after="100" w:before="220"/>
      </w:pPr>
      <w:r>
        <w:rPr>
          <w:rFonts w:ascii="Aptos" w:cs="Aptos" w:eastAsia="Aptos" w:hAnsi="Aptos"/>
          <w:b/>
          <w:bCs/>
          <w:color w:val="0B111E"/>
          <w:sz w:val="20"/>
          <w:szCs w:val="20"/>
        </w:rPr>
        <w:t xml:space="preserve">Compliance Inspection Response — APEX-ICE-CIR-06</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 → ESCALATION</w:t>
      </w:r>
    </w:p>
    <w:p>
      <w:pPr>
        <w:spacing w:after="140"/>
      </w:pPr>
      <w:r>
        <w:t xml:space="preserve">Safety, emissions, and other regulated inspection events. Compliance Inspector primary; triage and remediation coordination.</w:t>
      </w:r>
    </w:p>
    <w:p>
      <w:pPr>
        <w:pStyle w:val="Heading3"/>
        <w:spacing w:after="120" w:before="260"/>
      </w:pPr>
      <w:r>
        <w:rPr>
          <w:rFonts w:ascii="Aptos" w:cs="Aptos" w:eastAsia="Aptos" w:hAnsi="Aptos"/>
          <w:b/>
          <w:bCs/>
          <w:color w:val="0B111E"/>
          <w:sz w:val="24"/>
          <w:szCs w:val="24"/>
        </w:rPr>
        <w:t xml:space="preserve">8.6 Business Case Highlights (ICE)</w:t>
      </w:r>
    </w:p>
    <w:p>
      <w:pPr>
        <w:spacing w:after="140"/>
      </w:pPr>
      <w:r>
        <w:t xml:space="preserve">Typical Wave 1 financials (heavy-equipment OEM with dealer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FAF-01 Field Asset Failure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$4–10M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First-time-fix improvement; uptime-SLA credit savings; customer retention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SPA-02 Spare-Parts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Inventory-holding cost reduction; lost-sale recovery on obsolete-parts flagging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WCP-03 Warranty 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$3–7M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Pre-recall pattern catch; warranty-reserve releases</w:t>
            </w:r>
          </w:p>
        </w:tc>
      </w:tr>
    </w:tbl>
    <w:p>
      <w:pPr>
        <w:spacing w:after="120"/>
      </w:pPr>
      <w:r>
        <w:t xml:space="preserve"/>
      </w:r>
    </w:p>
    <w:p>
      <w:pPr>
        <w:spacing w:after="140"/>
      </w:pPr>
      <w:r>
        <w:t xml:space="preserve">As-a-service business models (EaaS, Power-by-the-Hour) amplify the case further — each additional percent of fleet utilisation translates directly to contract-revenue retention.</w:t>
      </w:r>
    </w:p>
    <w:p>
      <w:pPr>
        <w:spacing w:after="140"/>
      </w:pPr>
      <w:r>
        <w:t xml:space="preserve">Total Wave 1 annualised: </w:t>
      </w:r>
      <w:r>
        <w:rPr>
          <w:b/>
          <w:bCs/>
        </w:rPr>
        <w:t xml:space="preserve">$9–22M</w:t>
      </w:r>
      <w:r>
        <w:t xml:space="preserve"> against </w:t>
      </w:r>
      <w:r>
        <w:rPr>
          <w:b/>
          <w:bCs/>
        </w:rPr>
        <w:t xml:space="preserve">$5–8M</w:t>
      </w:r>
      <w:r>
        <w:t xml:space="preserve"> investment. ICE often shows the strongest per-service payback in the APEX catalogue when the client has meaningful XaaS revenue exposure.</w:t>
      </w:r>
    </w:p>
    <w:p>
      <w:pPr>
        <w:pStyle w:val="Heading3"/>
        <w:spacing w:after="120" w:before="260"/>
      </w:pPr>
      <w:r>
        <w:rPr>
          <w:rFonts w:ascii="Aptos" w:cs="Aptos" w:eastAsia="Aptos" w:hAnsi="Aptos"/>
          <w:b/>
          <w:bCs/>
          <w:color w:val="0B111E"/>
          <w:sz w:val="24"/>
          <w:szCs w:val="24"/>
        </w:rPr>
        <w:t xml:space="preserve">8.7 Implementation Roadmap (ICE)</w:t>
      </w:r>
    </w:p>
    <w:p>
      <w:pPr>
        <w:spacing w:after="140"/>
      </w:pPr>
      <w:r>
        <w:t xml:space="preserve">Typical ICE engagements start with FAF-01 + SPA-02 (the field-service core) in Wave 1; WCP-03 and AAU-05 in Wave 2; CRV-04 and CIR-06 in Wave 3.</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8A: SOR Integration &amp; Data Flow Atlas</w:t>
      </w:r>
    </w:p>
    <w:p>
      <w:pPr>
        <w:spacing w:after="140"/>
      </w:pPr>
      <w:r>
        <w:t xml:space="preserve">Every APEX service's quality is bounded by the quality of its upstream data. This chapter is the platform-level atlas of Systems of Record — what they are, how their data shape looks at the source, which Fabric integration pattern APEX uses for each, how the data lands in Bronze, how it canonicalises into Silver, how it materialises into Gold, and which agents ultimately consume it. It is the single most-referenced chapter for Practice-delivery teams during the first six weeks of any new engagement.</w:t>
      </w:r>
    </w:p>
    <w:p>
      <w:pPr>
        <w:spacing w:after="140"/>
      </w:pPr>
      <w:r>
        <w:t xml:space="preserve">The atlas is organised in four layers: the </w:t>
      </w:r>
      <w:r>
        <w:rPr>
          <w:b/>
          <w:bCs/>
        </w:rPr>
        <w:t xml:space="preserve">integration pattern taxonomy</w:t>
      </w:r>
      <w:r>
        <w:t xml:space="preserve"> (§8A.1 – 8A.4) common to all SORs, the </w:t>
      </w:r>
      <w:r>
        <w:rPr>
          <w:b/>
          <w:bCs/>
        </w:rPr>
        <w:t xml:space="preserve">per-Practice SOR atlas</w:t>
      </w:r>
      <w:r>
        <w:t xml:space="preserve"> (§8A.5 – 8A.11) covering each Practice's specific sources, </w:t>
      </w:r>
      <w:r>
        <w:rPr>
          <w:b/>
          <w:bCs/>
        </w:rPr>
        <w:t xml:space="preserve">cross-Practice SOR patterns</w:t>
      </w:r>
      <w:r>
        <w:t xml:space="preserve"> (§8A.12) where one SOR class serves multiple Practices, and the </w:t>
      </w:r>
      <w:r>
        <w:rPr>
          <w:b/>
          <w:bCs/>
        </w:rPr>
        <w:t xml:space="preserve">agent read-path</w:t>
      </w:r>
      <w:r>
        <w:t xml:space="preserve"> architecture (§8A.13 – 8A.15) that shows how integration decisions ripple forward into agent latency and quality.</w:t>
      </w:r>
    </w:p>
    <w:p>
      <w:pPr>
        <w:pStyle w:val="Heading3"/>
        <w:spacing w:after="120" w:before="260"/>
      </w:pPr>
      <w:r>
        <w:rPr>
          <w:rFonts w:ascii="Aptos" w:cs="Aptos" w:eastAsia="Aptos" w:hAnsi="Aptos"/>
          <w:b/>
          <w:bCs/>
          <w:color w:val="0B111E"/>
          <w:sz w:val="24"/>
          <w:szCs w:val="24"/>
        </w:rPr>
        <w:t xml:space="preserve">8A.1 Fabric Integration Pattern Taxonomy</w:t>
      </w:r>
    </w:p>
    <w:p>
      <w:pPr>
        <w:spacing w:after="140"/>
      </w:pPr>
      <w:r>
        <w:t xml:space="preserve">APEX uses five distinct Fabric integration patterns, each suited to a specific SOR emission profile. A sixth mechanism — OneLake shortcuts — is not an integration pattern but a cross-workspace reuse mechanism that overlays the other five.</w:t>
      </w:r>
    </w:p>
    <w:p>
      <w:pPr>
        <w:pStyle w:val="Heading4"/>
        <w:spacing w:after="100" w:before="220"/>
      </w:pPr>
      <w:r>
        <w:rPr>
          <w:rFonts w:ascii="Aptos" w:cs="Aptos" w:eastAsia="Aptos" w:hAnsi="Aptos"/>
          <w:b/>
          <w:bCs/>
          <w:color w:val="0B111E"/>
          <w:sz w:val="20"/>
          <w:szCs w:val="20"/>
        </w:rPr>
        <w:t xml:space="preserve">Pattern 1 — Mirrored Database (CDC)</w:t>
      </w:r>
    </w:p>
    <w:p>
      <w:pPr>
        <w:spacing w:after="140"/>
      </w:pPr>
      <w:r>
        <w:rPr>
          <w:b/>
          <w:bCs/>
        </w:rPr>
        <w:t xml:space="preserve">What it is.</w:t>
      </w:r>
      <w:r>
        <w:t xml:space="preserve"> Fabric's change-data-capture mirror into OneLake. Supported sources: SQL Server (on-prem or Azure SQL), Cosmos DB, Snowflake, PostgreSQL (preview), and Azure Databricks. Fabric manages the CDC pipeline; changes land as Delta in Bronze automatically.</w:t>
      </w:r>
    </w:p>
    <w:p>
      <w:pPr>
        <w:spacing w:after="140"/>
      </w:pPr>
      <w:r>
        <w:rPr>
          <w:b/>
          <w:bCs/>
        </w:rPr>
        <w:t xml:space="preserve">When to use.</w:t>
      </w:r>
      <w:r>
        <w:t xml:space="preserve"> Transactional SORs with native CDC capability. No custom integration code; no ETL job authoring. The preferred path for Manhattan WMS, SAP ISU, Epic Clarity/Caboodle, and any other enterprise SOR backed by SQL Server or equivalent.</w:t>
      </w:r>
    </w:p>
    <w:p>
      <w:pPr>
        <w:spacing w:after="140"/>
      </w:pPr>
      <w:r>
        <w:rPr>
          <w:b/>
          <w:bCs/>
        </w:rPr>
        <w:t xml:space="preserve">Latency.</w:t>
      </w:r>
      <w:r>
        <w:t xml:space="preserve"> Typically 60–180 seconds from source commit to Bronze Delta row. Under heavy load, up to 10 minutes. SLO-committable for decision services tolerating ~3-minute decision latency.</w:t>
      </w:r>
    </w:p>
    <w:p>
      <w:pPr>
        <w:spacing w:after="140"/>
      </w:pPr>
      <w:r>
        <w:rPr>
          <w:b/>
          <w:bCs/>
        </w:rPr>
        <w:t xml:space="preserve">Cost model.</w:t>
      </w:r>
      <w:r>
        <w:t xml:space="preserve"> Billed against Fabric capacity. One mirror per source database; scaling is automatic within the capacity envelope.</w:t>
      </w:r>
    </w:p>
    <w:p>
      <w:pPr>
        <w:spacing w:after="140"/>
      </w:pPr>
      <w:r>
        <w:rPr>
          <w:b/>
          <w:bCs/>
        </w:rPr>
        <w:t xml:space="preserve">Gotchas.</w:t>
      </w:r>
      <w:r>
        <w:t xml:space="preserve"> Schema changes on the source require re-mirroring; the Bronze table briefly drifts while the mirror reconciles. Plan for 30-minute change-window after any source DDL.</w:t>
      </w:r>
    </w:p>
    <w:p>
      <w:pPr>
        <w:pStyle w:val="Heading4"/>
        <w:spacing w:after="100" w:before="220"/>
      </w:pPr>
      <w:r>
        <w:rPr>
          <w:rFonts w:ascii="Aptos" w:cs="Aptos" w:eastAsia="Aptos" w:hAnsi="Aptos"/>
          <w:b/>
          <w:bCs/>
          <w:color w:val="0B111E"/>
          <w:sz w:val="20"/>
          <w:szCs w:val="20"/>
        </w:rPr>
        <w:t xml:space="preserve">Pattern 2 — Eventstream (Real-Time)</w:t>
      </w:r>
    </w:p>
    <w:p>
      <w:pPr>
        <w:spacing w:after="140"/>
      </w:pPr>
      <w:r>
        <w:rPr>
          <w:b/>
          <w:bCs/>
        </w:rPr>
        <w:t xml:space="preserve">What it is.</w:t>
      </w:r>
      <w:r>
        <w:t xml:space="preserve"> Fabric's streaming-ingest surface. Event sources: Azure Event Hubs, Kafka (Confluent, MSK, self-managed), Azure IoT Hub, Custom Endpoint (HTTP/WebSocket), Azure Service Bus, and AMQP-compatible brokers. Sinks include Bronze Delta tables and live KQL databases.</w:t>
      </w:r>
    </w:p>
    <w:p>
      <w:pPr>
        <w:spacing w:after="140"/>
      </w:pPr>
      <w:r>
        <w:rPr>
          <w:b/>
          <w:bCs/>
        </w:rPr>
        <w:t xml:space="preserve">When to use.</w:t>
      </w:r>
      <w:r>
        <w:t xml:space="preserve"> SORs that natively emit event streams — telemetry (Monnit IoT, SCADA, production events), POS ring streams, Epic ADT HL7 FHIR feeds, Plex MES production events. Also the preferred path for webhook-style pushes from SaaS SORs.</w:t>
      </w:r>
    </w:p>
    <w:p>
      <w:pPr>
        <w:spacing w:after="140"/>
      </w:pPr>
      <w:r>
        <w:rPr>
          <w:b/>
          <w:bCs/>
        </w:rPr>
        <w:t xml:space="preserve">Latency.</w:t>
      </w:r>
      <w:r>
        <w:t xml:space="preserve"> 30-second floor to Bronze Delta (the minimum Delta-sink cadence). For sub-30-second requirements, Eventstream sinks to a KQL database instead, with sub-second latency.</w:t>
      </w:r>
    </w:p>
    <w:p>
      <w:pPr>
        <w:spacing w:after="140"/>
      </w:pPr>
      <w:r>
        <w:rPr>
          <w:b/>
          <w:bCs/>
        </w:rPr>
        <w:t xml:space="preserve">Cost model.</w:t>
      </w:r>
      <w:r>
        <w:t xml:space="preserve"> Billed against Fabric capacity + Event Hubs/Kafka consumption on the source side.</w:t>
      </w:r>
    </w:p>
    <w:p>
      <w:pPr>
        <w:spacing w:after="140"/>
      </w:pPr>
      <w:r>
        <w:rPr>
          <w:b/>
          <w:bCs/>
        </w:rPr>
        <w:t xml:space="preserve">Gotchas.</w:t>
      </w:r>
      <w:r>
        <w:t xml:space="preserve"> Delta-sink throughput is bounded; for &gt;100K events/sec, parallel eventstreams are required. Schema-change handling is less forgiving than Mirrored DB — plan for schema registry discipline on the source.</w:t>
      </w:r>
    </w:p>
    <w:p>
      <w:pPr>
        <w:pStyle w:val="Heading4"/>
        <w:spacing w:after="100" w:before="220"/>
      </w:pPr>
      <w:r>
        <w:rPr>
          <w:rFonts w:ascii="Aptos" w:cs="Aptos" w:eastAsia="Aptos" w:hAnsi="Aptos"/>
          <w:b/>
          <w:bCs/>
          <w:color w:val="0B111E"/>
          <w:sz w:val="20"/>
          <w:szCs w:val="20"/>
        </w:rPr>
        <w:t xml:space="preserve">Pattern 3 — Data Pipeline (Scheduled Batch)</w:t>
      </w:r>
    </w:p>
    <w:p>
      <w:pPr>
        <w:spacing w:after="140"/>
      </w:pPr>
      <w:r>
        <w:rPr>
          <w:b/>
          <w:bCs/>
        </w:rPr>
        <w:t xml:space="preserve">What it is.</w:t>
      </w:r>
      <w:r>
        <w:t xml:space="preserve"> Fabric's scheduled ETL runner. Think Azure Data Factory inside Fabric. Runs Copy Activities, notebook activities, and orchestrated flows on cron or trigger.</w:t>
      </w:r>
    </w:p>
    <w:p>
      <w:pPr>
        <w:spacing w:after="140"/>
      </w:pPr>
      <w:r>
        <w:rPr>
          <w:b/>
          <w:bCs/>
        </w:rPr>
        <w:t xml:space="preserve">When to use.</w:t>
      </w:r>
      <w:r>
        <w:t xml:space="preserve"> Batch-only SORs — nightly exports, EDI interchange (856, 850, 810), SFTP landings, CSV drops on blob storage, legacy mainframe extracts. Also used for scheduled refresh of Gold views.</w:t>
      </w:r>
    </w:p>
    <w:p>
      <w:pPr>
        <w:spacing w:after="140"/>
      </w:pPr>
      <w:r>
        <w:rPr>
          <w:b/>
          <w:bCs/>
        </w:rPr>
        <w:t xml:space="preserve">Latency.</w:t>
      </w:r>
      <w:r>
        <w:t xml:space="preserve"> Bounded by the schedule. Typical patterns: hourly (for near-real-time analogs), daily (for reporting-adjacent data), weekly (for reference data). Minimum cadence 15 minutes.</w:t>
      </w:r>
    </w:p>
    <w:p>
      <w:pPr>
        <w:spacing w:after="140"/>
      </w:pPr>
      <w:r>
        <w:rPr>
          <w:b/>
          <w:bCs/>
        </w:rPr>
        <w:t xml:space="preserve">Cost model.</w:t>
      </w:r>
      <w:r>
        <w:t xml:space="preserve"> Per-activity + compute; generally the cheapest pattern for low-volume data.</w:t>
      </w:r>
    </w:p>
    <w:p>
      <w:pPr>
        <w:spacing w:after="140"/>
      </w:pPr>
      <w:r>
        <w:rPr>
          <w:b/>
          <w:bCs/>
        </w:rPr>
        <w:t xml:space="preserve">Gotchas.</w:t>
      </w:r>
      <w:r>
        <w:t xml:space="preserve"> Late-arriving data handling needs explicit design. If a nightly export drops late, downstream Silver transforms should not silently miss the window.</w:t>
      </w:r>
    </w:p>
    <w:p>
      <w:pPr>
        <w:pStyle w:val="Heading4"/>
        <w:spacing w:after="100" w:before="220"/>
      </w:pPr>
      <w:r>
        <w:rPr>
          <w:rFonts w:ascii="Aptos" w:cs="Aptos" w:eastAsia="Aptos" w:hAnsi="Aptos"/>
          <w:b/>
          <w:bCs/>
          <w:color w:val="0B111E"/>
          <w:sz w:val="20"/>
          <w:szCs w:val="20"/>
        </w:rPr>
        <w:t xml:space="preserve">Pattern 4 — Dataflow Gen2 (REST Pull)</w:t>
      </w:r>
    </w:p>
    <w:p>
      <w:pPr>
        <w:spacing w:after="140"/>
      </w:pPr>
      <w:r>
        <w:rPr>
          <w:b/>
          <w:bCs/>
        </w:rPr>
        <w:t xml:space="preserve">What it is.</w:t>
      </w:r>
      <w:r>
        <w:t xml:space="preserve"> Fabric's low-code pull-style data integration. Supports REST APIs, OData, SaaS connectors (Salesforce, ServiceNow, Coupa, Workday), and file-based sources.</w:t>
      </w:r>
    </w:p>
    <w:p>
      <w:pPr>
        <w:spacing w:after="140"/>
      </w:pPr>
      <w:r>
        <w:rPr>
          <w:b/>
          <w:bCs/>
        </w:rPr>
        <w:t xml:space="preserve">When to use.</w:t>
      </w:r>
      <w:r>
        <w:t xml:space="preserve"> SaaS SORs that expose REST endpoints rather than CDC — ServiceNow incident data, Coupa procurement, public feeds (FDA, FERC, ClinicalTrials.gov), ESL-gateway vendor APIs.</w:t>
      </w:r>
    </w:p>
    <w:p>
      <w:pPr>
        <w:spacing w:after="140"/>
      </w:pPr>
      <w:r>
        <w:rPr>
          <w:b/>
          <w:bCs/>
        </w:rPr>
        <w:t xml:space="preserve">Latency.</w:t>
      </w:r>
      <w:r>
        <w:t xml:space="preserve"> Bounded by scheduled refresh; typical cadence 15 minutes to hourly. Very rarely sub-5-minute.</w:t>
      </w:r>
    </w:p>
    <w:p>
      <w:pPr>
        <w:spacing w:after="140"/>
      </w:pPr>
      <w:r>
        <w:rPr>
          <w:b/>
          <w:bCs/>
        </w:rPr>
        <w:t xml:space="preserve">Cost model.</w:t>
      </w:r>
      <w:r>
        <w:t xml:space="preserve"> Per-refresh + compute; moderate cost.</w:t>
      </w:r>
    </w:p>
    <w:p>
      <w:pPr>
        <w:spacing w:after="140"/>
      </w:pPr>
      <w:r>
        <w:rPr>
          <w:b/>
          <w:bCs/>
        </w:rPr>
        <w:t xml:space="preserve">Gotchas.</w:t>
      </w:r>
      <w:r>
        <w:t xml:space="preserve"> Rate-limited APIs need backoff-aware implementations. Pagination handling for large pulls is a per-connector concern.</w:t>
      </w:r>
    </w:p>
    <w:p>
      <w:pPr>
        <w:pStyle w:val="Heading4"/>
        <w:spacing w:after="100" w:before="220"/>
      </w:pPr>
      <w:r>
        <w:rPr>
          <w:rFonts w:ascii="Aptos" w:cs="Aptos" w:eastAsia="Aptos" w:hAnsi="Aptos"/>
          <w:b/>
          <w:bCs/>
          <w:color w:val="0B111E"/>
          <w:sz w:val="20"/>
          <w:szCs w:val="20"/>
        </w:rPr>
        <w:t xml:space="preserve">Pattern 5 — Webhook / Custom Endpoint (Push Ingest)</w:t>
      </w:r>
    </w:p>
    <w:p>
      <w:pPr>
        <w:spacing w:after="140"/>
      </w:pPr>
      <w:r>
        <w:rPr>
          <w:b/>
          <w:bCs/>
        </w:rPr>
        <w:t xml:space="preserve">What it is.</w:t>
      </w:r>
      <w:r>
        <w:t xml:space="preserve"> A Fabric Custom Endpoint (HTTPS) that receives pushed payloads from SORs that only support outbound webhooks. Sinks to Eventstream or Delta directly.</w:t>
      </w:r>
    </w:p>
    <w:p>
      <w:pPr>
        <w:spacing w:after="140"/>
      </w:pPr>
      <w:r>
        <w:rPr>
          <w:b/>
          <w:bCs/>
        </w:rPr>
        <w:t xml:space="preserve">When to use.</w:t>
      </w:r>
      <w:r>
        <w:t xml:space="preserve"> Incident portals (customer incident reporting), consent-management systems, third-party alert feeds, SaaS webhooks (e.g., GitHub, Salesforce push notifications).</w:t>
      </w:r>
    </w:p>
    <w:p>
      <w:pPr>
        <w:spacing w:after="140"/>
      </w:pPr>
      <w:r>
        <w:rPr>
          <w:b/>
          <w:bCs/>
        </w:rPr>
        <w:t xml:space="preserve">Latency.</w:t>
      </w:r>
      <w:r>
        <w:t xml:space="preserve"> Sub-second to Bronze when paired with Eventstream.</w:t>
      </w:r>
    </w:p>
    <w:p>
      <w:pPr>
        <w:spacing w:after="140"/>
      </w:pPr>
      <w:r>
        <w:rPr>
          <w:b/>
          <w:bCs/>
        </w:rPr>
        <w:t xml:space="preserve">Cost model.</w:t>
      </w:r>
      <w:r>
        <w:t xml:space="preserve"> Per-invocation; scales with webhook volume.</w:t>
      </w:r>
    </w:p>
    <w:p>
      <w:pPr>
        <w:spacing w:after="140"/>
      </w:pPr>
      <w:r>
        <w:rPr>
          <w:b/>
          <w:bCs/>
        </w:rPr>
        <w:t xml:space="preserve">Gotchas.</w:t>
      </w:r>
      <w:r>
        <w:t xml:space="preserve"> Webhook endpoint must be hardened against replay attacks and source-spoofing. APEX convention: every webhook endpoint requires a shared-secret header or mutual-TLS auth, validated at ingest time.</w:t>
      </w:r>
    </w:p>
    <w:p>
      <w:pPr>
        <w:pStyle w:val="Heading4"/>
        <w:spacing w:after="100" w:before="220"/>
      </w:pPr>
      <w:r>
        <w:rPr>
          <w:rFonts w:ascii="Aptos" w:cs="Aptos" w:eastAsia="Aptos" w:hAnsi="Aptos"/>
          <w:b/>
          <w:bCs/>
          <w:color w:val="0B111E"/>
          <w:sz w:val="20"/>
          <w:szCs w:val="20"/>
        </w:rPr>
        <w:t xml:space="preserve">Overlay — OneLake Shortcuts</w:t>
      </w:r>
    </w:p>
    <w:p>
      <w:pPr>
        <w:spacing w:after="140"/>
      </w:pPr>
      <w:r>
        <w:t xml:space="preserve">Not an integration pattern per se. OneLake shortcuts allow a tenant workspace to reference a Practice workspace's reference tables or a sister tenant's shared data without copying. Used extensively for cross-Practice schema sharing (ASSET_HEALTH shared between AXLE and ER; LOT_TRACE shared between RC and HLS pharmacy services).</w:t>
      </w:r>
    </w:p>
    <w:p>
      <w:pPr>
        <w:pStyle w:val="Heading3"/>
        <w:spacing w:after="120" w:before="260"/>
      </w:pPr>
      <w:r>
        <w:rPr>
          <w:rFonts w:ascii="Aptos" w:cs="Aptos" w:eastAsia="Aptos" w:hAnsi="Aptos"/>
          <w:b/>
          <w:bCs/>
          <w:color w:val="0B111E"/>
          <w:sz w:val="24"/>
          <w:szCs w:val="24"/>
        </w:rPr>
        <w:t xml:space="preserve">8A.2 Pattern Selection Decision Guide</w:t>
      </w:r>
    </w:p>
    <w:p>
      <w:pPr>
        <w:spacing w:after="160" w:before="120"/>
        <w:jc w:val="center"/>
      </w:pPr>
      <w:r>
        <w:drawing>
          <wp:inline distT="0" distB="0" distL="0" distR="0">
            <wp:extent cx="6096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924175"/>
                    </a:xfrm>
                    <a:prstGeom prst="rect">
                      <a:avLst/>
                    </a:prstGeom>
                  </pic:spPr>
                </pic:pic>
              </a:graphicData>
            </a:graphic>
          </wp:inline>
        </w:drawing>
      </w:r>
    </w:p>
    <w:p>
      <w:pPr>
        <w:spacing w:after="140"/>
      </w:pPr>
      <w:r>
        <w:t xml:space="preserve">A one-line rule: </w:t>
      </w:r>
      <w:r>
        <w:rPr>
          <w:b/>
          <w:bCs/>
        </w:rPr>
        <w:t xml:space="preserve">match the pattern to how the SOR wants to talk, not to how you wish it would talk</w:t>
      </w:r>
      <w:r>
        <w:t xml:space="preserve">. Fighting a batch-only SOR into streaming shape is almost always more expensive than accepting the batch cadence and designing the service's SLO around it.</w:t>
      </w:r>
    </w:p>
    <w:p>
      <w:pPr>
        <w:pStyle w:val="Heading3"/>
        <w:spacing w:after="120" w:before="260"/>
      </w:pPr>
      <w:r>
        <w:rPr>
          <w:rFonts w:ascii="Aptos" w:cs="Aptos" w:eastAsia="Aptos" w:hAnsi="Aptos"/>
          <w:b/>
          <w:bCs/>
          <w:color w:val="0B111E"/>
          <w:sz w:val="24"/>
          <w:szCs w:val="24"/>
        </w:rPr>
        <w:t xml:space="preserve">8A.3 Latency Budget by Pattern</w:t>
      </w:r>
    </w:p>
    <w:p>
      <w:pPr>
        <w:spacing w:after="140"/>
      </w:pPr>
      <w:r>
        <w:t xml:space="preserve">End-to-end latency (SOR event → Bronze row → Silver row → Gold view → agent-readable) by integration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Database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60–180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5-min refresh cycle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min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 (Delta sink)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30–60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5-min refresh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min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 (KQL sink)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&lt; 1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instant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KQL queryable inline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&lt; 10 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Pipeline (hourly)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60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next refresh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 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Pipeline (nightly)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24 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next morning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 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 (15-min refresh)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next refresh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min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Webhook / Custom Endpoint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&lt; 5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5-min refresh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min</w:t>
            </w:r>
          </w:p>
        </w:tc>
      </w:tr>
    </w:tbl>
    <w:p>
      <w:pPr>
        <w:spacing w:after="120"/>
      </w:pPr>
      <w:r>
        <w:t xml:space="preserve"/>
      </w:r>
    </w:p>
    <w:p>
      <w:pPr>
        <w:spacing w:after="140"/>
      </w:pPr>
      <w:r>
        <w:t xml:space="preserve">Services with sub-minute SLOs (GRD-02 Grid Anomaly with 30-second detection, SEP-02 Sepsis with 3-minute decision) can only be served by Eventstream (KQL sink) or Webhook. Services with 5-minute decisions (CXP-01 Cold Chain, LDT-01 Line-Down) work comfortably with Mirrored Database or Eventstream (Delta sink). Services with hour-scale decisions (RVC-03 Denial Recovery, KPI-05 Plant KPI Drift) tolerate Data Pipeline cadence.</w:t>
      </w:r>
    </w:p>
    <w:p>
      <w:pPr>
        <w:pStyle w:val="Heading3"/>
        <w:spacing w:after="120" w:before="260"/>
      </w:pPr>
      <w:r>
        <w:rPr>
          <w:rFonts w:ascii="Aptos" w:cs="Aptos" w:eastAsia="Aptos" w:hAnsi="Aptos"/>
          <w:b/>
          <w:bCs/>
          <w:color w:val="0B111E"/>
          <w:sz w:val="24"/>
          <w:szCs w:val="24"/>
        </w:rPr>
        <w:t xml:space="preserve">8A.4 Fabric-to-Medallion Integration Reference</w:t>
      </w:r>
    </w:p>
    <w:p>
      <w:pPr>
        <w:spacing w:after="140"/>
      </w:pPr>
      <w:r>
        <w:t xml:space="preserve">Every SOR integration lands at Bronze. The Bronze row preserves the SOR's native shape; Silver canonicalises; Gold materialises for agent reads.</w:t>
      </w:r>
    </w:p>
    <w:p>
      <w:pPr>
        <w:spacing w:after="160" w:before="120"/>
        <w:jc w:val="center"/>
      </w:pPr>
      <w:r>
        <w:drawing>
          <wp:inline distT="0" distB="0" distL="0" distR="0">
            <wp:extent cx="6096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56210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8A.5 RC Practice SOR Atlas</w:t>
      </w:r>
    </w:p>
    <w:p>
      <w:pPr>
        <w:pStyle w:val="Heading4"/>
        <w:spacing w:after="100" w:before="220"/>
      </w:pPr>
      <w:r>
        <w:rPr>
          <w:rFonts w:ascii="Aptos" w:cs="Aptos" w:eastAsia="Aptos" w:hAnsi="Aptos"/>
          <w:b/>
          <w:bCs/>
          <w:color w:val="0B111E"/>
          <w:sz w:val="20"/>
          <w:szCs w:val="20"/>
        </w:rPr>
        <w:t xml:space="preserve">Monnit IoT · Refrigeration Telemetry</w:t>
      </w:r>
    </w:p>
    <w:p>
      <w:pPr>
        <w:spacing w:after="140"/>
      </w:pPr>
      <w:r>
        <w:rPr>
          <w:b/>
          <w:bCs/>
        </w:rPr>
        <w:t xml:space="preserve">What it is.</w:t>
      </w:r>
      <w:r>
        <w:t xml:space="preserve"> Wireless sensor platform that publishes temperature, humidity, and compressor-state telemetry from commercial refrigeration units. Most large retail chains have Monnit or an equivalent deployed across every reefer.</w:t>
      </w:r>
    </w:p>
    <w:p>
      <w:pPr>
        <w:spacing w:after="140"/>
      </w:pPr>
      <w:r>
        <w:rPr>
          <w:b/>
          <w:bCs/>
        </w:rPr>
        <w:t xml:space="preserve">Downstream schema (SOR-native).</w:t>
      </w:r>
      <w:r>
        <w:t xml:space="preserve"> JSON payloads over MQTT or HTTPS. Fields: </w:t>
      </w:r>
      <w:r>
        <w:rPr>
          <w:rFonts w:ascii="Cascadia Mono" w:cs="Cascadia Mono" w:eastAsia="Cascadia Mono" w:hAnsi="Cascadia Mono"/>
          <w:color w:val="2B2B2B"/>
          <w:sz w:val="18"/>
          <w:szCs w:val="18"/>
        </w:rPr>
        <w:t xml:space="preserve">sensor_id</w:t>
      </w:r>
      <w:r>
        <w:t xml:space="preserve">, </w:t>
      </w:r>
      <w:r>
        <w:rPr>
          <w:rFonts w:ascii="Cascadia Mono" w:cs="Cascadia Mono" w:eastAsia="Cascadia Mono" w:hAnsi="Cascadia Mono"/>
          <w:color w:val="2B2B2B"/>
          <w:sz w:val="18"/>
          <w:szCs w:val="18"/>
        </w:rPr>
        <w:t xml:space="preserve">temp_f</w:t>
      </w:r>
      <w:r>
        <w:t xml:space="preserve">, </w:t>
      </w:r>
      <w:r>
        <w:rPr>
          <w:rFonts w:ascii="Cascadia Mono" w:cs="Cascadia Mono" w:eastAsia="Cascadia Mono" w:hAnsi="Cascadia Mono"/>
          <w:color w:val="2B2B2B"/>
          <w:sz w:val="18"/>
          <w:szCs w:val="18"/>
        </w:rPr>
        <w:t xml:space="preserve">humidity_pct</w:t>
      </w:r>
      <w:r>
        <w:t xml:space="preserve">, </w:t>
      </w:r>
      <w:r>
        <w:rPr>
          <w:rFonts w:ascii="Cascadia Mono" w:cs="Cascadia Mono" w:eastAsia="Cascadia Mono" w:hAnsi="Cascadia Mono"/>
          <w:color w:val="2B2B2B"/>
          <w:sz w:val="18"/>
          <w:szCs w:val="18"/>
        </w:rPr>
        <w:t xml:space="preserve">battery_pct</w:t>
      </w:r>
      <w:r>
        <w:t xml:space="preserve">, </w:t>
      </w:r>
      <w:r>
        <w:rPr>
          <w:rFonts w:ascii="Cascadia Mono" w:cs="Cascadia Mono" w:eastAsia="Cascadia Mono" w:hAnsi="Cascadia Mono"/>
          <w:color w:val="2B2B2B"/>
          <w:sz w:val="18"/>
          <w:szCs w:val="18"/>
        </w:rPr>
        <w:t xml:space="preserve">signal_strength</w:t>
      </w:r>
      <w:r>
        <w:t xml:space="preserve">, </w:t>
      </w:r>
      <w:r>
        <w:rPr>
          <w:rFonts w:ascii="Cascadia Mono" w:cs="Cascadia Mono" w:eastAsia="Cascadia Mono" w:hAnsi="Cascadia Mono"/>
          <w:color w:val="2B2B2B"/>
          <w:sz w:val="18"/>
          <w:szCs w:val="18"/>
        </w:rPr>
        <w:t xml:space="preserve">timestamp_utc</w:t>
      </w:r>
      <w:r>
        <w:t xml:space="preserve">, plus device metadata (store_id, asset_id, reefer_number).</w:t>
      </w:r>
    </w:p>
    <w:p>
      <w:pPr>
        <w:spacing w:after="140"/>
      </w:pPr>
      <w:r>
        <w:rPr>
          <w:b/>
          <w:bCs/>
        </w:rPr>
        <w:t xml:space="preserve">Integration pattern.</w:t>
      </w:r>
      <w:r>
        <w:t xml:space="preserve"> Pattern 2 — Eventstream from Monnit's cloud gateway to Fabric Eventstream. Delta sink for SLO-forgiving services (CXP-01 tolerates 30-second latency); KQL sink for real-time dashboards.</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bronze_monnit_telemetry</w:t>
      </w:r>
      <w:r>
        <w:t xml:space="preserve"> — preserves JSON payload + ingestion timestamp. ~1 row per sensor per minute; 5 million rows/day typical for a 500-store chain.</w:t>
      </w:r>
    </w:p>
    <w:p>
      <w:pPr>
        <w:spacing w:after="140"/>
      </w:pPr>
      <w:r>
        <w:rPr>
          <w:b/>
          <w:bCs/>
        </w:rPr>
        <w:t xml:space="preserve">Silver transform.</w:t>
      </w:r>
      <w:r>
        <w:t xml:space="preserve"> PySpark notebook maps to </w:t>
      </w:r>
      <w:r>
        <w:rPr>
          <w:rFonts w:ascii="Cascadia Mono" w:cs="Cascadia Mono" w:eastAsia="Cascadia Mono" w:hAnsi="Cascadia Mono"/>
          <w:color w:val="2B2B2B"/>
          <w:sz w:val="18"/>
          <w:szCs w:val="18"/>
        </w:rPr>
        <w:t xml:space="preserve">silver_cold_chain_telemetry</w:t>
      </w:r>
      <w:r>
        <w:t xml:space="preserve"> (SCML family) applying the five-field envelope, joining sensor-to-store-to-asset reference data, and deriving threshold-breach flags.</w:t>
      </w:r>
    </w:p>
    <w:p>
      <w:pPr>
        <w:spacing w:after="140"/>
      </w:pPr>
      <w:r>
        <w:rPr>
          <w:b/>
          <w:bCs/>
        </w:rPr>
        <w:t xml:space="preserve">Gold view.</w:t>
      </w:r>
      <w:r>
        <w:t xml:space="preserve"> </w:t>
      </w:r>
      <w:r>
        <w:rPr>
          <w:rFonts w:ascii="Cascadia Mono" w:cs="Cascadia Mono" w:eastAsia="Cascadia Mono" w:hAnsi="Cascadia Mono"/>
          <w:color w:val="2B2B2B"/>
          <w:sz w:val="18"/>
          <w:szCs w:val="18"/>
        </w:rPr>
        <w:t xml:space="preserve">gold_cold_chain_state_v1</w:t>
      </w:r>
      <w:r>
        <w:t xml:space="preserve"> materialises current state per (store_id, sensor_id) with join to </w:t>
      </w:r>
      <w:r>
        <w:rPr>
          <w:rFonts w:ascii="Cascadia Mono" w:cs="Cascadia Mono" w:eastAsia="Cascadia Mono" w:hAnsi="Cascadia Mono"/>
          <w:color w:val="2B2B2B"/>
          <w:sz w:val="18"/>
          <w:szCs w:val="18"/>
        </w:rPr>
        <w:t xml:space="preserve">silver_store_inventory_position</w:t>
      </w:r>
      <w:r>
        <w:t xml:space="preserve"> for units-at-risk math. Refresh every 5 minutes.</w:t>
      </w:r>
    </w:p>
    <w:p>
      <w:pPr>
        <w:spacing w:after="140"/>
      </w:pPr>
      <w:r>
        <w:rPr>
          <w:b/>
          <w:bCs/>
        </w:rPr>
        <w:t xml:space="preserve">Agents consuming.</w:t>
      </w:r>
      <w:r>
        <w:t xml:space="preserve"> SCM-A04 Cold Chain Telemetry Monitor (primary); SCM-A05 Disposition Classifier (reads derived excursion state); TRACE-A01 Forward Trace Composer (when a cold-chain-originated recall trace runs).</w:t>
      </w:r>
    </w:p>
    <w:p>
      <w:pPr>
        <w:spacing w:after="140"/>
      </w:pPr>
      <w:r>
        <w:rPr>
          <w:b/>
          <w:bCs/>
        </w:rPr>
        <w:t xml:space="preserve">Typical engagement effort.</w:t>
      </w:r>
      <w:r>
        <w:t xml:space="preserve"> 2–3 weeks end-to-end for a greenfield Monnit integration. The easiest of the RC SORs.</w:t>
      </w:r>
    </w:p>
    <w:p>
      <w:pPr>
        <w:pStyle w:val="Heading4"/>
        <w:spacing w:after="100" w:before="220"/>
      </w:pPr>
      <w:r>
        <w:rPr>
          <w:rFonts w:ascii="Aptos" w:cs="Aptos" w:eastAsia="Aptos" w:hAnsi="Aptos"/>
          <w:b/>
          <w:bCs/>
          <w:color w:val="0B111E"/>
          <w:sz w:val="20"/>
          <w:szCs w:val="20"/>
        </w:rPr>
        <w:t xml:space="preserve">Manhattan WMS · Warehouse &amp; Inventory</w:t>
      </w:r>
    </w:p>
    <w:p>
      <w:pPr>
        <w:spacing w:after="140"/>
      </w:pPr>
      <w:r>
        <w:rPr>
          <w:b/>
          <w:bCs/>
        </w:rPr>
        <w:t xml:space="preserve">What it is.</w:t>
      </w:r>
      <w:r>
        <w:t xml:space="preserve"> Manhattan Associates' warehouse management system — the de-facto standard for large North American retail. Holds purchase orders, advance-ship notices, receiving events, inventory positions, and movement history.</w:t>
      </w:r>
    </w:p>
    <w:p>
      <w:pPr>
        <w:spacing w:after="140"/>
      </w:pPr>
      <w:r>
        <w:rPr>
          <w:b/>
          <w:bCs/>
        </w:rPr>
        <w:t xml:space="preserve">Downstream schema (SOR-native).</w:t>
      </w:r>
      <w:r>
        <w:t xml:space="preserve"> SQL Server tables. Key tables: </w:t>
      </w:r>
      <w:r>
        <w:rPr>
          <w:rFonts w:ascii="Cascadia Mono" w:cs="Cascadia Mono" w:eastAsia="Cascadia Mono" w:hAnsi="Cascadia Mono"/>
          <w:color w:val="2B2B2B"/>
          <w:sz w:val="18"/>
          <w:szCs w:val="18"/>
        </w:rPr>
        <w:t xml:space="preserve">PURCHASE_ORDER_HEADER</w:t>
      </w:r>
      <w:r>
        <w:t xml:space="preserve">, </w:t>
      </w:r>
      <w:r>
        <w:rPr>
          <w:rFonts w:ascii="Cascadia Mono" w:cs="Cascadia Mono" w:eastAsia="Cascadia Mono" w:hAnsi="Cascadia Mono"/>
          <w:color w:val="2B2B2B"/>
          <w:sz w:val="18"/>
          <w:szCs w:val="18"/>
        </w:rPr>
        <w:t xml:space="preserve">PURCHASE_ORDER_LINE</w:t>
      </w:r>
      <w:r>
        <w:t xml:space="preserve">, </w:t>
      </w:r>
      <w:r>
        <w:rPr>
          <w:rFonts w:ascii="Cascadia Mono" w:cs="Cascadia Mono" w:eastAsia="Cascadia Mono" w:hAnsi="Cascadia Mono"/>
          <w:color w:val="2B2B2B"/>
          <w:sz w:val="18"/>
          <w:szCs w:val="18"/>
        </w:rPr>
        <w:t xml:space="preserve">ASN_HEADER</w:t>
      </w:r>
      <w:r>
        <w:t xml:space="preserve">, </w:t>
      </w:r>
      <w:r>
        <w:rPr>
          <w:rFonts w:ascii="Cascadia Mono" w:cs="Cascadia Mono" w:eastAsia="Cascadia Mono" w:hAnsi="Cascadia Mono"/>
          <w:color w:val="2B2B2B"/>
          <w:sz w:val="18"/>
          <w:szCs w:val="18"/>
        </w:rPr>
        <w:t xml:space="preserve">ASN_LINE</w:t>
      </w:r>
      <w:r>
        <w:t xml:space="preserve">, </w:t>
      </w:r>
      <w:r>
        <w:rPr>
          <w:rFonts w:ascii="Cascadia Mono" w:cs="Cascadia Mono" w:eastAsia="Cascadia Mono" w:hAnsi="Cascadia Mono"/>
          <w:color w:val="2B2B2B"/>
          <w:sz w:val="18"/>
          <w:szCs w:val="18"/>
        </w:rPr>
        <w:t xml:space="preserve">RECEIVING_EVENT</w:t>
      </w:r>
      <w:r>
        <w:t xml:space="preserve">, </w:t>
      </w:r>
      <w:r>
        <w:rPr>
          <w:rFonts w:ascii="Cascadia Mono" w:cs="Cascadia Mono" w:eastAsia="Cascadia Mono" w:hAnsi="Cascadia Mono"/>
          <w:color w:val="2B2B2B"/>
          <w:sz w:val="18"/>
          <w:szCs w:val="18"/>
        </w:rPr>
        <w:t xml:space="preserve">INVENTORY_SNAPSHOT</w:t>
      </w:r>
      <w:r>
        <w:t xml:space="preserve"> (daily), </w:t>
      </w:r>
      <w:r>
        <w:rPr>
          <w:rFonts w:ascii="Cascadia Mono" w:cs="Cascadia Mono" w:eastAsia="Cascadia Mono" w:hAnsi="Cascadia Mono"/>
          <w:color w:val="2B2B2B"/>
          <w:sz w:val="18"/>
          <w:szCs w:val="18"/>
        </w:rPr>
        <w:t xml:space="preserve">ITEM_MOVEMENT</w:t>
      </w:r>
      <w:r>
        <w:t xml:space="preserve"> (transactional). Joins run deep — Manhattan's model is normalised to about 50 tables for the core flow.</w:t>
      </w:r>
    </w:p>
    <w:p>
      <w:pPr>
        <w:spacing w:after="140"/>
      </w:pPr>
      <w:r>
        <w:rPr>
          <w:b/>
          <w:bCs/>
        </w:rPr>
        <w:t xml:space="preserve">Integration pattern.</w:t>
      </w:r>
      <w:r>
        <w:t xml:space="preserve"> Pattern 1 — Mirrored Database on SQL Server CDC. Fabric manages the mirror; all relevant tables land in Bronze automatically.</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bronze_manhattan_*</w:t>
      </w:r>
      <w:r>
        <w:t xml:space="preserve"> — one table per mirrored source table. ~200K–2M rows/day for a mid-market retailer.</w:t>
      </w:r>
    </w:p>
    <w:p>
      <w:pPr>
        <w:spacing w:after="140"/>
      </w:pPr>
      <w:r>
        <w:rPr>
          <w:b/>
          <w:bCs/>
        </w:rPr>
        <w:t xml:space="preserve">Silver transform.</w:t>
      </w:r>
      <w:r>
        <w:t xml:space="preserve"> Multi-step PySpark notebook chain: normalises Manhattan's SKU references to canonical SKU, joins receiving events to ASNs and POs, derives </w:t>
      </w:r>
      <w:r>
        <w:rPr>
          <w:rFonts w:ascii="Cascadia Mono" w:cs="Cascadia Mono" w:eastAsia="Cascadia Mono" w:hAnsi="Cascadia Mono"/>
          <w:color w:val="2B2B2B"/>
          <w:sz w:val="18"/>
          <w:szCs w:val="18"/>
        </w:rPr>
        <w:t xml:space="preserve">SCML.ASN</w:t>
      </w:r>
      <w:r>
        <w:t xml:space="preserve"> / </w:t>
      </w:r>
      <w:r>
        <w:rPr>
          <w:rFonts w:ascii="Cascadia Mono" w:cs="Cascadia Mono" w:eastAsia="Cascadia Mono" w:hAnsi="Cascadia Mono"/>
          <w:color w:val="2B2B2B"/>
          <w:sz w:val="18"/>
          <w:szCs w:val="18"/>
        </w:rPr>
        <w:t xml:space="preserve">SCML.STORE_RECEIVING_EVENT</w:t>
      </w:r>
      <w:r>
        <w:t xml:space="preserve"> / </w:t>
      </w:r>
      <w:r>
        <w:rPr>
          <w:rFonts w:ascii="Cascadia Mono" w:cs="Cascadia Mono" w:eastAsia="Cascadia Mono" w:hAnsi="Cascadia Mono"/>
          <w:color w:val="2B2B2B"/>
          <w:sz w:val="18"/>
          <w:szCs w:val="18"/>
        </w:rPr>
        <w:t xml:space="preserve">SCML.RECEIVING_DISCREPANCY</w:t>
      </w:r>
      <w:r>
        <w:t xml:space="preserve"> / </w:t>
      </w:r>
      <w:r>
        <w:rPr>
          <w:rFonts w:ascii="Cascadia Mono" w:cs="Cascadia Mono" w:eastAsia="Cascadia Mono" w:hAnsi="Cascadia Mono"/>
          <w:color w:val="2B2B2B"/>
          <w:sz w:val="18"/>
          <w:szCs w:val="18"/>
        </w:rPr>
        <w:t xml:space="preserve">MERML.STORE_INVENTORY_POSITION</w:t>
      </w:r>
      <w:r>
        <w:t xml:space="preserve">. This is the largest Silver transform in the RC Practice.</w:t>
      </w:r>
    </w:p>
    <w:p>
      <w:pPr>
        <w:spacing w:after="140"/>
      </w:pPr>
      <w:r>
        <w:rPr>
          <w:b/>
          <w:bCs/>
        </w:rPr>
        <w:t xml:space="preserve">Gold views.</w:t>
      </w:r>
      <w:r>
        <w:t xml:space="preserve"> </w:t>
      </w:r>
      <w:r>
        <w:rPr>
          <w:rFonts w:ascii="Cascadia Mono" w:cs="Cascadia Mono" w:eastAsia="Cascadia Mono" w:hAnsi="Cascadia Mono"/>
          <w:color w:val="2B2B2B"/>
          <w:sz w:val="18"/>
          <w:szCs w:val="18"/>
        </w:rPr>
        <w:t xml:space="preserve">gold_store_inventory_current_v1</w:t>
      </w:r>
      <w:r>
        <w:t xml:space="preserve"> (on-hand by store-SKU), </w:t>
      </w:r>
      <w:r>
        <w:rPr>
          <w:rFonts w:ascii="Cascadia Mono" w:cs="Cascadia Mono" w:eastAsia="Cascadia Mono" w:hAnsi="Cascadia Mono"/>
          <w:color w:val="2B2B2B"/>
          <w:sz w:val="18"/>
          <w:szCs w:val="18"/>
        </w:rPr>
        <w:t xml:space="preserve">gold_receiving_reconciliation_v1</w:t>
      </w:r>
      <w:r>
        <w:t xml:space="preserve"> (ASN vs. actual per receipt), </w:t>
      </w:r>
      <w:r>
        <w:rPr>
          <w:rFonts w:ascii="Cascadia Mono" w:cs="Cascadia Mono" w:eastAsia="Cascadia Mono" w:hAnsi="Cascadia Mono"/>
          <w:color w:val="2B2B2B"/>
          <w:sz w:val="18"/>
          <w:szCs w:val="18"/>
        </w:rPr>
        <w:t xml:space="preserve">gold_vendor_pattern_v1</w:t>
      </w:r>
      <w:r>
        <w:t xml:space="preserve"> (90-day variance history).</w:t>
      </w:r>
    </w:p>
    <w:p>
      <w:pPr>
        <w:spacing w:after="140"/>
      </w:pPr>
      <w:r>
        <w:rPr>
          <w:b/>
          <w:bCs/>
        </w:rPr>
        <w:t xml:space="preserve">Agents consuming.</w:t>
      </w:r>
      <w:r>
        <w:t xml:space="preserve"> SCM-A01 Inbound Discrepancy Analyst, SCM-A02 Vendor Pattern Detector, SCM-A05 Disposition Classifier, MER-A01 Dispute Packaging Agent, MER-A04 CV×POS×PI Fusion Agent, TRACE-A01/A02/A03.</w:t>
      </w:r>
    </w:p>
    <w:p>
      <w:pPr>
        <w:spacing w:after="140"/>
      </w:pPr>
      <w:r>
        <w:rPr>
          <w:b/>
          <w:bCs/>
        </w:rPr>
        <w:t xml:space="preserve">Typical engagement effort.</w:t>
      </w:r>
      <w:r>
        <w:t xml:space="preserve"> 4–6 weeks; Manhattan's normalisation depth means the Silver transform is non-trivial.</w:t>
      </w:r>
    </w:p>
    <w:p>
      <w:pPr>
        <w:pStyle w:val="Heading4"/>
        <w:spacing w:after="100" w:before="220"/>
      </w:pPr>
      <w:r>
        <w:rPr>
          <w:rFonts w:ascii="Aptos" w:cs="Aptos" w:eastAsia="Aptos" w:hAnsi="Aptos"/>
          <w:b/>
          <w:bCs/>
          <w:color w:val="0B111E"/>
          <w:sz w:val="20"/>
          <w:szCs w:val="20"/>
        </w:rPr>
        <w:t xml:space="preserve">POS Systems (NCR / Toshiba / Oracle Retail)</w:t>
      </w:r>
    </w:p>
    <w:p>
      <w:pPr>
        <w:spacing w:after="140"/>
      </w:pPr>
      <w:r>
        <w:rPr>
          <w:b/>
          <w:bCs/>
        </w:rPr>
        <w:t xml:space="preserve">What it is.</w:t>
      </w:r>
      <w:r>
        <w:t xml:space="preserve"> The cash-register transaction platform. Publishes ring events, void events, and basket records in real time.</w:t>
      </w:r>
    </w:p>
    <w:p>
      <w:pPr>
        <w:spacing w:after="140"/>
      </w:pPr>
      <w:r>
        <w:rPr>
          <w:b/>
          <w:bCs/>
        </w:rPr>
        <w:t xml:space="preserve">Downstream schema.</w:t>
      </w:r>
      <w:r>
        <w:t xml:space="preserve"> Vendor-specific — each POS vendor has its own transaction schema. NCR and Toshiba emit JSON-over-Kafka natively; Oracle Retail requires extraction from its data warehouse layer.</w:t>
      </w:r>
    </w:p>
    <w:p>
      <w:pPr>
        <w:spacing w:after="140"/>
      </w:pPr>
      <w:r>
        <w:rPr>
          <w:b/>
          <w:bCs/>
        </w:rPr>
        <w:t xml:space="preserve">Integration pattern.</w:t>
      </w:r>
      <w:r>
        <w:t xml:space="preserve"> Pattern 2 — Eventstream when the POS publishes to Kafka/Event Hubs natively. Pattern 1 — Mirrored Database when working from an Oracle POS data warehouse.</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bronze_pos_ring</w:t>
      </w:r>
      <w:r>
        <w:t xml:space="preserve">, </w:t>
      </w:r>
      <w:r>
        <w:rPr>
          <w:rFonts w:ascii="Cascadia Mono" w:cs="Cascadia Mono" w:eastAsia="Cascadia Mono" w:hAnsi="Cascadia Mono"/>
          <w:color w:val="2B2B2B"/>
          <w:sz w:val="18"/>
          <w:szCs w:val="18"/>
        </w:rPr>
        <w:t xml:space="preserve">bronze_pos_void</w:t>
      </w:r>
      <w:r>
        <w:t xml:space="preserve">, </w:t>
      </w:r>
      <w:r>
        <w:rPr>
          <w:rFonts w:ascii="Cascadia Mono" w:cs="Cascadia Mono" w:eastAsia="Cascadia Mono" w:hAnsi="Cascadia Mono"/>
          <w:color w:val="2B2B2B"/>
          <w:sz w:val="18"/>
          <w:szCs w:val="18"/>
        </w:rPr>
        <w:t xml:space="preserve">bronze_pos_basket</w:t>
      </w:r>
      <w:r>
        <w:t xml:space="preserve">. Per-vendor adapters normalise field names at ingest.</w:t>
      </w:r>
    </w:p>
    <w:p>
      <w:pPr>
        <w:spacing w:after="140"/>
      </w:pPr>
      <w:r>
        <w:rPr>
          <w:b/>
          <w:bCs/>
        </w:rPr>
        <w:t xml:space="preserve">Silver transform.</w:t>
      </w:r>
      <w:r>
        <w:t xml:space="preserve"> PySpark notebook maps to </w:t>
      </w:r>
      <w:r>
        <w:rPr>
          <w:rFonts w:ascii="Cascadia Mono" w:cs="Cascadia Mono" w:eastAsia="Cascadia Mono" w:hAnsi="Cascadia Mono"/>
          <w:color w:val="2B2B2B"/>
          <w:sz w:val="18"/>
          <w:szCs w:val="18"/>
        </w:rPr>
        <w:t xml:space="preserve">silver_pos_transaction</w:t>
      </w:r>
      <w:r>
        <w:t xml:space="preserve"> (tokenises cashier_id and customer_id immediately; retail compliance demands this) and </w:t>
      </w:r>
      <w:r>
        <w:rPr>
          <w:rFonts w:ascii="Cascadia Mono" w:cs="Cascadia Mono" w:eastAsia="Cascadia Mono" w:hAnsi="Cascadia Mono"/>
          <w:color w:val="2B2B2B"/>
          <w:sz w:val="18"/>
          <w:szCs w:val="18"/>
        </w:rPr>
        <w:t xml:space="preserve">MERML.POS_VOID</w:t>
      </w:r>
      <w:r>
        <w:t xml:space="preserve"> for void events.</w:t>
      </w:r>
    </w:p>
    <w:p>
      <w:pPr>
        <w:spacing w:after="140"/>
      </w:pPr>
      <w:r>
        <w:rPr>
          <w:b/>
          <w:bCs/>
        </w:rPr>
        <w:t xml:space="preserve">Gold views.</w:t>
      </w:r>
      <w:r>
        <w:t xml:space="preserve"> </w:t>
      </w:r>
      <w:r>
        <w:rPr>
          <w:rFonts w:ascii="Cascadia Mono" w:cs="Cascadia Mono" w:eastAsia="Cascadia Mono" w:hAnsi="Cascadia Mono"/>
          <w:color w:val="2B2B2B"/>
          <w:sz w:val="18"/>
          <w:szCs w:val="18"/>
        </w:rPr>
        <w:t xml:space="preserve">gold_ring_stream_v1</w:t>
      </w:r>
      <w:r>
        <w:t xml:space="preserve"> (rolling 24h ring activity per store); </w:t>
      </w:r>
      <w:r>
        <w:rPr>
          <w:rFonts w:ascii="Cascadia Mono" w:cs="Cascadia Mono" w:eastAsia="Cascadia Mono" w:hAnsi="Cascadia Mono"/>
          <w:color w:val="2B2B2B"/>
          <w:sz w:val="18"/>
          <w:szCs w:val="18"/>
        </w:rPr>
        <w:t xml:space="preserve">gold_void_anomaly_v1</w:t>
      </w:r>
      <w:r>
        <w:t xml:space="preserve"> (cashier-void-rate deviation from baseline).</w:t>
      </w:r>
    </w:p>
    <w:p>
      <w:pPr>
        <w:spacing w:after="140"/>
      </w:pPr>
      <w:r>
        <w:rPr>
          <w:b/>
          <w:bCs/>
        </w:rPr>
        <w:t xml:space="preserve">Agents consuming.</w:t>
      </w:r>
      <w:r>
        <w:t xml:space="preserve"> MER-A02 Pricing Integrity Monitor, MER-A04 CV×POS×PI Fusion Agent, MER-A10 Void Pattern Detector, TRACE-A01/A02 (for POS-origin traces).</w:t>
      </w:r>
    </w:p>
    <w:p>
      <w:pPr>
        <w:spacing w:after="140"/>
      </w:pPr>
      <w:r>
        <w:rPr>
          <w:b/>
          <w:bCs/>
        </w:rPr>
        <w:t xml:space="preserve">Typical engagement effort.</w:t>
      </w:r>
      <w:r>
        <w:t xml:space="preserve"> 3–5 weeks. The vendor-adapter layer adds ~1 week beyond the base pattern.</w:t>
      </w:r>
    </w:p>
    <w:p>
      <w:pPr>
        <w:pStyle w:val="Heading4"/>
        <w:spacing w:after="100" w:before="220"/>
      </w:pPr>
      <w:r>
        <w:rPr>
          <w:rFonts w:ascii="Aptos" w:cs="Aptos" w:eastAsia="Aptos" w:hAnsi="Aptos"/>
          <w:b/>
          <w:bCs/>
          <w:color w:val="0B111E"/>
          <w:sz w:val="20"/>
          <w:szCs w:val="20"/>
        </w:rPr>
        <w:t xml:space="preserve">ESL Gateway (Hanshow / SES-imagotag)</w:t>
      </w:r>
    </w:p>
    <w:p>
      <w:pPr>
        <w:spacing w:after="140"/>
      </w:pPr>
      <w:r>
        <w:rPr>
          <w:b/>
          <w:bCs/>
        </w:rPr>
        <w:t xml:space="preserve">What it is.</w:t>
      </w:r>
      <w:r>
        <w:t xml:space="preserve"> Electronic shelf-label gateway — the central controller that pushes price updates to physical ESLs on the store shelf. Holds tag-sync state per store.</w:t>
      </w:r>
    </w:p>
    <w:p>
      <w:pPr>
        <w:spacing w:after="140"/>
      </w:pPr>
      <w:r>
        <w:rPr>
          <w:b/>
          <w:bCs/>
        </w:rPr>
        <w:t xml:space="preserve">Downstream schema.</w:t>
      </w:r>
      <w:r>
        <w:t xml:space="preserve"> REST API (vendor-specific). Endpoints: </w:t>
      </w:r>
      <w:r>
        <w:rPr>
          <w:rFonts w:ascii="Cascadia Mono" w:cs="Cascadia Mono" w:eastAsia="Cascadia Mono" w:hAnsi="Cascadia Mono"/>
          <w:color w:val="2B2B2B"/>
          <w:sz w:val="18"/>
          <w:szCs w:val="18"/>
        </w:rPr>
        <w:t xml:space="preserve">/gateways/{id}/status</w:t>
      </w:r>
      <w:r>
        <w:t xml:space="preserve">, </w:t>
      </w:r>
      <w:r>
        <w:rPr>
          <w:rFonts w:ascii="Cascadia Mono" w:cs="Cascadia Mono" w:eastAsia="Cascadia Mono" w:hAnsi="Cascadia Mono"/>
          <w:color w:val="2B2B2B"/>
          <w:sz w:val="18"/>
          <w:szCs w:val="18"/>
        </w:rPr>
        <w:t xml:space="preserve">/tags/{id}/status</w:t>
      </w:r>
      <w:r>
        <w:t xml:space="preserve">, </w:t>
      </w:r>
      <w:r>
        <w:rPr>
          <w:rFonts w:ascii="Cascadia Mono" w:cs="Cascadia Mono" w:eastAsia="Cascadia Mono" w:hAnsi="Cascadia Mono"/>
          <w:color w:val="2B2B2B"/>
          <w:sz w:val="18"/>
          <w:szCs w:val="18"/>
        </w:rPr>
        <w:t xml:space="preserve">/tags/{id}/sync-history</w:t>
      </w:r>
      <w:r>
        <w:t xml:space="preserve">. No native push; APEX pulls on 5-minute cadence.</w:t>
      </w:r>
    </w:p>
    <w:p>
      <w:pPr>
        <w:spacing w:after="140"/>
      </w:pPr>
      <w:r>
        <w:rPr>
          <w:b/>
          <w:bCs/>
        </w:rPr>
        <w:t xml:space="preserve">Integration pattern.</w:t>
      </w:r>
      <w:r>
        <w:t xml:space="preserve"> Pattern 4 — Dataflow Gen2 REST pull.</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bronze_esl_gateway_status</w:t>
      </w:r>
      <w:r>
        <w:t xml:space="preserve">, </w:t>
      </w:r>
      <w:r>
        <w:rPr>
          <w:rFonts w:ascii="Cascadia Mono" w:cs="Cascadia Mono" w:eastAsia="Cascadia Mono" w:hAnsi="Cascadia Mono"/>
          <w:color w:val="2B2B2B"/>
          <w:sz w:val="18"/>
          <w:szCs w:val="18"/>
        </w:rPr>
        <w:t xml:space="preserve">bronze_esl_tag_status</w:t>
      </w:r>
      <w:r>
        <w:t xml:space="preserve">.</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MERML.PRICE_TAG_STATUS</w:t>
      </w:r>
      <w:r>
        <w:t xml:space="preserve"> joining tag-to-SKU reference. Derives staleness-minutes and battery-remaining fields.</w:t>
      </w:r>
    </w:p>
    <w:p>
      <w:pPr>
        <w:spacing w:after="140"/>
      </w:pPr>
      <w:r>
        <w:rPr>
          <w:b/>
          <w:bCs/>
        </w:rPr>
        <w:t xml:space="preserve">Gold view.</w:t>
      </w:r>
      <w:r>
        <w:t xml:space="preserve"> </w:t>
      </w:r>
      <w:r>
        <w:rPr>
          <w:rFonts w:ascii="Cascadia Mono" w:cs="Cascadia Mono" w:eastAsia="Cascadia Mono" w:hAnsi="Cascadia Mono"/>
          <w:color w:val="2B2B2B"/>
          <w:sz w:val="18"/>
          <w:szCs w:val="18"/>
        </w:rPr>
        <w:t xml:space="preserve">gold_esl_health_v1</w:t>
      </w:r>
      <w:r>
        <w:t xml:space="preserve"> — current gateway and per-tag state; drives ESL-03 decisions.</w:t>
      </w:r>
    </w:p>
    <w:p>
      <w:pPr>
        <w:spacing w:after="140"/>
      </w:pPr>
      <w:r>
        <w:rPr>
          <w:b/>
          <w:bCs/>
        </w:rPr>
        <w:t xml:space="preserve">Agents consuming.</w:t>
      </w:r>
      <w:r>
        <w:t xml:space="preserve"> MER-A02 Pricing Integrity Monitor, MER-A03 Stale-Tag Remediation Agent.</w:t>
      </w:r>
    </w:p>
    <w:p>
      <w:pPr>
        <w:spacing w:after="140"/>
      </w:pPr>
      <w:r>
        <w:rPr>
          <w:b/>
          <w:bCs/>
        </w:rPr>
        <w:t xml:space="preserve">Typical engagement effort.</w:t>
      </w:r>
      <w:r>
        <w:t xml:space="preserve"> 2–3 weeks.</w:t>
      </w:r>
    </w:p>
    <w:p>
      <w:pPr>
        <w:pStyle w:val="Heading4"/>
        <w:spacing w:after="100" w:before="220"/>
      </w:pPr>
      <w:r>
        <w:rPr>
          <w:rFonts w:ascii="Aptos" w:cs="Aptos" w:eastAsia="Aptos" w:hAnsi="Aptos"/>
          <w:b/>
          <w:bCs/>
          <w:color w:val="0B111E"/>
          <w:sz w:val="20"/>
          <w:szCs w:val="20"/>
        </w:rPr>
        <w:t xml:space="preserve">FDA Recall Feed · Public Regulatory Data</w:t>
      </w:r>
    </w:p>
    <w:p>
      <w:pPr>
        <w:spacing w:after="140"/>
      </w:pPr>
      <w:r>
        <w:rPr>
          <w:b/>
          <w:bCs/>
        </w:rPr>
        <w:t xml:space="preserve">What it is.</w:t>
      </w:r>
      <w:r>
        <w:t xml:space="preserve"> FDA's public recall announcement feed at </w:t>
      </w:r>
      <w:r>
        <w:rPr>
          <w:rFonts w:ascii="Cascadia Mono" w:cs="Cascadia Mono" w:eastAsia="Cascadia Mono" w:hAnsi="Cascadia Mono"/>
          <w:color w:val="2B2B2B"/>
          <w:sz w:val="18"/>
          <w:szCs w:val="18"/>
        </w:rPr>
        <w:t xml:space="preserve">openfda.fda.gov</w:t>
      </w:r>
      <w:r>
        <w:t xml:space="preserve">. JSON API covering food, drug, device recalls.</w:t>
      </w:r>
    </w:p>
    <w:p>
      <w:pPr>
        <w:spacing w:after="140"/>
      </w:pPr>
      <w:r>
        <w:rPr>
          <w:b/>
          <w:bCs/>
        </w:rPr>
        <w:t xml:space="preserve">Integration pattern.</w:t>
      </w:r>
      <w:r>
        <w:t xml:space="preserve"> Pattern 4 — Dataflow Gen2 scheduled pull (every 15 minutes during business hours, hourly off-hours).</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bronze_fda_recall_feed</w:t>
      </w:r>
      <w:r>
        <w:t xml:space="preserve"> — raw JSON preserved.</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SCML.RECALL_NOTICE</w:t>
      </w:r>
      <w:r>
        <w:t xml:space="preserve"> with lot-id extraction and class-taxonomy normalisation.</w:t>
      </w:r>
    </w:p>
    <w:p>
      <w:pPr>
        <w:spacing w:after="140"/>
      </w:pPr>
      <w:r>
        <w:rPr>
          <w:b/>
          <w:bCs/>
        </w:rPr>
        <w:t xml:space="preserve">Gold view.</w:t>
      </w:r>
      <w:r>
        <w:t xml:space="preserve"> </w:t>
      </w:r>
      <w:r>
        <w:rPr>
          <w:rFonts w:ascii="Cascadia Mono" w:cs="Cascadia Mono" w:eastAsia="Cascadia Mono" w:hAnsi="Cascadia Mono"/>
          <w:color w:val="2B2B2B"/>
          <w:sz w:val="18"/>
          <w:szCs w:val="18"/>
        </w:rPr>
        <w:t xml:space="preserve">gold_active_recalls_v1</w:t>
      </w:r>
      <w:r>
        <w:t xml:space="preserve"> — all recalls with at least one affected lot still in inventory in the client's tenant. Computed by join against </w:t>
      </w:r>
      <w:r>
        <w:rPr>
          <w:rFonts w:ascii="Cascadia Mono" w:cs="Cascadia Mono" w:eastAsia="Cascadia Mono" w:hAnsi="Cascadia Mono"/>
          <w:color w:val="2B2B2B"/>
          <w:sz w:val="18"/>
          <w:szCs w:val="18"/>
        </w:rPr>
        <w:t xml:space="preserve">silver_store_inventory_position</w:t>
      </w:r>
      <w:r>
        <w:t xml:space="preserve"> on lot_id.</w:t>
      </w:r>
    </w:p>
    <w:p>
      <w:pPr>
        <w:spacing w:after="140"/>
      </w:pPr>
      <w:r>
        <w:rPr>
          <w:b/>
          <w:bCs/>
        </w:rPr>
        <w:t xml:space="preserve">Agents consuming.</w:t>
      </w:r>
      <w:r>
        <w:t xml:space="preserve"> SCM-A01 (for intersection with receiving history), SCM-A02 (for lot-trace forward), CX-A01 (for customer outreach on recall-affected purchases).</w:t>
      </w:r>
    </w:p>
    <w:p>
      <w:pPr>
        <w:spacing w:after="140"/>
      </w:pPr>
      <w:r>
        <w:rPr>
          <w:b/>
          <w:bCs/>
        </w:rPr>
        <w:t xml:space="preserve">Typical engagement effort.</w:t>
      </w:r>
      <w:r>
        <w:t xml:space="preserve"> 1–2 weeks. Well-documented public feed with stable schema.</w:t>
      </w:r>
    </w:p>
    <w:p>
      <w:pPr>
        <w:pStyle w:val="Heading4"/>
        <w:spacing w:after="100" w:before="220"/>
      </w:pPr>
      <w:r>
        <w:rPr>
          <w:rFonts w:ascii="Aptos" w:cs="Aptos" w:eastAsia="Aptos" w:hAnsi="Aptos"/>
          <w:b/>
          <w:bCs/>
          <w:color w:val="0B111E"/>
          <w:sz w:val="20"/>
          <w:szCs w:val="20"/>
        </w:rPr>
        <w:t xml:space="preserve">Customer Incident Portal</w:t>
      </w:r>
    </w:p>
    <w:p>
      <w:pPr>
        <w:spacing w:after="140"/>
      </w:pPr>
      <w:r>
        <w:rPr>
          <w:b/>
          <w:bCs/>
        </w:rPr>
        <w:t xml:space="preserve">What it is.</w:t>
      </w:r>
      <w:r>
        <w:t xml:space="preserve"> The client's internal portal where customer-service representatives capture incident reports. Typically a ServiceNow / Salesforce / custom system.</w:t>
      </w:r>
    </w:p>
    <w:p>
      <w:pPr>
        <w:spacing w:after="140"/>
      </w:pPr>
      <w:r>
        <w:rPr>
          <w:b/>
          <w:bCs/>
        </w:rPr>
        <w:t xml:space="preserve">Integration pattern.</w:t>
      </w:r>
      <w:r>
        <w:t xml:space="preserve"> Pattern 5 — Webhook (Custom Endpoint) if the portal supports outbound webhooks. Pattern 4 — Dataflow Gen2 REST pull as fallback.</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bronze_customer_incident</w:t>
      </w:r>
      <w:r>
        <w:t xml:space="preserve"> — raw incident payloads including free-text narrative, photo references, lot-code OCR results.</w:t>
      </w:r>
    </w:p>
    <w:p>
      <w:pPr>
        <w:spacing w:after="140"/>
      </w:pPr>
      <w:r>
        <w:rPr>
          <w:b/>
          <w:bCs/>
        </w:rPr>
        <w:t xml:space="preserve">Silver transform.</w:t>
      </w:r>
      <w:r>
        <w:t xml:space="preserve"> Tokenises customer_id immediately (RC privacy discipline); maps to </w:t>
      </w:r>
      <w:r>
        <w:rPr>
          <w:rFonts w:ascii="Cascadia Mono" w:cs="Cascadia Mono" w:eastAsia="Cascadia Mono" w:hAnsi="Cascadia Mono"/>
          <w:color w:val="2B2B2B"/>
          <w:sz w:val="18"/>
          <w:szCs w:val="18"/>
        </w:rPr>
        <w:t xml:space="preserve">CXML.CUSTOMER_INCIDENT</w:t>
      </w:r>
      <w:r>
        <w:t xml:space="preserve"> with severity-tier classification from the NLP-assisted classifier (which runs as part of the Silver transform, not at agent read time).</w:t>
      </w:r>
    </w:p>
    <w:p>
      <w:pPr>
        <w:spacing w:after="140"/>
      </w:pPr>
      <w:r>
        <w:rPr>
          <w:b/>
          <w:bCs/>
        </w:rPr>
        <w:t xml:space="preserve">Gold view.</w:t>
      </w:r>
      <w:r>
        <w:t xml:space="preserve"> </w:t>
      </w:r>
      <w:r>
        <w:rPr>
          <w:rFonts w:ascii="Cascadia Mono" w:cs="Cascadia Mono" w:eastAsia="Cascadia Mono" w:hAnsi="Cascadia Mono"/>
          <w:color w:val="2B2B2B"/>
          <w:sz w:val="18"/>
          <w:szCs w:val="18"/>
        </w:rPr>
        <w:t xml:space="preserve">gold_active_incidents_v1</w:t>
      </w:r>
      <w:r>
        <w:t xml:space="preserve"> — triaged incidents in open state.</w:t>
      </w:r>
    </w:p>
    <w:p>
      <w:pPr>
        <w:spacing w:after="140"/>
      </w:pPr>
      <w:r>
        <w:rPr>
          <w:b/>
          <w:bCs/>
        </w:rPr>
        <w:t xml:space="preserve">Agents consuming.</w:t>
      </w:r>
      <w:r>
        <w:t xml:space="preserve"> CX-A01 Incident Intake Agent, CX-A02 Cross-Store Correlator, TRACE-A02 (for backward-trace from customer complaint).</w:t>
      </w:r>
    </w:p>
    <w:p>
      <w:pPr>
        <w:spacing w:after="140"/>
      </w:pPr>
      <w:r>
        <w:rPr>
          <w:b/>
          <w:bCs/>
        </w:rPr>
        <w:t xml:space="preserve">Typical engagement effort.</w:t>
      </w:r>
      <w:r>
        <w:t xml:space="preserve"> 3–4 weeks; the free-text classifier tuning is the main effort beyond the base integration.</w:t>
      </w:r>
    </w:p>
    <w:p>
      <w:pPr>
        <w:pStyle w:val="Heading4"/>
        <w:spacing w:after="100" w:before="220"/>
      </w:pPr>
      <w:r>
        <w:rPr>
          <w:rFonts w:ascii="Aptos" w:cs="Aptos" w:eastAsia="Aptos" w:hAnsi="Aptos"/>
          <w:b/>
          <w:bCs/>
          <w:color w:val="0B111E"/>
          <w:sz w:val="20"/>
          <w:szCs w:val="20"/>
        </w:rPr>
        <w:t xml:space="preserve">DSD / EDI Gateway</w:t>
      </w:r>
    </w:p>
    <w:p>
      <w:pPr>
        <w:spacing w:after="140"/>
      </w:pPr>
      <w:r>
        <w:rPr>
          <w:b/>
          <w:bCs/>
        </w:rPr>
        <w:t xml:space="preserve">What it is.</w:t>
      </w:r>
      <w:r>
        <w:t xml:space="preserve"> Direct-store-delivery vendor interchange via EDI 856 (ASN), 850 (PO), and 810 (invoice). Backend is typically an EDI VAN or client-hosted gateway.</w:t>
      </w:r>
    </w:p>
    <w:p>
      <w:pPr>
        <w:spacing w:after="140"/>
      </w:pPr>
      <w:r>
        <w:rPr>
          <w:b/>
          <w:bCs/>
        </w:rPr>
        <w:t xml:space="preserve">Integration pattern.</w:t>
      </w:r>
      <w:r>
        <w:t xml:space="preserve"> Pattern 3 — Data Pipeline scheduled SFTP pull with EDI parser activity.</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bronze_edi_856</w:t>
      </w:r>
      <w:r>
        <w:t xml:space="preserve">, </w:t>
      </w:r>
      <w:r>
        <w:rPr>
          <w:rFonts w:ascii="Cascadia Mono" w:cs="Cascadia Mono" w:eastAsia="Cascadia Mono" w:hAnsi="Cascadia Mono"/>
          <w:color w:val="2B2B2B"/>
          <w:sz w:val="18"/>
          <w:szCs w:val="18"/>
        </w:rPr>
        <w:t xml:space="preserve">bronze_edi_850</w:t>
      </w:r>
      <w:r>
        <w:t xml:space="preserve">, </w:t>
      </w:r>
      <w:r>
        <w:rPr>
          <w:rFonts w:ascii="Cascadia Mono" w:cs="Cascadia Mono" w:eastAsia="Cascadia Mono" w:hAnsi="Cascadia Mono"/>
          <w:color w:val="2B2B2B"/>
          <w:sz w:val="18"/>
          <w:szCs w:val="18"/>
        </w:rPr>
        <w:t xml:space="preserve">bronze_edi_810</w:t>
      </w:r>
      <w:r>
        <w:t xml:space="preserve">.</w:t>
      </w:r>
    </w:p>
    <w:p>
      <w:pPr>
        <w:spacing w:after="140"/>
      </w:pPr>
      <w:r>
        <w:rPr>
          <w:b/>
          <w:bCs/>
        </w:rPr>
        <w:t xml:space="preserve">Silver transform.</w:t>
      </w:r>
      <w:r>
        <w:t xml:space="preserve"> Normalises to </w:t>
      </w:r>
      <w:r>
        <w:rPr>
          <w:rFonts w:ascii="Cascadia Mono" w:cs="Cascadia Mono" w:eastAsia="Cascadia Mono" w:hAnsi="Cascadia Mono"/>
          <w:color w:val="2B2B2B"/>
          <w:sz w:val="18"/>
          <w:szCs w:val="18"/>
        </w:rPr>
        <w:t xml:space="preserve">SCML.DSD_INVOICE</w:t>
      </w:r>
      <w:r>
        <w:t xml:space="preserve"> joining with Manhattan ASN records for match/no-match detection.</w:t>
      </w:r>
    </w:p>
    <w:p>
      <w:pPr>
        <w:spacing w:after="140"/>
      </w:pPr>
      <w:r>
        <w:rPr>
          <w:b/>
          <w:bCs/>
        </w:rPr>
        <w:t xml:space="preserve">Gold view.</w:t>
      </w:r>
      <w:r>
        <w:t xml:space="preserve"> </w:t>
      </w:r>
      <w:r>
        <w:rPr>
          <w:rFonts w:ascii="Cascadia Mono" w:cs="Cascadia Mono" w:eastAsia="Cascadia Mono" w:hAnsi="Cascadia Mono"/>
          <w:color w:val="2B2B2B"/>
          <w:sz w:val="18"/>
          <w:szCs w:val="18"/>
        </w:rPr>
        <w:t xml:space="preserve">gold_vendor_reconciliation_v1</w:t>
      </w:r>
      <w:r>
        <w:t xml:space="preserve"> — per-vendor 90-day pattern metrics.</w:t>
      </w:r>
    </w:p>
    <w:p>
      <w:pPr>
        <w:spacing w:after="140"/>
      </w:pPr>
      <w:r>
        <w:rPr>
          <w:b/>
          <w:bCs/>
        </w:rPr>
        <w:t xml:space="preserve">Agents consuming.</w:t>
      </w:r>
      <w:r>
        <w:t xml:space="preserve"> SCM-A02 Vendor Pattern Detector, MER-A01 Dispute Packaging Agent.</w:t>
      </w:r>
    </w:p>
    <w:p>
      <w:pPr>
        <w:spacing w:after="140"/>
      </w:pPr>
      <w:r>
        <w:rPr>
          <w:b/>
          <w:bCs/>
        </w:rPr>
        <w:t xml:space="preserve">Typical engagement effort.</w:t>
      </w:r>
      <w:r>
        <w:t xml:space="preserve"> 4–6 weeks; EDI variance across trading partners is the cost driver.</w:t>
      </w:r>
    </w:p>
    <w:p>
      <w:pPr>
        <w:pStyle w:val="Heading3"/>
        <w:spacing w:after="120" w:before="260"/>
      </w:pPr>
      <w:r>
        <w:rPr>
          <w:rFonts w:ascii="Aptos" w:cs="Aptos" w:eastAsia="Aptos" w:hAnsi="Aptos"/>
          <w:b/>
          <w:bCs/>
          <w:color w:val="0B111E"/>
          <w:sz w:val="24"/>
          <w:szCs w:val="24"/>
        </w:rPr>
        <w:t xml:space="preserve">8A.6 HLS Practice SOR Atlas</w:t>
      </w:r>
    </w:p>
    <w:p>
      <w:pPr>
        <w:pStyle w:val="Heading4"/>
        <w:spacing w:after="100" w:before="220"/>
      </w:pPr>
      <w:r>
        <w:rPr>
          <w:rFonts w:ascii="Aptos" w:cs="Aptos" w:eastAsia="Aptos" w:hAnsi="Aptos"/>
          <w:b/>
          <w:bCs/>
          <w:color w:val="0B111E"/>
          <w:sz w:val="20"/>
          <w:szCs w:val="20"/>
        </w:rPr>
        <w:t xml:space="preserve">Epic Clarity / Caboodle · EHR Data Warehouse</w:t>
      </w:r>
    </w:p>
    <w:p>
      <w:pPr>
        <w:spacing w:after="140"/>
      </w:pPr>
      <w:r>
        <w:rPr>
          <w:b/>
          <w:bCs/>
        </w:rPr>
        <w:t xml:space="preserve">What it is.</w:t>
      </w:r>
      <w:r>
        <w:t xml:space="preserve"> Epic's reporting-layer data warehouses. Clarity is transaction-oriented SQL Server; Caboodle is a dimensional star-schema warehouse. Together they hold encounter, order, lab, coding, claim, and clinical-documentation history.</w:t>
      </w:r>
    </w:p>
    <w:p>
      <w:pPr>
        <w:spacing w:after="140"/>
      </w:pPr>
      <w:r>
        <w:rPr>
          <w:b/>
          <w:bCs/>
        </w:rPr>
        <w:t xml:space="preserve">Downstream schema.</w:t>
      </w:r>
      <w:r>
        <w:t xml:space="preserve"> SQL Server with ~2,000 tables across Clarity; ~200 dimensional tables in Caboodle. Key Clarity tables: </w:t>
      </w:r>
      <w:r>
        <w:rPr>
          <w:rFonts w:ascii="Cascadia Mono" w:cs="Cascadia Mono" w:eastAsia="Cascadia Mono" w:hAnsi="Cascadia Mono"/>
          <w:color w:val="2B2B2B"/>
          <w:sz w:val="18"/>
          <w:szCs w:val="18"/>
        </w:rPr>
        <w:t xml:space="preserve">HSP_ADMIT</w:t>
      </w:r>
      <w:r>
        <w:t xml:space="preserve">, </w:t>
      </w:r>
      <w:r>
        <w:rPr>
          <w:rFonts w:ascii="Cascadia Mono" w:cs="Cascadia Mono" w:eastAsia="Cascadia Mono" w:hAnsi="Cascadia Mono"/>
          <w:color w:val="2B2B2B"/>
          <w:sz w:val="18"/>
          <w:szCs w:val="18"/>
        </w:rPr>
        <w:t xml:space="preserve">HSP_ACCT</w:t>
      </w:r>
      <w:r>
        <w:t xml:space="preserve">, </w:t>
      </w:r>
      <w:r>
        <w:rPr>
          <w:rFonts w:ascii="Cascadia Mono" w:cs="Cascadia Mono" w:eastAsia="Cascadia Mono" w:hAnsi="Cascadia Mono"/>
          <w:color w:val="2B2B2B"/>
          <w:sz w:val="18"/>
          <w:szCs w:val="18"/>
        </w:rPr>
        <w:t xml:space="preserve">ORDER_PROC</w:t>
      </w:r>
      <w:r>
        <w:t xml:space="preserve">, </w:t>
      </w:r>
      <w:r>
        <w:rPr>
          <w:rFonts w:ascii="Cascadia Mono" w:cs="Cascadia Mono" w:eastAsia="Cascadia Mono" w:hAnsi="Cascadia Mono"/>
          <w:color w:val="2B2B2B"/>
          <w:sz w:val="18"/>
          <w:szCs w:val="18"/>
        </w:rPr>
        <w:t xml:space="preserve">ORDER_MED</w:t>
      </w:r>
      <w:r>
        <w:t xml:space="preserve">, </w:t>
      </w:r>
      <w:r>
        <w:rPr>
          <w:rFonts w:ascii="Cascadia Mono" w:cs="Cascadia Mono" w:eastAsia="Cascadia Mono" w:hAnsi="Cascadia Mono"/>
          <w:color w:val="2B2B2B"/>
          <w:sz w:val="18"/>
          <w:szCs w:val="18"/>
        </w:rPr>
        <w:t xml:space="preserve">CLARITY_EAP</w:t>
      </w:r>
      <w:r>
        <w:t xml:space="preserve">, </w:t>
      </w:r>
      <w:r>
        <w:rPr>
          <w:rFonts w:ascii="Cascadia Mono" w:cs="Cascadia Mono" w:eastAsia="Cascadia Mono" w:hAnsi="Cascadia Mono"/>
          <w:color w:val="2B2B2B"/>
          <w:sz w:val="18"/>
          <w:szCs w:val="18"/>
        </w:rPr>
        <w:t xml:space="preserve">CLARITY_MED_INFO</w:t>
      </w:r>
      <w:r>
        <w:t xml:space="preserve">, </w:t>
      </w:r>
      <w:r>
        <w:rPr>
          <w:rFonts w:ascii="Cascadia Mono" w:cs="Cascadia Mono" w:eastAsia="Cascadia Mono" w:hAnsi="Cascadia Mono"/>
          <w:color w:val="2B2B2B"/>
          <w:sz w:val="18"/>
          <w:szCs w:val="18"/>
        </w:rPr>
        <w:t xml:space="preserve">CL_DX_MAP</w:t>
      </w:r>
      <w:r>
        <w:t xml:space="preserve">. Caboodle: </w:t>
      </w:r>
      <w:r>
        <w:rPr>
          <w:rFonts w:ascii="Cascadia Mono" w:cs="Cascadia Mono" w:eastAsia="Cascadia Mono" w:hAnsi="Cascadia Mono"/>
          <w:color w:val="2B2B2B"/>
          <w:sz w:val="18"/>
          <w:szCs w:val="18"/>
        </w:rPr>
        <w:t xml:space="preserve">EncounterFact</w:t>
      </w:r>
      <w:r>
        <w:t xml:space="preserve">, </w:t>
      </w:r>
      <w:r>
        <w:rPr>
          <w:rFonts w:ascii="Cascadia Mono" w:cs="Cascadia Mono" w:eastAsia="Cascadia Mono" w:hAnsi="Cascadia Mono"/>
          <w:color w:val="2B2B2B"/>
          <w:sz w:val="18"/>
          <w:szCs w:val="18"/>
        </w:rPr>
        <w:t xml:space="preserve">OrderFact</w:t>
      </w:r>
      <w:r>
        <w:t xml:space="preserve">, </w:t>
      </w:r>
      <w:r>
        <w:rPr>
          <w:rFonts w:ascii="Cascadia Mono" w:cs="Cascadia Mono" w:eastAsia="Cascadia Mono" w:hAnsi="Cascadia Mono"/>
          <w:color w:val="2B2B2B"/>
          <w:sz w:val="18"/>
          <w:szCs w:val="18"/>
        </w:rPr>
        <w:t xml:space="preserve">LabFact</w:t>
      </w:r>
      <w:r>
        <w:t xml:space="preserve">, </w:t>
      </w:r>
      <w:r>
        <w:rPr>
          <w:rFonts w:ascii="Cascadia Mono" w:cs="Cascadia Mono" w:eastAsia="Cascadia Mono" w:hAnsi="Cascadia Mono"/>
          <w:color w:val="2B2B2B"/>
          <w:sz w:val="18"/>
          <w:szCs w:val="18"/>
        </w:rPr>
        <w:t xml:space="preserve">ClaimFact</w:t>
      </w:r>
      <w:r>
        <w:t xml:space="preserve">.</w:t>
      </w:r>
    </w:p>
    <w:p>
      <w:pPr>
        <w:spacing w:after="140"/>
      </w:pPr>
      <w:r>
        <w:rPr>
          <w:b/>
          <w:bCs/>
        </w:rPr>
        <w:t xml:space="preserve">Integration pattern.</w:t>
      </w:r>
      <w:r>
        <w:t xml:space="preserve"> Pattern 1 — Mirrored Database on Clarity (CDC via SQL Server) for near-real-time. Caboodle mirror is slower-cadence and used for dimensional lookups.</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bronze_epic_clarity_*</w:t>
      </w:r>
      <w:r>
        <w:t xml:space="preserve"> and </w:t>
      </w:r>
      <w:r>
        <w:rPr>
          <w:rFonts w:ascii="Cascadia Mono" w:cs="Cascadia Mono" w:eastAsia="Cascadia Mono" w:hAnsi="Cascadia Mono"/>
          <w:color w:val="2B2B2B"/>
          <w:sz w:val="18"/>
          <w:szCs w:val="18"/>
        </w:rPr>
        <w:t xml:space="preserve">bronze_epic_caboodle_*</w:t>
      </w:r>
      <w:r>
        <w:t xml:space="preserve"> — per-table mirrors. Volume: ~50–200 GB/day for a multi-hospital IDN.</w:t>
      </w:r>
    </w:p>
    <w:p>
      <w:pPr>
        <w:spacing w:after="140"/>
      </w:pPr>
      <w:r>
        <w:rPr>
          <w:b/>
          <w:bCs/>
        </w:rPr>
        <w:t xml:space="preserve">Silver transform.</w:t>
      </w:r>
      <w:r>
        <w:t xml:space="preserve"> The most complex Silver transform in the APEX catalogue. Multi-phase PySpark chain normalises Epic's encounter model to </w:t>
      </w:r>
      <w:r>
        <w:rPr>
          <w:rFonts w:ascii="Cascadia Mono" w:cs="Cascadia Mono" w:eastAsia="Cascadia Mono" w:hAnsi="Cascadia Mono"/>
          <w:color w:val="2B2B2B"/>
          <w:sz w:val="18"/>
          <w:szCs w:val="18"/>
        </w:rPr>
        <w:t xml:space="preserve">HLSCML.PATIENT_ENCOUNTER</w:t>
      </w:r>
      <w:r>
        <w:t xml:space="preserve">, maps orders to appropriate canonical entities, joins diagnosis codes through Clarity's translation tables. PHI tokenisation happens at each step; cleartext PHI never crosses into Silver.</w:t>
      </w:r>
    </w:p>
    <w:p>
      <w:pPr>
        <w:spacing w:after="140"/>
      </w:pPr>
      <w:r>
        <w:rPr>
          <w:b/>
          <w:bCs/>
        </w:rPr>
        <w:t xml:space="preserve">Gold views.</w:t>
      </w:r>
      <w:r>
        <w:t xml:space="preserve"> </w:t>
      </w:r>
      <w:r>
        <w:rPr>
          <w:rFonts w:ascii="Cascadia Mono" w:cs="Cascadia Mono" w:eastAsia="Cascadia Mono" w:hAnsi="Cascadia Mono"/>
          <w:color w:val="2B2B2B"/>
          <w:sz w:val="18"/>
          <w:szCs w:val="18"/>
        </w:rPr>
        <w:t xml:space="preserve">gold_active_admissions_v1</w:t>
      </w:r>
      <w:r>
        <w:t xml:space="preserve">, </w:t>
      </w:r>
      <w:r>
        <w:rPr>
          <w:rFonts w:ascii="Cascadia Mono" w:cs="Cascadia Mono" w:eastAsia="Cascadia Mono" w:hAnsi="Cascadia Mono"/>
          <w:color w:val="2B2B2B"/>
          <w:sz w:val="18"/>
          <w:szCs w:val="18"/>
        </w:rPr>
        <w:t xml:space="preserve">gold_discharge_ready_signals_v1</w:t>
      </w:r>
      <w:r>
        <w:t xml:space="preserve">, </w:t>
      </w:r>
      <w:r>
        <w:rPr>
          <w:rFonts w:ascii="Cascadia Mono" w:cs="Cascadia Mono" w:eastAsia="Cascadia Mono" w:hAnsi="Cascadia Mono"/>
          <w:color w:val="2B2B2B"/>
          <w:sz w:val="18"/>
          <w:szCs w:val="18"/>
        </w:rPr>
        <w:t xml:space="preserve">gold_denial_patterns_v1</w:t>
      </w:r>
      <w:r>
        <w:t xml:space="preserve">.</w:t>
      </w:r>
    </w:p>
    <w:p>
      <w:pPr>
        <w:spacing w:after="140"/>
      </w:pPr>
      <w:r>
        <w:rPr>
          <w:b/>
          <w:bCs/>
        </w:rPr>
        <w:t xml:space="preserve">Agents consuming.</w:t>
      </w:r>
      <w:r>
        <w:t xml:space="preserve"> HLS-A01 Discharge Pattern Analyst, HLS-A02 Disposition Planner, HLS-A05 Denial Classifier, HLS-A06 Appeal Drafter, HLS-A07 Trial Eligibility Reasoner.</w:t>
      </w:r>
    </w:p>
    <w:p>
      <w:pPr>
        <w:spacing w:after="140"/>
      </w:pPr>
      <w:r>
        <w:rPr>
          <w:b/>
          <w:bCs/>
        </w:rPr>
        <w:t xml:space="preserve">Typical engagement effort.</w:t>
      </w:r>
      <w:r>
        <w:t xml:space="preserve"> 10–14 weeks. Epic integration is the critical path on every HLS engagement.</w:t>
      </w:r>
    </w:p>
    <w:p>
      <w:pPr>
        <w:pStyle w:val="Heading4"/>
        <w:spacing w:after="100" w:before="220"/>
      </w:pPr>
      <w:r>
        <w:rPr>
          <w:rFonts w:ascii="Aptos" w:cs="Aptos" w:eastAsia="Aptos" w:hAnsi="Aptos"/>
          <w:b/>
          <w:bCs/>
          <w:color w:val="0B111E"/>
          <w:sz w:val="20"/>
          <w:szCs w:val="20"/>
        </w:rPr>
        <w:t xml:space="preserve">Epic ADT Stream · Real-Time Encounter Events</w:t>
      </w:r>
    </w:p>
    <w:p>
      <w:pPr>
        <w:spacing w:after="140"/>
      </w:pPr>
      <w:r>
        <w:rPr>
          <w:b/>
          <w:bCs/>
        </w:rPr>
        <w:t xml:space="preserve">What it is.</w:t>
      </w:r>
      <w:r>
        <w:t xml:space="preserve"> Epic's real-time admission-discharge-transfer HL7 v2.5 / FHIR R4 event stream. Emitted from Epic's Bridges interface engine.</w:t>
      </w:r>
    </w:p>
    <w:p>
      <w:pPr>
        <w:spacing w:after="140"/>
      </w:pPr>
      <w:r>
        <w:rPr>
          <w:b/>
          <w:bCs/>
        </w:rPr>
        <w:t xml:space="preserve">Downstream schema.</w:t>
      </w:r>
      <w:r>
        <w:t xml:space="preserve"> HL7 v2 messages (A01 admit, A03 discharge, A04 registration, A08 update, etc.) or FHIR Encounter resources.</w:t>
      </w:r>
    </w:p>
    <w:p>
      <w:pPr>
        <w:spacing w:after="140"/>
      </w:pPr>
      <w:r>
        <w:rPr>
          <w:b/>
          <w:bCs/>
        </w:rPr>
        <w:t xml:space="preserve">Integration pattern.</w:t>
      </w:r>
      <w:r>
        <w:t xml:space="preserve"> Pattern 2 — Eventstream with HL7/FHIR parser activity on the way in.</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bronze_epic_adt</w:t>
      </w:r>
      <w:r>
        <w:t xml:space="preserve"> — parsed structured events.</w:t>
      </w:r>
    </w:p>
    <w:p>
      <w:pPr>
        <w:spacing w:after="140"/>
      </w:pPr>
      <w:r>
        <w:rPr>
          <w:b/>
          <w:bCs/>
        </w:rPr>
        <w:t xml:space="preserve">Silver transform.</w:t>
      </w:r>
      <w:r>
        <w:t xml:space="preserve"> Near-real-time augmentation of </w:t>
      </w:r>
      <w:r>
        <w:rPr>
          <w:rFonts w:ascii="Cascadia Mono" w:cs="Cascadia Mono" w:eastAsia="Cascadia Mono" w:hAnsi="Cascadia Mono"/>
          <w:color w:val="2B2B2B"/>
          <w:sz w:val="18"/>
          <w:szCs w:val="18"/>
        </w:rPr>
        <w:t xml:space="preserve">HLSCML.PATIENT_ENCOUNTER</w:t>
      </w:r>
      <w:r>
        <w:t xml:space="preserve"> state. Critical path for SEP-02 Sepsis Early Warning (which needs sub-5-minute currency on patient state).</w:t>
      </w:r>
    </w:p>
    <w:p>
      <w:pPr>
        <w:spacing w:after="140"/>
      </w:pPr>
      <w:r>
        <w:rPr>
          <w:b/>
          <w:bCs/>
        </w:rPr>
        <w:t xml:space="preserve">Gold view.</w:t>
      </w:r>
      <w:r>
        <w:t xml:space="preserve"> </w:t>
      </w:r>
      <w:r>
        <w:rPr>
          <w:rFonts w:ascii="Cascadia Mono" w:cs="Cascadia Mono" w:eastAsia="Cascadia Mono" w:hAnsi="Cascadia Mono"/>
          <w:color w:val="2B2B2B"/>
          <w:sz w:val="18"/>
          <w:szCs w:val="18"/>
        </w:rPr>
        <w:t xml:space="preserve">gold_active_patient_state_v1</w:t>
      </w:r>
      <w:r>
        <w:t xml:space="preserve"> — real-time encounter state per unit.</w:t>
      </w:r>
    </w:p>
    <w:p>
      <w:pPr>
        <w:spacing w:after="140"/>
      </w:pPr>
      <w:r>
        <w:rPr>
          <w:b/>
          <w:bCs/>
        </w:rPr>
        <w:t xml:space="preserve">Agents consuming.</w:t>
      </w:r>
      <w:r>
        <w:t xml:space="preserve"> HLS-A01, HLS-A03 Sepsis Pattern Detector (latency-critical).</w:t>
      </w:r>
    </w:p>
    <w:p>
      <w:pPr>
        <w:spacing w:after="140"/>
      </w:pPr>
      <w:r>
        <w:rPr>
          <w:b/>
          <w:bCs/>
        </w:rPr>
        <w:t xml:space="preserve">Typical engagement effort.</w:t>
      </w:r>
      <w:r>
        <w:t xml:space="preserve"> 4–6 weeks; the HL7 parser development is the key work.</w:t>
      </w:r>
    </w:p>
    <w:p>
      <w:pPr>
        <w:pStyle w:val="Heading4"/>
        <w:spacing w:after="100" w:before="220"/>
      </w:pPr>
      <w:r>
        <w:rPr>
          <w:rFonts w:ascii="Aptos" w:cs="Aptos" w:eastAsia="Aptos" w:hAnsi="Aptos"/>
          <w:b/>
          <w:bCs/>
          <w:color w:val="0B111E"/>
          <w:sz w:val="20"/>
          <w:szCs w:val="20"/>
        </w:rPr>
        <w:t xml:space="preserve">Epic FHIR API · Vitals &amp; Labs</w:t>
      </w:r>
    </w:p>
    <w:p>
      <w:pPr>
        <w:spacing w:after="140"/>
      </w:pPr>
      <w:r>
        <w:rPr>
          <w:b/>
          <w:bCs/>
        </w:rPr>
        <w:t xml:space="preserve">What it is.</w:t>
      </w:r>
      <w:r>
        <w:t xml:space="preserve"> Epic's FHIR R4 API endpoints for Observation (vitals), DiagnosticReport (lab results), and MedicationRequest.</w:t>
      </w:r>
    </w:p>
    <w:p>
      <w:pPr>
        <w:spacing w:after="140"/>
      </w:pPr>
      <w:r>
        <w:rPr>
          <w:b/>
          <w:bCs/>
        </w:rPr>
        <w:t xml:space="preserve">Integration pattern.</w:t>
      </w:r>
      <w:r>
        <w:t xml:space="preserve"> Pattern 4 — Dataflow Gen2 pull on 5-minute cadence for monitored units; near-real-time streaming for ICU via Pattern 2 with dedicated FHIR Eventstream.</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bronze_epic_fhir_observation</w:t>
      </w:r>
      <w:r>
        <w:t xml:space="preserve">, </w:t>
      </w:r>
      <w:r>
        <w:rPr>
          <w:rFonts w:ascii="Cascadia Mono" w:cs="Cascadia Mono" w:eastAsia="Cascadia Mono" w:hAnsi="Cascadia Mono"/>
          <w:color w:val="2B2B2B"/>
          <w:sz w:val="18"/>
          <w:szCs w:val="18"/>
        </w:rPr>
        <w:t xml:space="preserve">bronze_epic_fhir_lab</w:t>
      </w:r>
      <w:r>
        <w:t xml:space="preserve">.</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HLSCML.VITALS</w:t>
      </w:r>
      <w:r>
        <w:t xml:space="preserve">, </w:t>
      </w:r>
      <w:r>
        <w:rPr>
          <w:rFonts w:ascii="Cascadia Mono" w:cs="Cascadia Mono" w:eastAsia="Cascadia Mono" w:hAnsi="Cascadia Mono"/>
          <w:color w:val="2B2B2B"/>
          <w:sz w:val="18"/>
          <w:szCs w:val="18"/>
        </w:rPr>
        <w:t xml:space="preserve">HLSCML.LAB_RESULT</w:t>
      </w:r>
      <w:r>
        <w:t xml:space="preserve">. Tokenises patient_id at ingest.</w:t>
      </w:r>
    </w:p>
    <w:p>
      <w:pPr>
        <w:spacing w:after="140"/>
      </w:pPr>
      <w:r>
        <w:rPr>
          <w:b/>
          <w:bCs/>
        </w:rPr>
        <w:t xml:space="preserve">Agents consuming.</w:t>
      </w:r>
      <w:r>
        <w:t xml:space="preserve"> HLS-A03 Sepsis Pattern Detector, HLS-A04 Clinical Reasoner.</w:t>
      </w:r>
    </w:p>
    <w:p>
      <w:pPr>
        <w:spacing w:after="140"/>
      </w:pPr>
      <w:r>
        <w:rPr>
          <w:b/>
          <w:bCs/>
        </w:rPr>
        <w:t xml:space="preserve">Typical engagement effort.</w:t>
      </w:r>
      <w:r>
        <w:t xml:space="preserve"> 5–8 weeks due to FHIR endpoint variance across Epic versions and client-specific customisations.</w:t>
      </w:r>
    </w:p>
    <w:p>
      <w:pPr>
        <w:pStyle w:val="Heading4"/>
        <w:spacing w:after="100" w:before="220"/>
      </w:pPr>
      <w:r>
        <w:rPr>
          <w:rFonts w:ascii="Aptos" w:cs="Aptos" w:eastAsia="Aptos" w:hAnsi="Aptos"/>
          <w:b/>
          <w:bCs/>
          <w:color w:val="0B111E"/>
          <w:sz w:val="20"/>
          <w:szCs w:val="20"/>
        </w:rPr>
        <w:t xml:space="preserve">Pharmacy Inventory (Omnicell / Pyxis / institutional)</w:t>
      </w:r>
    </w:p>
    <w:p>
      <w:pPr>
        <w:spacing w:after="140"/>
      </w:pPr>
      <w:r>
        <w:rPr>
          <w:b/>
          <w:bCs/>
        </w:rPr>
        <w:t xml:space="preserve">What it is.</w:t>
      </w:r>
      <w:r>
        <w:t xml:space="preserve"> Automated dispensing cabinets and pharmacy inventory systems. Track drug-lot-level inventory at cabinet granularity.</w:t>
      </w:r>
    </w:p>
    <w:p>
      <w:pPr>
        <w:spacing w:after="140"/>
      </w:pPr>
      <w:r>
        <w:rPr>
          <w:b/>
          <w:bCs/>
        </w:rPr>
        <w:t xml:space="preserve">Integration pattern.</w:t>
      </w:r>
      <w:r>
        <w:t xml:space="preserve"> Pattern 3 — Data Pipeline (SFTP) or Pattern 1 — Mirrored Database depending on vendor.</w:t>
      </w:r>
    </w:p>
    <w:p>
      <w:pPr>
        <w:spacing w:after="140"/>
      </w:pPr>
      <w:r>
        <w:rPr>
          <w:b/>
          <w:bCs/>
        </w:rPr>
        <w:t xml:space="preserve">Bronze landing.</w:t>
      </w:r>
      <w:r>
        <w:t xml:space="preserve"> </w:t>
      </w:r>
      <w:r>
        <w:rPr>
          <w:rFonts w:ascii="Cascadia Mono" w:cs="Cascadia Mono" w:eastAsia="Cascadia Mono" w:hAnsi="Cascadia Mono"/>
          <w:color w:val="2B2B2B"/>
          <w:sz w:val="18"/>
          <w:szCs w:val="18"/>
        </w:rPr>
        <w:t xml:space="preserve">bronze_pharmacy_inventory</w:t>
      </w:r>
      <w:r>
        <w:t xml:space="preserve">, </w:t>
      </w:r>
      <w:r>
        <w:rPr>
          <w:rFonts w:ascii="Cascadia Mono" w:cs="Cascadia Mono" w:eastAsia="Cascadia Mono" w:hAnsi="Cascadia Mono"/>
          <w:color w:val="2B2B2B"/>
          <w:sz w:val="18"/>
          <w:szCs w:val="18"/>
        </w:rPr>
        <w:t xml:space="preserve">bronze_pharmacy_movements</w:t>
      </w:r>
      <w:r>
        <w:t xml:space="preserve">.</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SCML.LOT_EXPIRATION_STATE</w:t>
      </w:r>
      <w:r>
        <w:t xml:space="preserve"> (pharmacy subset) and </w:t>
      </w:r>
      <w:r>
        <w:rPr>
          <w:rFonts w:ascii="Cascadia Mono" w:cs="Cascadia Mono" w:eastAsia="Cascadia Mono" w:hAnsi="Cascadia Mono"/>
          <w:color w:val="2B2B2B"/>
          <w:sz w:val="18"/>
          <w:szCs w:val="18"/>
        </w:rPr>
        <w:t xml:space="preserve">SCML.RECALL_NOTICE</w:t>
      </w:r>
      <w:r>
        <w:t xml:space="preserve"> intersection views.</w:t>
      </w:r>
    </w:p>
    <w:p>
      <w:pPr>
        <w:spacing w:after="140"/>
      </w:pPr>
      <w:r>
        <w:rPr>
          <w:b/>
          <w:bCs/>
        </w:rPr>
        <w:t xml:space="preserve">Agents consuming.</w:t>
      </w:r>
      <w:r>
        <w:t xml:space="preserve"> SCM-A07 Expiry Curve Monitor, SCM-A08 Recall Intersection Agent.</w:t>
      </w:r>
    </w:p>
    <w:p>
      <w:pPr>
        <w:spacing w:after="140"/>
      </w:pPr>
      <w:r>
        <w:rPr>
          <w:b/>
          <w:bCs/>
        </w:rPr>
        <w:t xml:space="preserve">Typical engagement effort.</w:t>
      </w:r>
      <w:r>
        <w:t xml:space="preserve"> 4–6 weeks; vendor variance is the main cost.</w:t>
      </w:r>
    </w:p>
    <w:p>
      <w:pPr>
        <w:pStyle w:val="Heading4"/>
        <w:spacing w:after="100" w:before="220"/>
      </w:pPr>
      <w:r>
        <w:rPr>
          <w:rFonts w:ascii="Aptos" w:cs="Aptos" w:eastAsia="Aptos" w:hAnsi="Aptos"/>
          <w:b/>
          <w:bCs/>
          <w:color w:val="0B111E"/>
          <w:sz w:val="20"/>
          <w:szCs w:val="20"/>
        </w:rPr>
        <w:t xml:space="preserve">Claim / Denial Feeds (X12 837 / 835)</w:t>
      </w:r>
    </w:p>
    <w:p>
      <w:pPr>
        <w:spacing w:after="140"/>
      </w:pPr>
      <w:r>
        <w:rPr>
          <w:b/>
          <w:bCs/>
        </w:rPr>
        <w:t xml:space="preserve">Integration pattern.</w:t>
      </w:r>
      <w:r>
        <w:t xml:space="preserve"> Pattern 3 — Data Pipeline (SFTP + EDI parser). Typically daily batch from the clearinghouse.</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HLSCML.CLAIM_DENIAL</w:t>
      </w:r>
      <w:r>
        <w:t xml:space="preserve"> with denial-code enrichment via reference tables.</w:t>
      </w:r>
    </w:p>
    <w:p>
      <w:pPr>
        <w:spacing w:after="140"/>
      </w:pPr>
      <w:r>
        <w:rPr>
          <w:b/>
          <w:bCs/>
        </w:rPr>
        <w:t xml:space="preserve">Agents consuming.</w:t>
      </w:r>
      <w:r>
        <w:t xml:space="preserve"> HLS-A05 Denial Classifier, HLS-A06 Appeal Drafter.</w:t>
      </w:r>
    </w:p>
    <w:p>
      <w:pPr>
        <w:spacing w:after="140"/>
      </w:pPr>
      <w:r>
        <w:rPr>
          <w:b/>
          <w:bCs/>
        </w:rPr>
        <w:t xml:space="preserve">Typical engagement effort.</w:t>
      </w:r>
      <w:r>
        <w:t xml:space="preserve"> 3–4 weeks.</w:t>
      </w:r>
    </w:p>
    <w:p>
      <w:pPr>
        <w:pStyle w:val="Heading4"/>
        <w:spacing w:after="100" w:before="220"/>
      </w:pPr>
      <w:r>
        <w:rPr>
          <w:rFonts w:ascii="Aptos" w:cs="Aptos" w:eastAsia="Aptos" w:hAnsi="Aptos"/>
          <w:b/>
          <w:bCs/>
          <w:color w:val="0B111E"/>
          <w:sz w:val="20"/>
          <w:szCs w:val="20"/>
        </w:rPr>
        <w:t xml:space="preserve">Clinical Trials Registries</w:t>
      </w:r>
    </w:p>
    <w:p>
      <w:pPr>
        <w:spacing w:after="140"/>
      </w:pPr>
      <w:r>
        <w:rPr>
          <w:b/>
          <w:bCs/>
        </w:rPr>
        <w:t xml:space="preserve">Integration pattern.</w:t>
      </w:r>
      <w:r>
        <w:t xml:space="preserve"> Pattern 4 — Dataflow Gen2 (ClinicalTrials.gov REST); Pattern 1 — Mirrored DB for institutional CRIS.</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HLSCML.TRIAL_PROTOCOL</w:t>
      </w:r>
      <w:r>
        <w:t xml:space="preserve"> and </w:t>
      </w:r>
      <w:r>
        <w:rPr>
          <w:rFonts w:ascii="Cascadia Mono" w:cs="Cascadia Mono" w:eastAsia="Cascadia Mono" w:hAnsi="Cascadia Mono"/>
          <w:color w:val="2B2B2B"/>
          <w:sz w:val="18"/>
          <w:szCs w:val="18"/>
        </w:rPr>
        <w:t xml:space="preserve">HLSCML.ELIGIBILITY_CRITERIA</w:t>
      </w:r>
      <w:r>
        <w:t xml:space="preserve">.</w:t>
      </w:r>
    </w:p>
    <w:p>
      <w:pPr>
        <w:spacing w:after="140"/>
      </w:pPr>
      <w:r>
        <w:rPr>
          <w:b/>
          <w:bCs/>
        </w:rPr>
        <w:t xml:space="preserve">Agents consuming.</w:t>
      </w:r>
      <w:r>
        <w:t xml:space="preserve"> HLS-A07 Trial Eligibility Reasoner.</w:t>
      </w:r>
    </w:p>
    <w:p>
      <w:pPr>
        <w:pStyle w:val="Heading4"/>
        <w:spacing w:after="100" w:before="220"/>
      </w:pPr>
      <w:r>
        <w:rPr>
          <w:rFonts w:ascii="Aptos" w:cs="Aptos" w:eastAsia="Aptos" w:hAnsi="Aptos"/>
          <w:b/>
          <w:bCs/>
          <w:color w:val="0B111E"/>
          <w:sz w:val="20"/>
          <w:szCs w:val="20"/>
        </w:rPr>
        <w:t xml:space="preserve">Incident Reporting System</w:t>
      </w:r>
    </w:p>
    <w:p>
      <w:pPr>
        <w:spacing w:after="140"/>
      </w:pPr>
      <w:r>
        <w:rPr>
          <w:b/>
          <w:bCs/>
        </w:rPr>
        <w:t xml:space="preserve">Integration pattern.</w:t>
      </w:r>
      <w:r>
        <w:t xml:space="preserve"> Pattern 5 — Webhook + Pattern 4 — Dataflow Gen2.</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HLSCML.PATIENT_SAFETY_EVENT</w:t>
      </w:r>
      <w:r>
        <w:t xml:space="preserve">, </w:t>
      </w:r>
      <w:r>
        <w:rPr>
          <w:rFonts w:ascii="Cascadia Mono" w:cs="Cascadia Mono" w:eastAsia="Cascadia Mono" w:hAnsi="Cascadia Mono"/>
          <w:color w:val="2B2B2B"/>
          <w:sz w:val="18"/>
          <w:szCs w:val="18"/>
        </w:rPr>
        <w:t xml:space="preserve">HLSCML.INCIDENT_CLASSIFICATION</w:t>
      </w:r>
      <w:r>
        <w:t xml:space="preserve">.</w:t>
      </w:r>
    </w:p>
    <w:p>
      <w:pPr>
        <w:pStyle w:val="Heading3"/>
        <w:spacing w:after="120" w:before="260"/>
      </w:pPr>
      <w:r>
        <w:rPr>
          <w:rFonts w:ascii="Aptos" w:cs="Aptos" w:eastAsia="Aptos" w:hAnsi="Aptos"/>
          <w:b/>
          <w:bCs/>
          <w:color w:val="0B111E"/>
          <w:sz w:val="24"/>
          <w:szCs w:val="24"/>
        </w:rPr>
        <w:t xml:space="preserve">8A.7 ER Practice SOR Atlas</w:t>
      </w:r>
    </w:p>
    <w:p>
      <w:pPr>
        <w:pStyle w:val="Heading4"/>
        <w:spacing w:after="100" w:before="220"/>
      </w:pPr>
      <w:r>
        <w:rPr>
          <w:rFonts w:ascii="Aptos" w:cs="Aptos" w:eastAsia="Aptos" w:hAnsi="Aptos"/>
          <w:b/>
          <w:bCs/>
          <w:color w:val="0B111E"/>
          <w:sz w:val="20"/>
          <w:szCs w:val="20"/>
        </w:rPr>
        <w:t xml:space="preserve">SAP ISU · Utility Customer Information &amp; Billing</w:t>
      </w:r>
    </w:p>
    <w:p>
      <w:pPr>
        <w:spacing w:after="140"/>
      </w:pPr>
      <w:r>
        <w:rPr>
          <w:b/>
          <w:bCs/>
        </w:rPr>
        <w:t xml:space="preserve">What it is.</w:t>
      </w:r>
      <w:r>
        <w:t xml:space="preserve"> SAP Industry Solution for Utilities. The CIS and billing backbone for most investor-owned utilities. Holds accounts, meters, rate plans, reads, and invoices.</w:t>
      </w:r>
    </w:p>
    <w:p>
      <w:pPr>
        <w:spacing w:after="140"/>
      </w:pPr>
      <w:r>
        <w:rPr>
          <w:b/>
          <w:bCs/>
        </w:rPr>
        <w:t xml:space="preserve">Integration pattern.</w:t>
      </w:r>
      <w:r>
        <w:t xml:space="preserve"> Pattern 1 — Mirrored Database on SAP HANA (if source is HANA-backed) or Pattern 3 — Data Pipeline (if extracting via IDoc-to-SFTP).</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ERCML.METER_READING</w:t>
      </w:r>
      <w:r>
        <w:t xml:space="preserve">, </w:t>
      </w:r>
      <w:r>
        <w:rPr>
          <w:rFonts w:ascii="Cascadia Mono" w:cs="Cascadia Mono" w:eastAsia="Cascadia Mono" w:hAnsi="Cascadia Mono"/>
          <w:color w:val="2B2B2B"/>
          <w:sz w:val="18"/>
          <w:szCs w:val="18"/>
        </w:rPr>
        <w:t xml:space="preserve">ERCML.BILLING_EXCEPTION</w:t>
      </w:r>
      <w:r>
        <w:t xml:space="preserve">, </w:t>
      </w:r>
      <w:r>
        <w:rPr>
          <w:rFonts w:ascii="Cascadia Mono" w:cs="Cascadia Mono" w:eastAsia="Cascadia Mono" w:hAnsi="Cascadia Mono"/>
          <w:color w:val="2B2B2B"/>
          <w:sz w:val="18"/>
          <w:szCs w:val="18"/>
        </w:rPr>
        <w:t xml:space="preserve">ERCML.RATE_SCHEDULE</w:t>
      </w:r>
      <w:r>
        <w:t xml:space="preserve">.</w:t>
      </w:r>
    </w:p>
    <w:p>
      <w:pPr>
        <w:spacing w:after="140"/>
      </w:pPr>
      <w:r>
        <w:rPr>
          <w:b/>
          <w:bCs/>
        </w:rPr>
        <w:t xml:space="preserve">Agents consuming.</w:t>
      </w:r>
      <w:r>
        <w:t xml:space="preserve"> ER-A01 Outage Classifier, ER-A05 Exception Classifier, ER-A06 Auto-Resolution Agent.</w:t>
      </w:r>
    </w:p>
    <w:p>
      <w:pPr>
        <w:spacing w:after="140"/>
      </w:pPr>
      <w:r>
        <w:rPr>
          <w:b/>
          <w:bCs/>
        </w:rPr>
        <w:t xml:space="preserve">Typical engagement effort.</w:t>
      </w:r>
      <w:r>
        <w:t xml:space="preserve"> 10–14 weeks. SAP ISU data-model complexity rivals Epic.</w:t>
      </w:r>
    </w:p>
    <w:p>
      <w:pPr>
        <w:pStyle w:val="Heading4"/>
        <w:spacing w:after="100" w:before="220"/>
      </w:pPr>
      <w:r>
        <w:rPr>
          <w:rFonts w:ascii="Aptos" w:cs="Aptos" w:eastAsia="Aptos" w:hAnsi="Aptos"/>
          <w:b/>
          <w:bCs/>
          <w:color w:val="0B111E"/>
          <w:sz w:val="20"/>
          <w:szCs w:val="20"/>
        </w:rPr>
        <w:t xml:space="preserve">AMI Head-End (Itron / Landis+Gyr / Sensus)</w:t>
      </w:r>
    </w:p>
    <w:p>
      <w:pPr>
        <w:spacing w:after="140"/>
      </w:pPr>
      <w:r>
        <w:rPr>
          <w:b/>
          <w:bCs/>
        </w:rPr>
        <w:t xml:space="preserve">What it is.</w:t>
      </w:r>
      <w:r>
        <w:t xml:space="preserve"> Advanced Metering Infrastructure vendor platforms. Collect and aggregate meter reads from thousands to millions of meters.</w:t>
      </w:r>
    </w:p>
    <w:p>
      <w:pPr>
        <w:spacing w:after="140"/>
      </w:pPr>
      <w:r>
        <w:rPr>
          <w:b/>
          <w:bCs/>
        </w:rPr>
        <w:t xml:space="preserve">Integration pattern.</w:t>
      </w:r>
      <w:r>
        <w:t xml:space="preserve"> Pattern 2 — Eventstream (for vendors with Kafka/AMQP outbound) or Pattern 3 — Data Pipeline (SFTP-only vendors).</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ERCML.METER_READING</w:t>
      </w:r>
      <w:r>
        <w:t xml:space="preserve"> (the high-volume entity — can be 10M+ rows/hour for a 2M-meter utility).</w:t>
      </w:r>
    </w:p>
    <w:p>
      <w:pPr>
        <w:spacing w:after="140"/>
      </w:pPr>
      <w:r>
        <w:rPr>
          <w:b/>
          <w:bCs/>
        </w:rPr>
        <w:t xml:space="preserve">Agents consuming.</w:t>
      </w:r>
      <w:r>
        <w:t xml:space="preserve"> ER-A01 Outage Classifier, ER-A02 Dispatch Recommender.</w:t>
      </w:r>
    </w:p>
    <w:p>
      <w:pPr>
        <w:pStyle w:val="Heading4"/>
        <w:spacing w:after="100" w:before="220"/>
      </w:pPr>
      <w:r>
        <w:rPr>
          <w:rFonts w:ascii="Aptos" w:cs="Aptos" w:eastAsia="Aptos" w:hAnsi="Aptos"/>
          <w:b/>
          <w:bCs/>
          <w:color w:val="0B111E"/>
          <w:sz w:val="20"/>
          <w:szCs w:val="20"/>
        </w:rPr>
        <w:t xml:space="preserve">SCADA · Grid Telemetry</w:t>
      </w:r>
    </w:p>
    <w:p>
      <w:pPr>
        <w:spacing w:after="140"/>
      </w:pPr>
      <w:r>
        <w:rPr>
          <w:b/>
          <w:bCs/>
        </w:rPr>
        <w:t xml:space="preserve">What it is.</w:t>
      </w:r>
      <w:r>
        <w:t xml:space="preserve"> The supervisory control and data acquisition platform monitoring substations, feeders, and transmission assets. Historians (OSIsoft PI, GE Historian) hold the data.</w:t>
      </w:r>
    </w:p>
    <w:p>
      <w:pPr>
        <w:spacing w:after="140"/>
      </w:pPr>
      <w:r>
        <w:rPr>
          <w:b/>
          <w:bCs/>
        </w:rPr>
        <w:t xml:space="preserve">Integration pattern.</w:t>
      </w:r>
      <w:r>
        <w:t xml:space="preserve"> Pattern 2 — Eventstream with KQL sink (for GRD-02's 30-second SLO). For historian access beyond the real-time stream, Pattern 3 — Data Pipeline against the historian's archive API.</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ERCML.SCADA_TELEMETRY</w:t>
      </w:r>
      <w:r>
        <w:t xml:space="preserve">, </w:t>
      </w:r>
      <w:r>
        <w:rPr>
          <w:rFonts w:ascii="Cascadia Mono" w:cs="Cascadia Mono" w:eastAsia="Cascadia Mono" w:hAnsi="Cascadia Mono"/>
          <w:color w:val="2B2B2B"/>
          <w:sz w:val="18"/>
          <w:szCs w:val="18"/>
        </w:rPr>
        <w:t xml:space="preserve">ERCML.GRID_ANOMALY</w:t>
      </w:r>
      <w:r>
        <w:t xml:space="preserve">.</w:t>
      </w:r>
    </w:p>
    <w:p>
      <w:pPr>
        <w:spacing w:after="140"/>
      </w:pPr>
      <w:r>
        <w:rPr>
          <w:b/>
          <w:bCs/>
        </w:rPr>
        <w:t xml:space="preserve">Agents consuming.</w:t>
      </w:r>
      <w:r>
        <w:t xml:space="preserve"> ER-A03 SCADA Pattern Classifier, ER-A04 Action Reasoner (reasoning tier).</w:t>
      </w:r>
    </w:p>
    <w:p>
      <w:pPr>
        <w:spacing w:after="140"/>
      </w:pPr>
      <w:r>
        <w:rPr>
          <w:b/>
          <w:bCs/>
        </w:rPr>
        <w:t xml:space="preserve">Typical engagement effort.</w:t>
      </w:r>
      <w:r>
        <w:t xml:space="preserve"> 8–10 weeks. SCADA/historian complexity + critical-infrastructure security posture.</w:t>
      </w:r>
    </w:p>
    <w:p>
      <w:pPr>
        <w:pStyle w:val="Heading4"/>
        <w:spacing w:after="100" w:before="220"/>
      </w:pPr>
      <w:r>
        <w:rPr>
          <w:rFonts w:ascii="Aptos" w:cs="Aptos" w:eastAsia="Aptos" w:hAnsi="Aptos"/>
          <w:b/>
          <w:bCs/>
          <w:color w:val="0B111E"/>
          <w:sz w:val="20"/>
          <w:szCs w:val="20"/>
        </w:rPr>
        <w:t xml:space="preserve">OMS / DMS (GE GridOS, Oracle, Schneider)</w:t>
      </w:r>
    </w:p>
    <w:p>
      <w:pPr>
        <w:spacing w:after="140"/>
      </w:pPr>
      <w:r>
        <w:rPr>
          <w:b/>
          <w:bCs/>
        </w:rPr>
        <w:t xml:space="preserve">Integration pattern.</w:t>
      </w:r>
      <w:r>
        <w:t xml:space="preserve"> Pattern 1 — Mirrored Database or Pattern 4 — Dataflow Gen2 via native API.</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ERCML.OUTAGE_EVENT</w:t>
      </w:r>
      <w:r>
        <w:t xml:space="preserve">, </w:t>
      </w:r>
      <w:r>
        <w:rPr>
          <w:rFonts w:ascii="Cascadia Mono" w:cs="Cascadia Mono" w:eastAsia="Cascadia Mono" w:hAnsi="Cascadia Mono"/>
          <w:color w:val="2B2B2B"/>
          <w:sz w:val="18"/>
          <w:szCs w:val="18"/>
        </w:rPr>
        <w:t xml:space="preserve">ERCML.CUSTOMER_SERVICE_STATE</w:t>
      </w:r>
      <w:r>
        <w:t xml:space="preserve">.</w:t>
      </w:r>
    </w:p>
    <w:p>
      <w:pPr>
        <w:pStyle w:val="Heading4"/>
        <w:spacing w:after="100" w:before="220"/>
      </w:pPr>
      <w:r>
        <w:rPr>
          <w:rFonts w:ascii="Aptos" w:cs="Aptos" w:eastAsia="Aptos" w:hAnsi="Aptos"/>
          <w:b/>
          <w:bCs/>
          <w:color w:val="0B111E"/>
          <w:sz w:val="20"/>
          <w:szCs w:val="20"/>
        </w:rPr>
        <w:t xml:space="preserve">MS Field Service (Dynamics 365)</w:t>
      </w:r>
    </w:p>
    <w:p>
      <w:pPr>
        <w:spacing w:after="140"/>
      </w:pPr>
      <w:r>
        <w:rPr>
          <w:b/>
          <w:bCs/>
        </w:rPr>
        <w:t xml:space="preserve">Integration pattern.</w:t>
      </w:r>
      <w:r>
        <w:t xml:space="preserve"> Native Dataverse integration into OneLake. Zero-effort mirror through Fabric-Dynamics link.</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ERCML.WORK_ORDER</w:t>
      </w:r>
      <w:r>
        <w:t xml:space="preserve">, </w:t>
      </w:r>
      <w:r>
        <w:rPr>
          <w:rFonts w:ascii="Cascadia Mono" w:cs="Cascadia Mono" w:eastAsia="Cascadia Mono" w:hAnsi="Cascadia Mono"/>
          <w:color w:val="2B2B2B"/>
          <w:sz w:val="18"/>
          <w:szCs w:val="18"/>
        </w:rPr>
        <w:t xml:space="preserve">ERCML.CREW_STATE</w:t>
      </w:r>
      <w:r>
        <w:t xml:space="preserve">.</w:t>
      </w:r>
    </w:p>
    <w:p>
      <w:pPr>
        <w:spacing w:after="140"/>
      </w:pPr>
      <w:r>
        <w:rPr>
          <w:b/>
          <w:bCs/>
        </w:rPr>
        <w:t xml:space="preserve">Agents consuming.</w:t>
      </w:r>
      <w:r>
        <w:t xml:space="preserve"> ER-A07 Crew-Skills Matcher, ER-A08 Route Optimiser.</w:t>
      </w:r>
    </w:p>
    <w:p>
      <w:pPr>
        <w:pStyle w:val="Heading4"/>
        <w:spacing w:after="100" w:before="220"/>
      </w:pPr>
      <w:r>
        <w:rPr>
          <w:rFonts w:ascii="Aptos" w:cs="Aptos" w:eastAsia="Aptos" w:hAnsi="Aptos"/>
          <w:b/>
          <w:bCs/>
          <w:color w:val="0B111E"/>
          <w:sz w:val="20"/>
          <w:szCs w:val="20"/>
        </w:rPr>
        <w:t xml:space="preserve">FERC / PUC Regulatory Feeds</w:t>
      </w:r>
    </w:p>
    <w:p>
      <w:pPr>
        <w:spacing w:after="140"/>
      </w:pPr>
      <w:r>
        <w:rPr>
          <w:b/>
          <w:bCs/>
        </w:rPr>
        <w:t xml:space="preserve">Integration pattern.</w:t>
      </w:r>
      <w:r>
        <w:t xml:space="preserve"> Pattern 4 — Dataflow Gen2.</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ERCML.REGULATORY_EVENT</w:t>
      </w:r>
      <w:r>
        <w:t xml:space="preserve">.</w:t>
      </w:r>
    </w:p>
    <w:p>
      <w:pPr>
        <w:pStyle w:val="Heading3"/>
        <w:spacing w:after="120" w:before="260"/>
      </w:pPr>
      <w:r>
        <w:rPr>
          <w:rFonts w:ascii="Aptos" w:cs="Aptos" w:eastAsia="Aptos" w:hAnsi="Aptos"/>
          <w:b/>
          <w:bCs/>
          <w:color w:val="0B111E"/>
          <w:sz w:val="24"/>
          <w:szCs w:val="24"/>
        </w:rPr>
        <w:t xml:space="preserve">8A.8 AXLE Practice SOR Atlas</w:t>
      </w:r>
    </w:p>
    <w:p>
      <w:pPr>
        <w:pStyle w:val="Heading4"/>
        <w:spacing w:after="100" w:before="220"/>
      </w:pPr>
      <w:r>
        <w:rPr>
          <w:rFonts w:ascii="Aptos" w:cs="Aptos" w:eastAsia="Aptos" w:hAnsi="Aptos"/>
          <w:b/>
          <w:bCs/>
          <w:color w:val="0B111E"/>
          <w:sz w:val="20"/>
          <w:szCs w:val="20"/>
        </w:rPr>
        <w:t xml:space="preserve">Plex MES · Shop-Floor Execution</w:t>
      </w:r>
    </w:p>
    <w:p>
      <w:pPr>
        <w:spacing w:after="140"/>
      </w:pPr>
      <w:r>
        <w:rPr>
          <w:b/>
          <w:bCs/>
        </w:rPr>
        <w:t xml:space="preserve">What it is.</w:t>
      </w:r>
      <w:r>
        <w:t xml:space="preserve"> Cloud MES for discrete manufacturing. Publishes production events in real time.</w:t>
      </w:r>
    </w:p>
    <w:p>
      <w:pPr>
        <w:spacing w:after="140"/>
      </w:pPr>
      <w:r>
        <w:rPr>
          <w:b/>
          <w:bCs/>
        </w:rPr>
        <w:t xml:space="preserve">Integration pattern.</w:t>
      </w:r>
      <w:r>
        <w:t xml:space="preserve"> Pattern 2 — Eventstream from Plex's event-publication API.</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AXLECML.PRODUCTION_EVENT</w:t>
      </w:r>
      <w:r>
        <w:t xml:space="preserve">.</w:t>
      </w:r>
    </w:p>
    <w:p>
      <w:pPr>
        <w:spacing w:after="140"/>
      </w:pPr>
      <w:r>
        <w:rPr>
          <w:b/>
          <w:bCs/>
        </w:rPr>
        <w:t xml:space="preserve">Agents consuming.</w:t>
      </w:r>
      <w:r>
        <w:t xml:space="preserve"> AXLE-A01 Halt Classifier, AXLE-A09 Drift Detector.</w:t>
      </w:r>
    </w:p>
    <w:p>
      <w:pPr>
        <w:pStyle w:val="Heading4"/>
        <w:spacing w:after="100" w:before="220"/>
      </w:pPr>
      <w:r>
        <w:rPr>
          <w:rFonts w:ascii="Aptos" w:cs="Aptos" w:eastAsia="Aptos" w:hAnsi="Aptos"/>
          <w:b/>
          <w:bCs/>
          <w:color w:val="0B111E"/>
          <w:sz w:val="20"/>
          <w:szCs w:val="20"/>
        </w:rPr>
        <w:t xml:space="preserve">SAP QM · Quality Management</w:t>
      </w:r>
    </w:p>
    <w:p>
      <w:pPr>
        <w:spacing w:after="140"/>
      </w:pPr>
      <w:r>
        <w:rPr>
          <w:b/>
          <w:bCs/>
        </w:rPr>
        <w:t xml:space="preserve">Integration pattern.</w:t>
      </w:r>
      <w:r>
        <w:t xml:space="preserve"> Pattern 1 — Mirrored Database.</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AXLECML.QUALITY_EXCURSION</w:t>
      </w:r>
      <w:r>
        <w:t xml:space="preserve">, </w:t>
      </w:r>
      <w:r>
        <w:rPr>
          <w:rFonts w:ascii="Cascadia Mono" w:cs="Cascadia Mono" w:eastAsia="Cascadia Mono" w:hAnsi="Cascadia Mono"/>
          <w:color w:val="2B2B2B"/>
          <w:sz w:val="18"/>
          <w:szCs w:val="18"/>
        </w:rPr>
        <w:t xml:space="preserve">AXLECML.GENEALOGY</w:t>
      </w:r>
      <w:r>
        <w:t xml:space="preserve">, </w:t>
      </w:r>
      <w:r>
        <w:rPr>
          <w:rFonts w:ascii="Cascadia Mono" w:cs="Cascadia Mono" w:eastAsia="Cascadia Mono" w:hAnsi="Cascadia Mono"/>
          <w:color w:val="2B2B2B"/>
          <w:sz w:val="18"/>
          <w:szCs w:val="18"/>
        </w:rPr>
        <w:t xml:space="preserve">AXLECML.PRODUCT_LOT</w:t>
      </w:r>
      <w:r>
        <w:t xml:space="preserve">.</w:t>
      </w:r>
    </w:p>
    <w:p>
      <w:pPr>
        <w:spacing w:after="140"/>
      </w:pPr>
      <w:r>
        <w:rPr>
          <w:b/>
          <w:bCs/>
        </w:rPr>
        <w:t xml:space="preserve">Agents consuming.</w:t>
      </w:r>
      <w:r>
        <w:t xml:space="preserve"> AXLE-A03 Excursion Classifier, AXLE-A04 Genealogy Traversal Agent, AXLE-A07 Recall Scope Agent.</w:t>
      </w:r>
    </w:p>
    <w:p>
      <w:pPr>
        <w:pStyle w:val="Heading4"/>
        <w:spacing w:after="100" w:before="220"/>
      </w:pPr>
      <w:r>
        <w:rPr>
          <w:rFonts w:ascii="Aptos" w:cs="Aptos" w:eastAsia="Aptos" w:hAnsi="Aptos"/>
          <w:b/>
          <w:bCs/>
          <w:color w:val="0B111E"/>
          <w:sz w:val="20"/>
          <w:szCs w:val="20"/>
        </w:rPr>
        <w:t xml:space="preserve">SAP SCM + Supplier Portals + EDI</w:t>
      </w:r>
    </w:p>
    <w:p>
      <w:pPr>
        <w:spacing w:after="140"/>
      </w:pPr>
      <w:r>
        <w:rPr>
          <w:b/>
          <w:bCs/>
        </w:rPr>
        <w:t xml:space="preserve">Integration pattern.</w:t>
      </w:r>
      <w:r>
        <w:t xml:space="preserve"> Pattern 1 (SAP SCM) + Pattern 4 (supplier portals) + Pattern 3 (EDI).</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AXLECML.SUPPLIER_EVENT</w:t>
      </w:r>
      <w:r>
        <w:t xml:space="preserve">, </w:t>
      </w:r>
      <w:r>
        <w:rPr>
          <w:rFonts w:ascii="Cascadia Mono" w:cs="Cascadia Mono" w:eastAsia="Cascadia Mono" w:hAnsi="Cascadia Mono"/>
          <w:color w:val="2B2B2B"/>
          <w:sz w:val="18"/>
          <w:szCs w:val="18"/>
        </w:rPr>
        <w:t xml:space="preserve">AXLECML.PURCHASE_ORDER</w:t>
      </w:r>
      <w:r>
        <w:t xml:space="preserve">, </w:t>
      </w:r>
      <w:r>
        <w:rPr>
          <w:rFonts w:ascii="Cascadia Mono" w:cs="Cascadia Mono" w:eastAsia="Cascadia Mono" w:hAnsi="Cascadia Mono"/>
          <w:color w:val="2B2B2B"/>
          <w:sz w:val="18"/>
          <w:szCs w:val="18"/>
        </w:rPr>
        <w:t xml:space="preserve">AXLECML.INVENTORY_POSITION</w:t>
      </w:r>
      <w:r>
        <w:t xml:space="preserve">.</w:t>
      </w:r>
    </w:p>
    <w:p>
      <w:pPr>
        <w:pStyle w:val="Heading4"/>
        <w:spacing w:after="100" w:before="220"/>
      </w:pPr>
      <w:r>
        <w:rPr>
          <w:rFonts w:ascii="Aptos" w:cs="Aptos" w:eastAsia="Aptos" w:hAnsi="Aptos"/>
          <w:b/>
          <w:bCs/>
          <w:color w:val="0B111E"/>
          <w:sz w:val="20"/>
          <w:szCs w:val="20"/>
        </w:rPr>
        <w:t xml:space="preserve">Shop-Floor Asset Integrations (Rockwell, PTC, Siemens)</w:t>
      </w:r>
    </w:p>
    <w:p>
      <w:pPr>
        <w:spacing w:after="140"/>
      </w:pPr>
      <w:r>
        <w:rPr>
          <w:b/>
          <w:bCs/>
        </w:rPr>
        <w:t xml:space="preserve">Integration pattern.</w:t>
      </w:r>
      <w:r>
        <w:t xml:space="preserve"> Pattern 2 — Eventstream via OPC UA adapters maintained in </w:t>
      </w:r>
      <w:r>
        <w:rPr>
          <w:rFonts w:ascii="Cascadia Mono" w:cs="Cascadia Mono" w:eastAsia="Cascadia Mono" w:hAnsi="Cascadia Mono"/>
          <w:color w:val="2B2B2B"/>
          <w:sz w:val="18"/>
          <w:szCs w:val="18"/>
        </w:rPr>
        <w:t xml:space="preserve">apex-axle/mcp/shopfloor-adapters/</w:t>
      </w:r>
      <w:r>
        <w:t xml:space="preserve">.</w:t>
      </w:r>
    </w:p>
    <w:p>
      <w:pPr>
        <w:spacing w:after="140"/>
      </w:pPr>
      <w:r>
        <w:rPr>
          <w:b/>
          <w:bCs/>
        </w:rPr>
        <w:t xml:space="preserve">Silver transform.</w:t>
      </w:r>
      <w:r>
        <w:t xml:space="preserve"> Maps to </w:t>
      </w:r>
      <w:r>
        <w:rPr>
          <w:rFonts w:ascii="Cascadia Mono" w:cs="Cascadia Mono" w:eastAsia="Cascadia Mono" w:hAnsi="Cascadia Mono"/>
          <w:color w:val="2B2B2B"/>
          <w:sz w:val="18"/>
          <w:szCs w:val="18"/>
        </w:rPr>
        <w:t xml:space="preserve">AXLECML.ASSET_HEALTH</w:t>
      </w:r>
      <w:r>
        <w:t xml:space="preserve">, </w:t>
      </w:r>
      <w:r>
        <w:rPr>
          <w:rFonts w:ascii="Cascadia Mono" w:cs="Cascadia Mono" w:eastAsia="Cascadia Mono" w:hAnsi="Cascadia Mono"/>
          <w:color w:val="2B2B2B"/>
          <w:sz w:val="18"/>
          <w:szCs w:val="18"/>
        </w:rPr>
        <w:t xml:space="preserve">AXLECML.MATERIAL_FLOW</w:t>
      </w:r>
      <w:r>
        <w:t xml:space="preserve">.</w:t>
      </w:r>
    </w:p>
    <w:p>
      <w:pPr>
        <w:pStyle w:val="Heading4"/>
        <w:spacing w:after="100" w:before="220"/>
      </w:pPr>
      <w:r>
        <w:rPr>
          <w:rFonts w:ascii="Aptos" w:cs="Aptos" w:eastAsia="Aptos" w:hAnsi="Aptos"/>
          <w:b/>
          <w:bCs/>
          <w:color w:val="0B111E"/>
          <w:sz w:val="20"/>
          <w:szCs w:val="20"/>
        </w:rPr>
        <w:t xml:space="preserve">NHTSA / Regulator Feeds</w:t>
      </w:r>
    </w:p>
    <w:p>
      <w:pPr>
        <w:spacing w:after="140"/>
      </w:pPr>
      <w:r>
        <w:rPr>
          <w:b/>
          <w:bCs/>
        </w:rPr>
        <w:t xml:space="preserve">Integration pattern.</w:t>
      </w:r>
      <w:r>
        <w:t xml:space="preserve"> Pattern 4 — Dataflow Gen2.</w:t>
      </w:r>
    </w:p>
    <w:p>
      <w:pPr>
        <w:pStyle w:val="Heading3"/>
        <w:spacing w:after="120" w:before="260"/>
      </w:pPr>
      <w:r>
        <w:rPr>
          <w:rFonts w:ascii="Aptos" w:cs="Aptos" w:eastAsia="Aptos" w:hAnsi="Aptos"/>
          <w:b/>
          <w:bCs/>
          <w:color w:val="0B111E"/>
          <w:sz w:val="24"/>
          <w:szCs w:val="24"/>
        </w:rPr>
        <w:t xml:space="preserve">8A.9 TMT Practice SOR Atlas (Preview)</w:t>
      </w:r>
    </w:p>
    <w:p>
      <w:pPr>
        <w:pStyle w:val="ListParagraph"/>
        <w:numPr>
          <w:ilvl w:val="0"/>
          <w:numId w:val="1"/>
        </w:numPr>
        <w:spacing w:after="60"/>
      </w:pPr>
      <w:r>
        <w:rPr>
          <w:b/>
          <w:bCs/>
        </w:rPr>
        <w:t xml:space="preserve">NMS / OSS</w:t>
      </w:r>
      <w:r>
        <w:t xml:space="preserve"> — Network management systems. Pattern 2 Eventstream.</w:t>
      </w:r>
    </w:p>
    <w:p>
      <w:pPr>
        <w:pStyle w:val="ListParagraph"/>
        <w:numPr>
          <w:ilvl w:val="0"/>
          <w:numId w:val="1"/>
        </w:numPr>
        <w:spacing w:after="60"/>
      </w:pPr>
      <w:r>
        <w:rPr>
          <w:b/>
          <w:bCs/>
        </w:rPr>
        <w:t xml:space="preserve">CRM (Salesforce / ServiceNow)</w:t>
      </w:r>
      <w:r>
        <w:t xml:space="preserve"> — Pattern 4 Dataflow Gen2.</w:t>
      </w:r>
    </w:p>
    <w:p>
      <w:pPr>
        <w:pStyle w:val="ListParagraph"/>
        <w:numPr>
          <w:ilvl w:val="0"/>
          <w:numId w:val="1"/>
        </w:numPr>
        <w:spacing w:after="60"/>
      </w:pPr>
      <w:r>
        <w:rPr>
          <w:b/>
          <w:bCs/>
        </w:rPr>
        <w:t xml:space="preserve">Billing / CIS</w:t>
      </w:r>
      <w:r>
        <w:t xml:space="preserve"> — Pattern 1 Mirrored DB (SQL Server / Oracle / HANA).</w:t>
      </w:r>
    </w:p>
    <w:p>
      <w:pPr>
        <w:pStyle w:val="ListParagraph"/>
        <w:numPr>
          <w:ilvl w:val="0"/>
          <w:numId w:val="1"/>
        </w:numPr>
        <w:spacing w:after="60"/>
      </w:pPr>
      <w:r>
        <w:rPr>
          <w:b/>
          <w:bCs/>
        </w:rPr>
        <w:t xml:space="preserve">Subscription management</w:t>
      </w:r>
      <w:r>
        <w:t xml:space="preserve"> — Pattern 1 or 4 depending on vendor.</w:t>
      </w:r>
    </w:p>
    <w:p>
      <w:pPr>
        <w:pStyle w:val="ListParagraph"/>
        <w:numPr>
          <w:ilvl w:val="0"/>
          <w:numId w:val="1"/>
        </w:numPr>
        <w:spacing w:after="60"/>
      </w:pPr>
      <w:r>
        <w:rPr>
          <w:b/>
          <w:bCs/>
        </w:rPr>
        <w:t xml:space="preserve">Content rights DB</w:t>
      </w:r>
      <w:r>
        <w:t xml:space="preserve"> — Pattern 1 Mirrored DB.</w:t>
      </w:r>
    </w:p>
    <w:p>
      <w:pPr>
        <w:pStyle w:val="ListParagraph"/>
        <w:numPr>
          <w:ilvl w:val="0"/>
          <w:numId w:val="1"/>
        </w:numPr>
        <w:spacing w:after="60"/>
      </w:pPr>
      <w:r>
        <w:rPr>
          <w:b/>
          <w:bCs/>
        </w:rPr>
        <w:t xml:space="preserve">Ad-server logs</w:t>
      </w:r>
      <w:r>
        <w:t xml:space="preserve"> — Pattern 2 Eventstream (high-volume Kafka).</w:t>
      </w:r>
    </w:p>
    <w:p>
      <w:pPr>
        <w:pStyle w:val="ListParagraph"/>
        <w:numPr>
          <w:ilvl w:val="0"/>
          <w:numId w:val="1"/>
        </w:numPr>
        <w:spacing w:after="60"/>
      </w:pPr>
      <w:r>
        <w:rPr>
          <w:b/>
          <w:bCs/>
        </w:rPr>
        <w:t xml:space="preserve">Cloud-provider APIs (Azure, AWS, GCP)</w:t>
      </w:r>
      <w:r>
        <w:t xml:space="preserve"> — Pattern 4 Dataflow Gen2 for cost data; native integration where available.</w:t>
      </w:r>
    </w:p>
    <w:p>
      <w:pPr>
        <w:pStyle w:val="ListParagraph"/>
        <w:numPr>
          <w:ilvl w:val="0"/>
          <w:numId w:val="1"/>
        </w:numPr>
        <w:spacing w:after="60"/>
      </w:pPr>
      <w:r>
        <w:rPr>
          <w:b/>
          <w:bCs/>
        </w:rPr>
        <w:t xml:space="preserve">5G core telemetry</w:t>
      </w:r>
      <w:r>
        <w:t xml:space="preserve"> — Pattern 2 Eventstream (KQL sink for sub-second telemetry).</w:t>
      </w:r>
    </w:p>
    <w:p>
      <w:pPr>
        <w:pStyle w:val="Heading3"/>
        <w:spacing w:after="120" w:before="260"/>
      </w:pPr>
      <w:r>
        <w:rPr>
          <w:rFonts w:ascii="Aptos" w:cs="Aptos" w:eastAsia="Aptos" w:hAnsi="Aptos"/>
          <w:b/>
          <w:bCs/>
          <w:color w:val="0B111E"/>
          <w:sz w:val="24"/>
          <w:szCs w:val="24"/>
        </w:rPr>
        <w:t xml:space="preserve">8A.10 TH Practice SOR Atlas (Preview)</w:t>
      </w:r>
    </w:p>
    <w:p>
      <w:pPr>
        <w:pStyle w:val="ListParagraph"/>
        <w:numPr>
          <w:ilvl w:val="0"/>
          <w:numId w:val="1"/>
        </w:numPr>
        <w:spacing w:after="60"/>
      </w:pPr>
      <w:r>
        <w:rPr>
          <w:b/>
          <w:bCs/>
        </w:rPr>
        <w:t xml:space="preserve">PSS (Sabre, Amadeus, Navitaire)</w:t>
      </w:r>
      <w:r>
        <w:t xml:space="preserve"> — Pattern 1 Mirrored DB for reservation history; Pattern 2 Eventstream for booking events.</w:t>
      </w:r>
    </w:p>
    <w:p>
      <w:pPr>
        <w:pStyle w:val="ListParagraph"/>
        <w:numPr>
          <w:ilvl w:val="0"/>
          <w:numId w:val="1"/>
        </w:numPr>
        <w:spacing w:after="60"/>
      </w:pPr>
      <w:r>
        <w:rPr>
          <w:b/>
          <w:bCs/>
        </w:rPr>
        <w:t xml:space="preserve">Loyalty program platform</w:t>
      </w:r>
      <w:r>
        <w:t xml:space="preserve"> — Pattern 1 Mirrored DB.</w:t>
      </w:r>
    </w:p>
    <w:p>
      <w:pPr>
        <w:pStyle w:val="ListParagraph"/>
        <w:numPr>
          <w:ilvl w:val="0"/>
          <w:numId w:val="1"/>
        </w:numPr>
        <w:spacing w:after="60"/>
      </w:pPr>
      <w:r>
        <w:rPr>
          <w:b/>
          <w:bCs/>
        </w:rPr>
        <w:t xml:space="preserve">Hotel PMS (Opera, Protel)</w:t>
      </w:r>
      <w:r>
        <w:t xml:space="preserve"> — Pattern 1 Mirrored DB or Pattern 4 API pull.</w:t>
      </w:r>
    </w:p>
    <w:p>
      <w:pPr>
        <w:pStyle w:val="ListParagraph"/>
        <w:numPr>
          <w:ilvl w:val="0"/>
          <w:numId w:val="1"/>
        </w:numPr>
        <w:spacing w:after="60"/>
      </w:pPr>
      <w:r>
        <w:rPr>
          <w:b/>
          <w:bCs/>
        </w:rPr>
        <w:t xml:space="preserve">GDS (Travelport, Sabre, Amadeus)</w:t>
      </w:r>
      <w:r>
        <w:t xml:space="preserve"> — Pattern 4 API pull.</w:t>
      </w:r>
    </w:p>
    <w:p>
      <w:pPr>
        <w:pStyle w:val="ListParagraph"/>
        <w:numPr>
          <w:ilvl w:val="0"/>
          <w:numId w:val="1"/>
        </w:numPr>
        <w:spacing w:after="60"/>
      </w:pPr>
      <w:r>
        <w:rPr>
          <w:b/>
          <w:bCs/>
        </w:rPr>
        <w:t xml:space="preserve">Consent registry</w:t>
      </w:r>
      <w:r>
        <w:t xml:space="preserve"> — Pattern 5 Webhook for consent-change events + Pattern 1 Mirrored DB for current state.</w:t>
      </w:r>
    </w:p>
    <w:p>
      <w:pPr>
        <w:pStyle w:val="ListParagraph"/>
        <w:numPr>
          <w:ilvl w:val="0"/>
          <w:numId w:val="1"/>
        </w:numPr>
        <w:spacing w:after="60"/>
      </w:pPr>
      <w:r>
        <w:rPr>
          <w:b/>
          <w:bCs/>
        </w:rPr>
        <w:t xml:space="preserve">Accessibility portal</w:t>
      </w:r>
      <w:r>
        <w:t xml:space="preserve"> — Pattern 4 API pull.</w:t>
      </w:r>
    </w:p>
    <w:p>
      <w:pPr>
        <w:pStyle w:val="ListParagraph"/>
        <w:numPr>
          <w:ilvl w:val="0"/>
          <w:numId w:val="1"/>
        </w:numPr>
        <w:spacing w:after="60"/>
      </w:pPr>
      <w:r>
        <w:rPr>
          <w:b/>
          <w:bCs/>
        </w:rPr>
        <w:t xml:space="preserve">Guest incident portal</w:t>
      </w:r>
      <w:r>
        <w:t xml:space="preserve"> — Pattern 5 Webhook.</w:t>
      </w:r>
    </w:p>
    <w:p>
      <w:pPr>
        <w:pStyle w:val="ListParagraph"/>
        <w:numPr>
          <w:ilvl w:val="0"/>
          <w:numId w:val="1"/>
        </w:numPr>
        <w:spacing w:after="60"/>
      </w:pPr>
      <w:r>
        <w:rPr>
          <w:b/>
          <w:bCs/>
        </w:rPr>
        <w:t xml:space="preserve">Housekeeping management (Opera, Alice, Quore)</w:t>
      </w:r>
      <w:r>
        <w:t xml:space="preserve"> — Pattern 4 API pull.</w:t>
      </w:r>
    </w:p>
    <w:p>
      <w:pPr>
        <w:spacing w:after="140"/>
      </w:pPr>
      <w:r>
        <w:t xml:space="preserve">The TH SOR landscape is the most fragmented in the APEX catalogue because hotel and airline SOR adoption is less concentrated than retail WMS or healthcare EHR.</w:t>
      </w:r>
    </w:p>
    <w:p>
      <w:pPr>
        <w:pStyle w:val="Heading3"/>
        <w:spacing w:after="120" w:before="260"/>
      </w:pPr>
      <w:r>
        <w:rPr>
          <w:rFonts w:ascii="Aptos" w:cs="Aptos" w:eastAsia="Aptos" w:hAnsi="Aptos"/>
          <w:b/>
          <w:bCs/>
          <w:color w:val="0B111E"/>
          <w:sz w:val="24"/>
          <w:szCs w:val="24"/>
        </w:rPr>
        <w:t xml:space="preserve">8A.11 ICE Practice SOR Atlas (Preview)</w:t>
      </w:r>
    </w:p>
    <w:p>
      <w:pPr>
        <w:pStyle w:val="ListParagraph"/>
        <w:numPr>
          <w:ilvl w:val="0"/>
          <w:numId w:val="1"/>
        </w:numPr>
        <w:spacing w:after="60"/>
      </w:pPr>
      <w:r>
        <w:rPr>
          <w:b/>
          <w:bCs/>
        </w:rPr>
        <w:t xml:space="preserve">Field Service (MS Field Service, ServiceMax, IFS)</w:t>
      </w:r>
      <w:r>
        <w:t xml:space="preserve"> — native Dataverse or Pattern 1 Mirrored DB.</w:t>
      </w:r>
    </w:p>
    <w:p>
      <w:pPr>
        <w:pStyle w:val="ListParagraph"/>
        <w:numPr>
          <w:ilvl w:val="0"/>
          <w:numId w:val="1"/>
        </w:numPr>
        <w:spacing w:after="60"/>
      </w:pPr>
      <w:r>
        <w:rPr>
          <w:b/>
          <w:bCs/>
        </w:rPr>
        <w:t xml:space="preserve">Telematics (vendor-specific)</w:t>
      </w:r>
      <w:r>
        <w:t xml:space="preserve"> — Pattern 2 Eventstream.</w:t>
      </w:r>
    </w:p>
    <w:p>
      <w:pPr>
        <w:pStyle w:val="ListParagraph"/>
        <w:numPr>
          <w:ilvl w:val="0"/>
          <w:numId w:val="1"/>
        </w:numPr>
        <w:spacing w:after="60"/>
      </w:pPr>
      <w:r>
        <w:rPr>
          <w:b/>
          <w:bCs/>
        </w:rPr>
        <w:t xml:space="preserve">Warranty claim system</w:t>
      </w:r>
      <w:r>
        <w:t xml:space="preserve"> — Pattern 1 Mirrored DB.</w:t>
      </w:r>
    </w:p>
    <w:p>
      <w:pPr>
        <w:pStyle w:val="ListParagraph"/>
        <w:numPr>
          <w:ilvl w:val="0"/>
          <w:numId w:val="1"/>
        </w:numPr>
        <w:spacing w:after="60"/>
      </w:pPr>
      <w:r>
        <w:rPr>
          <w:b/>
          <w:bCs/>
        </w:rPr>
        <w:t xml:space="preserve">Parts catalog / inventory</w:t>
      </w:r>
      <w:r>
        <w:t xml:space="preserve"> — Pattern 1 Mirrored DB across dealer-network instances; complex due to multi-tenancy.</w:t>
      </w:r>
    </w:p>
    <w:p>
      <w:pPr>
        <w:pStyle w:val="ListParagraph"/>
        <w:numPr>
          <w:ilvl w:val="0"/>
          <w:numId w:val="1"/>
        </w:numPr>
        <w:spacing w:after="60"/>
      </w:pPr>
      <w:r>
        <w:rPr>
          <w:b/>
          <w:bCs/>
        </w:rPr>
        <w:t xml:space="preserve">Contract/renewal system</w:t>
      </w:r>
      <w:r>
        <w:t xml:space="preserve"> — Pattern 1 or 4 depending on vendor.</w:t>
      </w:r>
    </w:p>
    <w:p>
      <w:pPr>
        <w:pStyle w:val="ListParagraph"/>
        <w:numPr>
          <w:ilvl w:val="0"/>
          <w:numId w:val="1"/>
        </w:numPr>
        <w:spacing w:after="60"/>
      </w:pPr>
      <w:r>
        <w:rPr>
          <w:b/>
          <w:bCs/>
        </w:rPr>
        <w:t xml:space="preserve">Compliance inspection platform</w:t>
      </w:r>
      <w:r>
        <w:t xml:space="preserve"> — Pattern 4 API pull.</w:t>
      </w:r>
    </w:p>
    <w:p>
      <w:pPr>
        <w:pStyle w:val="Heading3"/>
        <w:spacing w:after="120" w:before="260"/>
      </w:pPr>
      <w:r>
        <w:rPr>
          <w:rFonts w:ascii="Aptos" w:cs="Aptos" w:eastAsia="Aptos" w:hAnsi="Aptos"/>
          <w:b/>
          <w:bCs/>
          <w:color w:val="0B111E"/>
          <w:sz w:val="24"/>
          <w:szCs w:val="24"/>
        </w:rPr>
        <w:t xml:space="preserve">8A.12 Cross-Practice Shared SOR Patterns</w:t>
      </w:r>
    </w:p>
    <w:p>
      <w:pPr>
        <w:spacing w:after="140"/>
      </w:pPr>
      <w:r>
        <w:t xml:space="preserve">Some SOR classes serve multiple Practices. Integration is done once per Practice but the patterns and tooling are shared: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SAP (any module)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(SAP ERP Retail), HLS (SAP Health), ER (SAP ISU), AXLE (SAP QM/SCM), ICE (SAP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SAP mirror-connector templates in </w:t>
            </w:r>
            <w:r>
              <w:rPr>
                <w:rFonts w:ascii="Cascadia Mono" w:cs="Cascadia Mono" w:eastAsia="Cascadia Mono" w:hAnsi="Cascadia Mono"/>
                <w:color w:val="2B2B2B"/>
                <w:sz w:val="18"/>
                <w:szCs w:val="18"/>
              </w:rPr>
              <w:t xml:space="preserve">apex-shared/sap/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Microsoft Dynamics 365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(Field Service), AXLE (Supply Chain), ICE (Field Service), TH (Loyalty)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Native Dataverse integration; shared Silver-mapping library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ServiceNow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(incident), HLS (incident), ER (field), TMT (incident)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ServiceNow Dataflow Gen2 template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EDI (any variant)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(856/850/810 vendor interchange), HLS (837/835 payer interchange), AXLE (EDI supplier interchange)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EDI parser pipeline templates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CCTV Video Management Systems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(shrink investigations), TH (guest incidents)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VMS metadata adapter (video never lands in Fabric; only timestamp indices)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IoT platforms (Monnit, Itron, generic OPC UA)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(refrigeration), ER (meter reads), AXLE (shop floor)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IoT-platform Eventstream templates</w:t>
            </w:r>
          </w:p>
        </w:tc>
      </w:tr>
    </w:tbl>
    <w:p>
      <w:pPr>
        <w:spacing w:after="120"/>
      </w:pPr>
      <w:r>
        <w:t xml:space="preserve"/>
      </w:r>
    </w:p>
    <w:p>
      <w:pPr>
        <w:spacing w:after="140"/>
      </w:pPr>
      <w:r>
        <w:t xml:space="preserve">Cross-Practice SOR tooling is maintained by the APEX Core team in the </w:t>
      </w:r>
      <w:r>
        <w:rPr>
          <w:rFonts w:ascii="Cascadia Mono" w:cs="Cascadia Mono" w:eastAsia="Cascadia Mono" w:hAnsi="Cascadia Mono"/>
          <w:color w:val="2B2B2B"/>
          <w:sz w:val="18"/>
          <w:szCs w:val="18"/>
        </w:rPr>
        <w:t xml:space="preserve">apex-shared/</w:t>
      </w:r>
      <w:r>
        <w:t xml:space="preserve"> directory. New Practice builds inherit these templates and customise where needed.</w:t>
      </w:r>
    </w:p>
    <w:p>
      <w:pPr>
        <w:pStyle w:val="Heading3"/>
        <w:spacing w:after="120" w:before="260"/>
      </w:pPr>
      <w:r>
        <w:rPr>
          <w:rFonts w:ascii="Aptos" w:cs="Aptos" w:eastAsia="Aptos" w:hAnsi="Aptos"/>
          <w:b/>
          <w:bCs/>
          <w:color w:val="0B111E"/>
          <w:sz w:val="24"/>
          <w:szCs w:val="24"/>
        </w:rPr>
        <w:t xml:space="preserve">8A.13 Medallion Positioning Rationale</w:t>
      </w:r>
    </w:p>
    <w:p>
      <w:pPr>
        <w:spacing w:after="140"/>
      </w:pPr>
      <w:r>
        <w:t xml:space="preserve">Why Bronze / Silver / Gold are structured as they are, specifically for how agents consume data:</w:t>
      </w:r>
    </w:p>
    <w:p>
      <w:pPr>
        <w:spacing w:after="140"/>
      </w:pPr>
      <w:r>
        <w:rPr>
          <w:b/>
          <w:bCs/>
        </w:rPr>
        <w:t xml:space="preserve">Bronze</w:t>
      </w:r>
      <w:r>
        <w:t xml:space="preserve"> is the buffer between SOR and decision-making. It never mutates; it is append-only; it is the replay surface. If a Silver transform has a bug, the fix is re-run over Bronze. If Fabric capacity is constrained, Bronze can be aged out (30-90 days) without losing the canonical truth, which lives in Silver. </w:t>
      </w:r>
      <w:r>
        <w:rPr>
          <w:b/>
          <w:bCs/>
        </w:rPr>
        <w:t xml:space="preserve">Agents never read Bronze.</w:t>
      </w:r>
      <w:r>
        <w:t xml:space="preserve"> This is enforced by ACL — </w:t>
      </w:r>
      <w:r>
        <w:rPr>
          <w:rFonts w:ascii="Cascadia Mono" w:cs="Cascadia Mono" w:eastAsia="Cascadia Mono" w:hAnsi="Cascadia Mono"/>
          <w:color w:val="2B2B2B"/>
          <w:sz w:val="18"/>
          <w:szCs w:val="18"/>
        </w:rPr>
        <w:t xml:space="preserve">mi-apex-*-agent</w:t>
      </w:r>
      <w:r>
        <w:t xml:space="preserve"> identities have no grant on </w:t>
      </w:r>
      <w:r>
        <w:rPr>
          <w:rFonts w:ascii="Cascadia Mono" w:cs="Cascadia Mono" w:eastAsia="Cascadia Mono" w:hAnsi="Cascadia Mono"/>
          <w:color w:val="2B2B2B"/>
          <w:sz w:val="18"/>
          <w:szCs w:val="18"/>
        </w:rPr>
        <w:t xml:space="preserve">bronze_*</w:t>
      </w:r>
      <w:r>
        <w:t xml:space="preserve"> paths.</w:t>
      </w:r>
    </w:p>
    <w:p>
      <w:pPr>
        <w:spacing w:after="140"/>
      </w:pPr>
      <w:r>
        <w:rPr>
          <w:b/>
          <w:bCs/>
        </w:rPr>
        <w:t xml:space="preserve">Silver</w:t>
      </w:r>
      <w:r>
        <w:t xml:space="preserve"> is the canonical truth. Every Silver row is envelope-conformant, contract-validated, and tokenised at write time. Silver retention is long (7+ years where regulations permit) because Silver is also the </w:t>
      </w:r>
      <w:r>
        <w:rPr>
          <w:b/>
          <w:bCs/>
        </w:rPr>
        <w:t xml:space="preserve">audit evidence surface</w:t>
      </w:r>
      <w:r>
        <w:t xml:space="preserve">. </w:t>
      </w:r>
      <w:r>
        <w:rPr>
          <w:b/>
          <w:bCs/>
        </w:rPr>
        <w:t xml:space="preserve">Agents rarely read Silver.</w:t>
      </w:r>
      <w:r>
        <w:t xml:space="preserve"> The exception is cross-entity lookups that don't fit a pre-materialised Gold view — those are run through specific MCP tools (</w:t>
      </w:r>
      <w:r>
        <w:rPr>
          <w:rFonts w:ascii="Cascadia Mono" w:cs="Cascadia Mono" w:eastAsia="Cascadia Mono" w:hAnsi="Cascadia Mono"/>
          <w:color w:val="2B2B2B"/>
          <w:sz w:val="18"/>
          <w:szCs w:val="18"/>
        </w:rPr>
        <w:t xml:space="preserve">fabric-mcp.silver_read_with_scope</w:t>
      </w:r>
      <w:r>
        <w:t xml:space="preserve">) that emit additional audit telemetry.</w:t>
      </w:r>
    </w:p>
    <w:p>
      <w:pPr>
        <w:spacing w:after="140"/>
      </w:pPr>
      <w:r>
        <w:rPr>
          <w:b/>
          <w:bCs/>
        </w:rPr>
        <w:t xml:space="preserve">Gold</w:t>
      </w:r>
      <w:r>
        <w:t xml:space="preserve"> is the performance-tuned read surface. Pre-joined, pre-aggregated, pre-filtered for the specific queries agents run. Refresh cadence is 5 minutes for most services (acceptable staleness) or inline KQL queries for sub-second needs. </w:t>
      </w:r>
      <w:r>
        <w:rPr>
          <w:b/>
          <w:bCs/>
        </w:rPr>
        <w:t xml:space="preserve">Agents primarily read Gold via MCP tools.</w:t>
      </w:r>
      <w:r>
        <w:t xml:space="preserve"> This is the hot path; Gold queries p95 is held to ≤ 500 ms.</w:t>
      </w:r>
    </w:p>
    <w:p>
      <w:pPr>
        <w:spacing w:after="140"/>
      </w:pPr>
      <w:r>
        <w:t xml:space="preserve">The three layers are not a performance optimisation — they are a </w:t>
      </w:r>
      <w:r>
        <w:rPr>
          <w:b/>
          <w:bCs/>
        </w:rPr>
        <w:t xml:space="preserve">trust-and-accountability architecture</w:t>
      </w:r>
      <w:r>
        <w:t xml:space="preserve">. Bronze is "we have it." Silver is "we have it correctly and auditably." Gold is "we can serve it fast enough for agents to reason over it at the SLO the service committed to."</w:t>
      </w:r>
    </w:p>
    <w:p>
      <w:pPr>
        <w:pStyle w:val="Heading3"/>
        <w:spacing w:after="120" w:before="260"/>
      </w:pPr>
      <w:r>
        <w:rPr>
          <w:rFonts w:ascii="Aptos" w:cs="Aptos" w:eastAsia="Aptos" w:hAnsi="Aptos"/>
          <w:b/>
          <w:bCs/>
          <w:color w:val="0B111E"/>
          <w:sz w:val="24"/>
          <w:szCs w:val="24"/>
        </w:rPr>
        <w:t xml:space="preserve">8A.14 Agent Read-Path Architecture</w:t>
      </w:r>
    </w:p>
    <w:p>
      <w:pPr>
        <w:spacing w:after="160" w:before="120"/>
        <w:jc w:val="center"/>
      </w:pPr>
      <w:r>
        <w:drawing>
          <wp:inline distT="0" distB="0" distL="0" distR="0">
            <wp:extent cx="6096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095500"/>
                    </a:xfrm>
                    <a:prstGeom prst="rect">
                      <a:avLst/>
                    </a:prstGeom>
                  </pic:spPr>
                </pic:pic>
              </a:graphicData>
            </a:graphic>
          </wp:inline>
        </w:drawing>
      </w:r>
    </w:p>
    <w:p>
      <w:pPr>
        <w:spacing w:after="140"/>
      </w:pPr>
      <w:r>
        <w:t xml:space="preserve">Canonical read path, every time. The discipline is:</w:t>
      </w:r>
    </w:p>
    <w:p>
      <w:pPr>
        <w:spacing w:after="140"/>
      </w:pPr>
      <w:r>
        <w:t xml:space="preserve">1. </w:t>
      </w:r>
      <w:r>
        <w:rPr>
          <w:b/>
          <w:bCs/>
        </w:rPr>
        <w:t xml:space="preserve">Agent never authenticates directly to Fabric.</w:t>
      </w:r>
      <w:r>
        <w:t xml:space="preserve"> The MCP server does it under its own managed identity. 2. </w:t>
      </w:r>
      <w:r>
        <w:rPr>
          <w:b/>
          <w:bCs/>
        </w:rPr>
        <w:t xml:space="preserve">Tenant scoping is explicit</w:t>
      </w:r>
      <w:r>
        <w:t xml:space="preserve">, provided in the tool call's context and enforced both in the MCP tool's SQL and in the Warehouse's RLS policy. Belt and suspenders. 3. </w:t>
      </w:r>
      <w:r>
        <w:rPr>
          <w:b/>
          <w:bCs/>
        </w:rPr>
        <w:t xml:space="preserve">Every call is traced</w:t>
      </w:r>
      <w:r>
        <w:t xml:space="preserve"> before returning to the agent. No silent reads. 4. </w:t>
      </w:r>
      <w:r>
        <w:rPr>
          <w:b/>
          <w:bCs/>
        </w:rPr>
        <w:t xml:space="preserve">No Silver writes from the agent path.</w:t>
      </w:r>
      <w:r>
        <w:t xml:space="preserve"> Decision-outcome writes to </w:t>
      </w:r>
      <w:r>
        <w:rPr>
          <w:rFonts w:ascii="Cascadia Mono" w:cs="Cascadia Mono" w:eastAsia="Cascadia Mono" w:hAnsi="Cascadia Mono"/>
          <w:color w:val="2B2B2B"/>
          <w:sz w:val="18"/>
          <w:szCs w:val="18"/>
        </w:rPr>
        <w:t xml:space="preserve">silver_decision_audit</w:t>
      </w:r>
      <w:r>
        <w:t xml:space="preserve"> go through </w:t>
      </w:r>
      <w:r>
        <w:rPr>
          <w:rFonts w:ascii="Cascadia Mono" w:cs="Cascadia Mono" w:eastAsia="Cascadia Mono" w:hAnsi="Cascadia Mono"/>
          <w:color w:val="2B2B2B"/>
          <w:sz w:val="18"/>
          <w:szCs w:val="18"/>
        </w:rPr>
        <w:t xml:space="preserve">telemetry-mcp.emit_decision_audit</w:t>
      </w:r>
      <w:r>
        <w:t xml:space="preserve">, never direct.</w:t>
      </w:r>
    </w:p>
    <w:p>
      <w:pPr>
        <w:spacing w:after="140"/>
      </w:pPr>
      <w:r>
        <w:t xml:space="preserve">This discipline makes every agent invocation auditable and reproducible. It is the foundational trust artefact that justifies the HITL gate-tuning down-shifts in Waves 2 and 3 — if the reads can't be reconstructed, the decisions can't be trusted, and the gates can't be relaxed.</w:t>
      </w:r>
    </w:p>
    <w:p>
      <w:pPr>
        <w:pStyle w:val="Heading3"/>
        <w:spacing w:after="120" w:before="260"/>
      </w:pPr>
      <w:r>
        <w:rPr>
          <w:rFonts w:ascii="Aptos" w:cs="Aptos" w:eastAsia="Aptos" w:hAnsi="Aptos"/>
          <w:b/>
          <w:bCs/>
          <w:color w:val="0B111E"/>
          <w:sz w:val="24"/>
          <w:szCs w:val="24"/>
        </w:rPr>
        <w:t xml:space="preserve">8A.15 SOR Integration SLOs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 availability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Heartbeat or missing-event detector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Bronze-ingest freshness 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 integration pattern's nominal cadence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Appropriate to pattern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Silver-transform success rate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99.5% daily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 Insights per-transform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Gold-view freshness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5 min (standard) or ≤ 30s (KQL sink)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Warehouse refresh monitoring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schema-conformance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apex-validate</w:t>
            </w:r>
            <w:r>
              <w:t xml:space="preserve"> daily run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PII tokenisation at Silver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for every PII field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DLP scan on Silver paths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Cross-tenant data leak incidents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RLS + OneLake ACL + audit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SOR-caused agent-decision-quality regression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None undetected beyond 24h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DAR monthly review</w:t>
            </w:r>
          </w:p>
        </w:tc>
      </w:tr>
    </w:tbl>
    <w:p>
      <w:pPr>
        <w:spacing w:after="120"/>
      </w:pPr>
      <w:r>
        <w:t xml:space="preserve"/>
      </w:r>
    </w:p>
    <w:p>
      <w:pPr>
        <w:spacing w:after="140"/>
      </w:pPr>
      <w:r>
        <w:t xml:space="preserve">SLO misses on integration paths route to the practice SRE with the same paging discipline as service-level SLOs. SOR integration is a first-class operational concern, not a one-time project.</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III — Cross-Practice Capabilities</w:t>
      </w:r>
    </w:p>
    <w:p>
      <w:pPr>
        <w:spacing w:after="140"/>
      </w:pPr>
      <w:r>
        <w:t xml:space="preserve">Every APEX deployment uses a shared set of capabilities that cut across Practices. These are not optional add-ons; they are the platform spine. Part III expands each of them into its own chapter, because a failure in any one of them is a failure of the entire platform.</w:t>
      </w:r>
    </w:p>
    <w:p>
      <w:pPr>
        <w:pStyle w:val="Heading2"/>
        <w:spacing w:after="140" w:before="300"/>
      </w:pPr>
      <w:r>
        <w:rPr>
          <w:rFonts w:ascii="Aptos Display" w:cs="Aptos Display" w:eastAsia="Aptos Display" w:hAnsi="Aptos Display"/>
          <w:b/>
          <w:bCs/>
          <w:color w:val="0B111E"/>
          <w:sz w:val="30"/>
          <w:szCs w:val="30"/>
        </w:rPr>
        <w:t xml:space="preserve">Chapter 9: Shared Services — The Utility MCP Layer</w:t>
      </w:r>
    </w:p>
    <w:p>
      <w:pPr>
        <w:spacing w:after="140"/>
      </w:pPr>
      <w:r>
        <w:t xml:space="preserve">Six utility MCP servers ship with every APEX deployment, regardless of which Practices are subscribed. They are the seam between Practice-specific content and the platform's governance, identity, and audit machinery.</w:t>
      </w:r>
    </w:p>
    <w:p>
      <w:pPr>
        <w:spacing w:after="140"/>
      </w:pPr>
      <w:r>
        <w:rPr>
          <w:b/>
          <w:bCs/>
        </w:rPr>
        <w:t xml:space="preserve">`fabric-mcp` — Generic Gold-view gateway.</w:t>
      </w:r>
      <w:r>
        <w:t xml:space="preserve"> When an agent needs a feature view not covered by a domain MCP, it reads through </w:t>
      </w:r>
      <w:r>
        <w:rPr>
          <w:rFonts w:ascii="Cascadia Mono" w:cs="Cascadia Mono" w:eastAsia="Cascadia Mono" w:hAnsi="Cascadia Mono"/>
          <w:color w:val="2B2B2B"/>
          <w:sz w:val="18"/>
          <w:szCs w:val="18"/>
        </w:rPr>
        <w:t xml:space="preserve">fabric-mcp</w:t>
      </w:r>
      <w:r>
        <w:t xml:space="preserve">. All reads are tenant-scoped, managed-identity-authenticated, and trace-instrumented.</w:t>
      </w:r>
    </w:p>
    <w:p>
      <w:pPr>
        <w:spacing w:after="140"/>
      </w:pPr>
      <w:r>
        <w:rPr>
          <w:b/>
          <w:bCs/>
        </w:rPr>
        <w:t xml:space="preserve">`policy-mcp` — HITL gate resolution and upgrade-policy lookup.</w:t>
      </w:r>
      <w:r>
        <w:t xml:space="preserve"> Converts a decision's SemVer bump class into the tenant's chosen gate, looking up the tenant manifest's </w:t>
      </w:r>
      <w:r>
        <w:rPr>
          <w:rFonts w:ascii="Cascadia Mono" w:cs="Cascadia Mono" w:eastAsia="Cascadia Mono" w:hAnsi="Cascadia Mono"/>
          <w:color w:val="2B2B2B"/>
          <w:sz w:val="18"/>
          <w:szCs w:val="18"/>
        </w:rPr>
        <w:t xml:space="preserve">auto_upgrade_policy</w:t>
      </w:r>
      <w:r>
        <w:t xml:space="preserve">. Also handles RBAC checks against persona catalog assignments.</w:t>
      </w:r>
    </w:p>
    <w:p>
      <w:pPr>
        <w:spacing w:after="140"/>
      </w:pPr>
      <w:r>
        <w:rPr>
          <w:b/>
          <w:bCs/>
        </w:rPr>
        <w:t xml:space="preserve">`telemetry-mcp` — Trace event emission.</w:t>
      </w:r>
      <w:r>
        <w:t xml:space="preserve"> Threads App Insights </w:t>
      </w:r>
      <w:r>
        <w:rPr>
          <w:rFonts w:ascii="Cascadia Mono" w:cs="Cascadia Mono" w:eastAsia="Cascadia Mono" w:hAnsi="Cascadia Mono"/>
          <w:color w:val="2B2B2B"/>
          <w:sz w:val="18"/>
          <w:szCs w:val="18"/>
        </w:rPr>
        <w:t xml:space="preserve">operation_Id</w:t>
      </w:r>
      <w:r>
        <w:t xml:space="preserve"> across every agent call, tool call, and HITL wait. The service that makes the Azure Monitor workbook possible.</w:t>
      </w:r>
    </w:p>
    <w:p>
      <w:pPr>
        <w:spacing w:after="140"/>
      </w:pPr>
      <w:r>
        <w:rPr>
          <w:b/>
          <w:bCs/>
        </w:rPr>
        <w:t xml:space="preserve">`approvals-mcp` — Teams / Power Automate adaptive-card orchestrator.</w:t>
      </w:r>
      <w:r>
        <w:t xml:space="preserve"> Sends decision cards to approvers; polls for decision; returns result. Implements timeout and escalation paths.</w:t>
      </w:r>
    </w:p>
    <w:p>
      <w:pPr>
        <w:spacing w:after="140"/>
      </w:pPr>
      <w:r>
        <w:rPr>
          <w:b/>
          <w:bCs/>
        </w:rPr>
        <w:t xml:space="preserve">`tokenizer-mcp` — PII tokenisation and audit-logged reverse-lookup.</w:t>
      </w:r>
      <w:r>
        <w:t xml:space="preserve"> Stable, reversible-only-with-audit. Honours consent flags. The critical seam where compliance is enforced programmatically, not by convention.</w:t>
      </w:r>
    </w:p>
    <w:p>
      <w:pPr>
        <w:spacing w:after="140"/>
      </w:pPr>
      <w:r>
        <w:rPr>
          <w:b/>
          <w:bCs/>
        </w:rPr>
        <w:t xml:space="preserve">`ledger-mcp` — Staging for write-offs, corrections, adjustments.</w:t>
      </w:r>
      <w:r>
        <w:t xml:space="preserve"> Every write-back to an SOR or internal ledger goes through here first, staged and audit-logged before execution.</w:t>
      </w:r>
    </w:p>
    <w:p>
      <w:pPr>
        <w:spacing w:after="140"/>
      </w:pPr>
      <w:r>
        <w:t xml:space="preserve">Together these six servers are the </w:t>
      </w:r>
      <w:r>
        <w:rPr>
          <w:b/>
          <w:bCs/>
        </w:rPr>
        <w:t xml:space="preserve">platform contract</w:t>
      </w:r>
      <w:r>
        <w:t xml:space="preserve">. A Practice that bypasses them is out of compliance with Core.</w:t>
      </w:r>
    </w:p>
    <w:p>
      <w:pPr>
        <w:pStyle w:val="Heading3"/>
        <w:spacing w:after="120" w:before="260"/>
      </w:pPr>
      <w:r>
        <w:rPr>
          <w:rFonts w:ascii="Aptos" w:cs="Aptos" w:eastAsia="Aptos" w:hAnsi="Aptos"/>
          <w:b/>
          <w:bCs/>
          <w:color w:val="0B111E"/>
          <w:sz w:val="24"/>
          <w:szCs w:val="24"/>
        </w:rPr>
        <w:t xml:space="preserve">6.1 The Platform Contract Principle</w:t>
      </w:r>
    </w:p>
    <w:p>
      <w:pPr>
        <w:spacing w:after="140"/>
      </w:pPr>
      <w:r>
        <w:t xml:space="preserve">The utility MCPs are not a menu of optional extras. Every APEX service uses all six, either directly or transitively. When a Practice team proposes a new service, the Core review board checks that:</w:t>
      </w:r>
    </w:p>
    <w:p>
      <w:pPr>
        <w:pStyle w:val="ListParagraph"/>
        <w:numPr>
          <w:ilvl w:val="0"/>
          <w:numId w:val="1"/>
        </w:numPr>
        <w:spacing w:after="60"/>
      </w:pPr>
      <w:r>
        <w:t xml:space="preserve">Data reads go through </w:t>
      </w:r>
      <w:r>
        <w:rPr>
          <w:rFonts w:ascii="Cascadia Mono" w:cs="Cascadia Mono" w:eastAsia="Cascadia Mono" w:hAnsi="Cascadia Mono"/>
          <w:color w:val="2B2B2B"/>
          <w:sz w:val="18"/>
          <w:szCs w:val="18"/>
        </w:rPr>
        <w:t xml:space="preserve">fabric-mcp</w:t>
      </w:r>
      <w:r>
        <w:t xml:space="preserve"> or a domain MCP (never direct Fabric SQL from agent code)</w:t>
      </w:r>
    </w:p>
    <w:p>
      <w:pPr>
        <w:pStyle w:val="ListParagraph"/>
        <w:numPr>
          <w:ilvl w:val="0"/>
          <w:numId w:val="1"/>
        </w:numPr>
        <w:spacing w:after="60"/>
      </w:pPr>
      <w:r>
        <w:t xml:space="preserve">The HITL gate resolution goes through </w:t>
      </w:r>
      <w:r>
        <w:rPr>
          <w:rFonts w:ascii="Cascadia Mono" w:cs="Cascadia Mono" w:eastAsia="Cascadia Mono" w:hAnsi="Cascadia Mono"/>
          <w:color w:val="2B2B2B"/>
          <w:sz w:val="18"/>
          <w:szCs w:val="18"/>
        </w:rPr>
        <w:t xml:space="preserve">policy-mcp</w:t>
      </w:r>
      <w:r>
        <w:t xml:space="preserve"> (never hard-coded in the orchestration)</w:t>
      </w:r>
    </w:p>
    <w:p>
      <w:pPr>
        <w:pStyle w:val="ListParagraph"/>
        <w:numPr>
          <w:ilvl w:val="0"/>
          <w:numId w:val="1"/>
        </w:numPr>
        <w:spacing w:after="60"/>
      </w:pPr>
      <w:r>
        <w:t xml:space="preserve">Telemetry is emitted through </w:t>
      </w:r>
      <w:r>
        <w:rPr>
          <w:rFonts w:ascii="Cascadia Mono" w:cs="Cascadia Mono" w:eastAsia="Cascadia Mono" w:hAnsi="Cascadia Mono"/>
          <w:color w:val="2B2B2B"/>
          <w:sz w:val="18"/>
          <w:szCs w:val="18"/>
        </w:rPr>
        <w:t xml:space="preserve">telemetry-mcp</w:t>
      </w:r>
      <w:r>
        <w:t xml:space="preserve"> (ensuring proper operation_Id threading)</w:t>
      </w:r>
    </w:p>
    <w:p>
      <w:pPr>
        <w:pStyle w:val="ListParagraph"/>
        <w:numPr>
          <w:ilvl w:val="0"/>
          <w:numId w:val="1"/>
        </w:numPr>
        <w:spacing w:after="60"/>
      </w:pPr>
      <w:r>
        <w:t xml:space="preserve">Approvals go through </w:t>
      </w:r>
      <w:r>
        <w:rPr>
          <w:rFonts w:ascii="Cascadia Mono" w:cs="Cascadia Mono" w:eastAsia="Cascadia Mono" w:hAnsi="Cascadia Mono"/>
          <w:color w:val="2B2B2B"/>
          <w:sz w:val="18"/>
          <w:szCs w:val="18"/>
        </w:rPr>
        <w:t xml:space="preserve">approvals-mcp</w:t>
      </w:r>
      <w:r>
        <w:t xml:space="preserve"> (ensuring Teams/Power Automate consistency)</w:t>
      </w:r>
    </w:p>
    <w:p>
      <w:pPr>
        <w:pStyle w:val="ListParagraph"/>
        <w:numPr>
          <w:ilvl w:val="0"/>
          <w:numId w:val="1"/>
        </w:numPr>
        <w:spacing w:after="60"/>
      </w:pPr>
      <w:r>
        <w:t xml:space="preserve">PII crossing tokenisation goes through </w:t>
      </w:r>
      <w:r>
        <w:rPr>
          <w:rFonts w:ascii="Cascadia Mono" w:cs="Cascadia Mono" w:eastAsia="Cascadia Mono" w:hAnsi="Cascadia Mono"/>
          <w:color w:val="2B2B2B"/>
          <w:sz w:val="18"/>
          <w:szCs w:val="18"/>
        </w:rPr>
        <w:t xml:space="preserve">tokenizer-mcp</w:t>
      </w:r>
      <w:r>
        <w:t xml:space="preserve"> (no inline cleartext handling)</w:t>
      </w:r>
    </w:p>
    <w:p>
      <w:pPr>
        <w:pStyle w:val="ListParagraph"/>
        <w:numPr>
          <w:ilvl w:val="0"/>
          <w:numId w:val="1"/>
        </w:numPr>
        <w:spacing w:after="60"/>
      </w:pPr>
      <w:r>
        <w:t xml:space="preserve">Write-backs to SORs or internal ledgers go through </w:t>
      </w:r>
      <w:r>
        <w:rPr>
          <w:rFonts w:ascii="Cascadia Mono" w:cs="Cascadia Mono" w:eastAsia="Cascadia Mono" w:hAnsi="Cascadia Mono"/>
          <w:color w:val="2B2B2B"/>
          <w:sz w:val="18"/>
          <w:szCs w:val="18"/>
        </w:rPr>
        <w:t xml:space="preserve">ledger-mcp</w:t>
      </w:r>
      <w:r>
        <w:t xml:space="preserve"> (always audit-logged)</w:t>
      </w:r>
    </w:p>
    <w:p>
      <w:pPr>
        <w:spacing w:after="140"/>
      </w:pPr>
      <w:r>
        <w:t xml:space="preserve">Shortcuts past any of these servers are blocked at review. This is why the platform can promise cross-service audit consistency and single-pane-of-glass observability.</w:t>
      </w:r>
    </w:p>
    <w:p>
      <w:pPr>
        <w:pStyle w:val="Heading3"/>
        <w:spacing w:after="120" w:before="260"/>
      </w:pPr>
      <w:r>
        <w:rPr>
          <w:rFonts w:ascii="Aptos" w:cs="Aptos" w:eastAsia="Aptos" w:hAnsi="Aptos"/>
          <w:b/>
          <w:bCs/>
          <w:color w:val="0B111E"/>
          <w:sz w:val="24"/>
          <w:szCs w:val="24"/>
        </w:rPr>
        <w:t xml:space="preserve">6.2 Tokenizer Deep-Dive</w:t>
      </w:r>
    </w:p>
    <w:p>
      <w:pPr>
        <w:spacing w:after="140"/>
      </w:pPr>
      <w:r>
        <w:rPr>
          <w:rFonts w:ascii="Cascadia Mono" w:cs="Cascadia Mono" w:eastAsia="Cascadia Mono" w:hAnsi="Cascadia Mono"/>
          <w:color w:val="2B2B2B"/>
          <w:sz w:val="18"/>
          <w:szCs w:val="18"/>
        </w:rPr>
        <w:t xml:space="preserve">tokenizer-mcp</w:t>
      </w:r>
      <w:r>
        <w:t xml:space="preserve"> is the most sensitive utility server in the APEX platform. It sits at the PII boundary; its failure modes are compliance events.</w:t>
      </w:r>
    </w:p>
    <w:p>
      <w:pPr>
        <w:spacing w:after="140"/>
      </w:pPr>
      <w:r>
        <w:rPr>
          <w:b/>
          <w:bCs/>
        </w:rPr>
        <w:t xml:space="preserve">Tokenisation rules:</w:t>
      </w:r>
    </w:p>
    <w:p>
      <w:pPr>
        <w:pStyle w:val="ListParagraph"/>
        <w:numPr>
          <w:ilvl w:val="0"/>
          <w:numId w:val="1"/>
        </w:numPr>
        <w:spacing w:after="60"/>
      </w:pPr>
      <w:r>
        <w:t xml:space="preserve">Stable tokens (same cleartext → same token across invocations, over time)</w:t>
      </w:r>
    </w:p>
    <w:p>
      <w:pPr>
        <w:pStyle w:val="ListParagraph"/>
        <w:numPr>
          <w:ilvl w:val="0"/>
          <w:numId w:val="1"/>
        </w:numPr>
        <w:spacing w:after="60"/>
      </w:pPr>
      <w:r>
        <w:t xml:space="preserve">Audit-logged reverse-lookup with </w:t>
      </w:r>
      <w:r>
        <w:rPr>
          <w:rFonts w:ascii="Cascadia Mono" w:cs="Cascadia Mono" w:eastAsia="Cascadia Mono" w:hAnsi="Cascadia Mono"/>
          <w:color w:val="2B2B2B"/>
          <w:sz w:val="18"/>
          <w:szCs w:val="18"/>
        </w:rPr>
        <w:t xml:space="preserve">mi-apex-&lt;practice&gt;-pii-unlock</w:t>
      </w:r>
      <w:r>
        <w:t xml:space="preserve"> as the only identity authorised</w:t>
      </w:r>
    </w:p>
    <w:p>
      <w:pPr>
        <w:pStyle w:val="ListParagraph"/>
        <w:numPr>
          <w:ilvl w:val="0"/>
          <w:numId w:val="1"/>
        </w:numPr>
        <w:spacing w:after="60"/>
      </w:pPr>
      <w:r>
        <w:t xml:space="preserve">Per-field consent honouring (if </w:t>
      </w:r>
      <w:r>
        <w:rPr>
          <w:rFonts w:ascii="Cascadia Mono" w:cs="Cascadia Mono" w:eastAsia="Cascadia Mono" w:hAnsi="Cascadia Mono"/>
          <w:color w:val="2B2B2B"/>
          <w:sz w:val="18"/>
          <w:szCs w:val="18"/>
        </w:rPr>
        <w:t xml:space="preserve">consent_contact = false</w:t>
      </w:r>
      <w:r>
        <w:t xml:space="preserve"> on a customer record, the token still resolves but outbound communication is blocked by the </w:t>
      </w:r>
      <w:r>
        <w:rPr>
          <w:rFonts w:ascii="Cascadia Mono" w:cs="Cascadia Mono" w:eastAsia="Cascadia Mono" w:hAnsi="Cascadia Mono"/>
          <w:color w:val="2B2B2B"/>
          <w:sz w:val="18"/>
          <w:szCs w:val="18"/>
        </w:rPr>
        <w:t xml:space="preserve">approvals-mcp</w:t>
      </w:r>
      <w:r>
        <w:t xml:space="preserve"> policy layer)</w:t>
      </w:r>
    </w:p>
    <w:p>
      <w:pPr>
        <w:pStyle w:val="ListParagraph"/>
        <w:numPr>
          <w:ilvl w:val="0"/>
          <w:numId w:val="1"/>
        </w:numPr>
        <w:spacing w:after="60"/>
      </w:pPr>
      <w:r>
        <w:t xml:space="preserve">Category-scoped salts (customer_id token ≠ employee_id token, even for the same underlying value)</w:t>
      </w:r>
    </w:p>
    <w:p>
      <w:pPr>
        <w:spacing w:after="140"/>
      </w:pPr>
      <w:r>
        <w:rPr>
          <w:b/>
          <w:bCs/>
        </w:rPr>
        <w:t xml:space="preserve">Implementation:</w:t>
      </w:r>
      <w:r>
        <w:t xml:space="preserve"> The tokeniser is a Fabric-adjacent stateful service holding the token-to-cleartext map in a customer-managed-keys-encrypted Delta table. Reverse lookups hit the store with an audit row written to </w:t>
      </w:r>
      <w:r>
        <w:rPr>
          <w:rFonts w:ascii="Cascadia Mono" w:cs="Cascadia Mono" w:eastAsia="Cascadia Mono" w:hAnsi="Cascadia Mono"/>
          <w:color w:val="2B2B2B"/>
          <w:sz w:val="18"/>
          <w:szCs w:val="18"/>
        </w:rPr>
        <w:t xml:space="preserve">apex_audit_log</w:t>
      </w:r>
      <w:r>
        <w:t xml:space="preserve"> first, then the reverse call. The audit write is strict-ordering-before — if the audit row write fails, the reverse-lookup fails. This is deliberately conservative.</w:t>
      </w:r>
    </w:p>
    <w:p>
      <w:pPr>
        <w:pStyle w:val="Heading3"/>
        <w:spacing w:after="120" w:before="260"/>
      </w:pPr>
      <w:r>
        <w:rPr>
          <w:rFonts w:ascii="Aptos" w:cs="Aptos" w:eastAsia="Aptos" w:hAnsi="Aptos"/>
          <w:b/>
          <w:bCs/>
          <w:color w:val="0B111E"/>
          <w:sz w:val="24"/>
          <w:szCs w:val="24"/>
        </w:rPr>
        <w:t xml:space="preserve">6.3 Approvals Deep-Dive</w:t>
      </w:r>
    </w:p>
    <w:p>
      <w:pPr>
        <w:spacing w:after="140"/>
      </w:pPr>
      <w:r>
        <w:rPr>
          <w:rFonts w:ascii="Cascadia Mono" w:cs="Cascadia Mono" w:eastAsia="Cascadia Mono" w:hAnsi="Cascadia Mono"/>
          <w:color w:val="2B2B2B"/>
          <w:sz w:val="18"/>
          <w:szCs w:val="18"/>
        </w:rPr>
        <w:t xml:space="preserve">approvals-mcp</w:t>
      </w:r>
      <w:r>
        <w:t xml:space="preserve"> is the seam between APEX and the human organisation. It sends Teams adaptive cards, escalates to Power Automate flows, polls for decision, applies timeouts, and returns the canonical result.</w:t>
      </w:r>
    </w:p>
    <w:p>
      <w:pPr>
        <w:spacing w:after="140"/>
      </w:pPr>
      <w:r>
        <w:rPr>
          <w:b/>
          <w:bCs/>
        </w:rPr>
        <w:t xml:space="preserve">Card lifecycle:</w:t>
      </w:r>
      <w:r>
        <w:t xml:space="preserve"> 1. </w:t>
      </w:r>
      <w:r>
        <w:rPr>
          <w:rFonts w:ascii="Cascadia Mono" w:cs="Cascadia Mono" w:eastAsia="Cascadia Mono" w:hAnsi="Cascadia Mono"/>
          <w:color w:val="2B2B2B"/>
          <w:sz w:val="18"/>
          <w:szCs w:val="18"/>
        </w:rPr>
        <w:t xml:space="preserve">approvals-mcp.send_card(recipient, card_json, timeout_min)</w:t>
      </w:r>
      <w:r>
        <w:t xml:space="preserve"> — called by the orchestration's HITL gate step 2. Card is delivered via Graph API to the recipient's Teams 3. Recipient interacts; submit action hits the APEX Function handler 4. Decision arrives via </w:t>
      </w:r>
      <w:r>
        <w:rPr>
          <w:rFonts w:ascii="Cascadia Mono" w:cs="Cascadia Mono" w:eastAsia="Cascadia Mono" w:hAnsi="Cascadia Mono"/>
          <w:color w:val="2B2B2B"/>
          <w:sz w:val="18"/>
          <w:szCs w:val="18"/>
        </w:rPr>
        <w:t xml:space="preserve">raise_event(orchestration_id, 'hitl_decision', payload)</w:t>
      </w:r>
      <w:r>
        <w:t xml:space="preserve"> 5. If timeout expires, escalation path fires — a second card to a secondary recipient or an ESCALATION-flavoured card to a cross-functional owner 6. Final decision is written to </w:t>
      </w:r>
      <w:r>
        <w:rPr>
          <w:rFonts w:ascii="Cascadia Mono" w:cs="Cascadia Mono" w:eastAsia="Cascadia Mono" w:hAnsi="Cascadia Mono"/>
          <w:color w:val="2B2B2B"/>
          <w:sz w:val="18"/>
          <w:szCs w:val="18"/>
        </w:rPr>
        <w:t xml:space="preserve">silver_decision_audit</w:t>
      </w:r>
      <w:r>
        <w:t xml:space="preserve"> by the orchestration; the approvals-mcp trace span closes</w:t>
      </w:r>
    </w:p>
    <w:p>
      <w:pPr>
        <w:spacing w:after="140"/>
      </w:pPr>
      <w:r>
        <w:rPr>
          <w:b/>
          <w:bCs/>
        </w:rPr>
        <w:t xml:space="preserve">Why it's a shared service:</w:t>
      </w:r>
      <w:r>
        <w:t xml:space="preserve"> every Practice needs the same contract. A decision card for a Cold Chain excursion and a decision card for a Sepsis alert share the same submit-handler, the same audit path, the same escalation semantics. Build it once.</w:t>
      </w:r>
    </w:p>
    <w:p>
      <w:pPr>
        <w:pStyle w:val="Heading3"/>
        <w:spacing w:after="120" w:before="260"/>
      </w:pPr>
      <w:r>
        <w:rPr>
          <w:rFonts w:ascii="Aptos" w:cs="Aptos" w:eastAsia="Aptos" w:hAnsi="Aptos"/>
          <w:b/>
          <w:bCs/>
          <w:color w:val="0B111E"/>
          <w:sz w:val="24"/>
          <w:szCs w:val="24"/>
        </w:rPr>
        <w:t xml:space="preserve">6.4 Ledger-MCP Deep-Dive</w:t>
      </w:r>
    </w:p>
    <w:p>
      <w:pPr>
        <w:spacing w:after="140"/>
      </w:pPr>
      <w:r>
        <w:t xml:space="preserve">Every write-back to a SOR or internal system goes through staging. </w:t>
      </w:r>
      <w:r>
        <w:rPr>
          <w:rFonts w:ascii="Cascadia Mono" w:cs="Cascadia Mono" w:eastAsia="Cascadia Mono" w:hAnsi="Cascadia Mono"/>
          <w:color w:val="2B2B2B"/>
          <w:sz w:val="18"/>
          <w:szCs w:val="18"/>
        </w:rPr>
        <w:t xml:space="preserve">ledger-mcp</w:t>
      </w:r>
      <w:r>
        <w:t xml:space="preserve"> is the staging service. It writes to </w:t>
      </w:r>
      <w:r>
        <w:rPr>
          <w:rFonts w:ascii="Cascadia Mono" w:cs="Cascadia Mono" w:eastAsia="Cascadia Mono" w:hAnsi="Cascadia Mono"/>
          <w:color w:val="2B2B2B"/>
          <w:sz w:val="18"/>
          <w:szCs w:val="18"/>
        </w:rPr>
        <w:t xml:space="preserve">silver_ledger_staging</w:t>
      </w:r>
      <w:r>
        <w:t xml:space="preserve"> (append-only, audit-referenced) before the downstream system sees the action, so the action can be audited at the APEX boundary before it commits downstream.</w:t>
      </w:r>
    </w:p>
    <w:p>
      <w:pPr>
        <w:spacing w:after="140"/>
      </w:pPr>
      <w:r>
        <w:t xml:space="preserve">Typical usage: a cold-chain write-off stages the ledger entry; the HITL approval promotes it; the downstream ERP finance adapter picks up the promoted entry and posts it. If the ERP post fails, the failure is captured in the staging table alongside the original stage, and the orchestration's rollback path can un-stage.</w:t>
      </w:r>
    </w:p>
    <w:p>
      <w:pPr>
        <w:pStyle w:val="Heading2"/>
        <w:spacing w:after="140" w:before="300"/>
      </w:pPr>
      <w:r>
        <w:rPr>
          <w:rFonts w:ascii="Aptos Display" w:cs="Aptos Display" w:eastAsia="Aptos Display" w:hAnsi="Aptos Display"/>
          <w:b/>
          <w:bCs/>
          <w:color w:val="0B111E"/>
          <w:sz w:val="30"/>
          <w:szCs w:val="30"/>
        </w:rPr>
        <w:t xml:space="preserve">Chapter 10: Observability &amp; Trust</w:t>
      </w:r>
    </w:p>
    <w:p>
      <w:pPr>
        <w:spacing w:after="140"/>
      </w:pPr>
      <w:r>
        <w:t xml:space="preserve">APEX's observability is designed around a single principle: </w:t>
      </w:r>
      <w:r>
        <w:rPr>
          <w:b/>
          <w:bCs/>
        </w:rPr>
        <w:t xml:space="preserve">every consequential event gets one operation_Id that stitches the end-to-end story</w:t>
      </w:r>
      <w:r>
        <w:t xml:space="preserve">. From SOR event to Bronze write to Silver transform to EventGrid publish to orchestration start to agent invocation to MCP tool calls to HITL wait to decision audit row to rollback pointer — one trace, one ID, one queryable history.</w:t>
      </w:r>
    </w:p>
    <w:p>
      <w:pPr>
        <w:pStyle w:val="Heading3"/>
        <w:spacing w:after="120" w:before="260"/>
      </w:pPr>
      <w:r>
        <w:rPr>
          <w:rFonts w:ascii="Aptos" w:cs="Aptos" w:eastAsia="Aptos" w:hAnsi="Aptos"/>
          <w:b/>
          <w:bCs/>
          <w:color w:val="0B111E"/>
          <w:sz w:val="24"/>
          <w:szCs w:val="24"/>
        </w:rPr>
        <w:t xml:space="preserve">The One Workbook</w:t>
      </w:r>
    </w:p>
    <w:p>
      <w:pPr>
        <w:spacing w:after="140"/>
      </w:pPr>
      <w:r>
        <w:t xml:space="preserve">Every APEX deployment ships with a single Azure Monitor workbook that answers, for any tenant, five questions at once:</w:t>
      </w:r>
    </w:p>
    <w:p>
      <w:pPr>
        <w:spacing w:after="140"/>
      </w:pPr>
      <w:r>
        <w:t xml:space="preserve">1. </w:t>
      </w:r>
      <w:r>
        <w:rPr>
          <w:b/>
          <w:bCs/>
        </w:rPr>
        <w:t xml:space="preserve">Is the orchestration succeeding?</w:t>
      </w:r>
      <w:r>
        <w:t xml:space="preserve"> (24h orchestration success rate, per orchestration_id) 2. </w:t>
      </w:r>
      <w:r>
        <w:rPr>
          <w:b/>
          <w:bCs/>
        </w:rPr>
        <w:t xml:space="preserve">Is the decision arriving on time?</w:t>
      </w:r>
      <w:r>
        <w:t xml:space="preserve"> (mean-time-to-decision, p50/p95/p99) 3. </w:t>
      </w:r>
      <w:r>
        <w:rPr>
          <w:b/>
          <w:bCs/>
        </w:rPr>
        <w:t xml:space="preserve">Is the HITL queue healthy?</w:t>
      </w:r>
      <w:r>
        <w:t xml:space="preserve"> (real-time queue depth per gate owner) 4. </w:t>
      </w:r>
      <w:r>
        <w:rPr>
          <w:b/>
          <w:bCs/>
        </w:rPr>
        <w:t xml:space="preserve">Has anything drifted?</w:t>
      </w:r>
      <w:r>
        <w:t xml:space="preserve"> (schema drift incidents over 7 days) 5. </w:t>
      </w:r>
      <w:r>
        <w:rPr>
          <w:b/>
          <w:bCs/>
        </w:rPr>
        <w:t xml:space="preserve">Are the tools healthy?</w:t>
      </w:r>
      <w:r>
        <w:t xml:space="preserve"> (MCP tool failure rate per tool, 24h)</w:t>
      </w:r>
    </w:p>
    <w:p>
      <w:pPr>
        <w:spacing w:after="140"/>
      </w:pPr>
      <w:r>
        <w:t xml:space="preserve">Every panel ties to an alerting rule that pages the owning team when SLOs burn. Every panel has per-tenant scoping.</w:t>
      </w:r>
    </w:p>
    <w:p>
      <w:pPr>
        <w:pStyle w:val="Heading3"/>
        <w:spacing w:after="120" w:before="260"/>
      </w:pPr>
      <w:r>
        <w:rPr>
          <w:rFonts w:ascii="Aptos" w:cs="Aptos" w:eastAsia="Aptos" w:hAnsi="Aptos"/>
          <w:b/>
          <w:bCs/>
          <w:color w:val="0B111E"/>
          <w:sz w:val="24"/>
          <w:szCs w:val="24"/>
        </w:rPr>
        <w:t xml:space="preserve">Trust, Audit, and the Regulatory Posture</w:t>
      </w:r>
    </w:p>
    <w:p>
      <w:pPr>
        <w:spacing w:after="140"/>
      </w:pPr>
      <w:r>
        <w:t xml:space="preserve">APEX's audit trail is not an afterthought. </w:t>
      </w:r>
      <w:r>
        <w:rPr>
          <w:rFonts w:ascii="Cascadia Mono" w:cs="Cascadia Mono" w:eastAsia="Cascadia Mono" w:hAnsi="Cascadia Mono"/>
          <w:color w:val="2B2B2B"/>
          <w:sz w:val="18"/>
          <w:szCs w:val="18"/>
        </w:rPr>
        <w:t xml:space="preserve">silver_decision_audit</w:t>
      </w:r>
      <w:r>
        <w:t xml:space="preserve"> is a first-class Silver table with:</w:t>
      </w:r>
    </w:p>
    <w:p>
      <w:pPr>
        <w:pStyle w:val="ListParagraph"/>
        <w:numPr>
          <w:ilvl w:val="0"/>
          <w:numId w:val="1"/>
        </w:numPr>
        <w:spacing w:after="60"/>
      </w:pPr>
      <w:r>
        <w:t xml:space="preserve">Append-only writes (no UPDATE, no DELETE)</w:t>
      </w:r>
    </w:p>
    <w:p>
      <w:pPr>
        <w:pStyle w:val="ListParagraph"/>
        <w:numPr>
          <w:ilvl w:val="0"/>
          <w:numId w:val="1"/>
        </w:numPr>
        <w:spacing w:after="60"/>
      </w:pPr>
      <w:r>
        <w:t xml:space="preserve">Customer-managed keys</w:t>
      </w:r>
    </w:p>
    <w:p>
      <w:pPr>
        <w:pStyle w:val="ListParagraph"/>
        <w:numPr>
          <w:ilvl w:val="0"/>
          <w:numId w:val="1"/>
        </w:numPr>
        <w:spacing w:after="60"/>
      </w:pPr>
      <w:r>
        <w:t xml:space="preserve">ACL write-once with broad read for compliance officers and observability managed identity</w:t>
      </w:r>
    </w:p>
    <w:p>
      <w:pPr>
        <w:pStyle w:val="ListParagraph"/>
        <w:numPr>
          <w:ilvl w:val="0"/>
          <w:numId w:val="1"/>
        </w:numPr>
        <w:spacing w:after="60"/>
      </w:pPr>
      <w:r>
        <w:t xml:space="preserve">Retention per practice compliance policy (7 years HLS/ER under SOX; 5 years RC/AXLE default; longer per contract)</w:t>
      </w:r>
    </w:p>
    <w:p>
      <w:pPr>
        <w:pStyle w:val="ListParagraph"/>
        <w:numPr>
          <w:ilvl w:val="0"/>
          <w:numId w:val="1"/>
        </w:numPr>
        <w:spacing w:after="60"/>
      </w:pPr>
      <w:r>
        <w:t xml:space="preserve">Exportable in a form that regulators have accepted in engagements to date</w:t>
      </w:r>
    </w:p>
    <w:p>
      <w:pPr>
        <w:spacing w:after="140"/>
      </w:pPr>
      <w:r>
        <w:t xml:space="preserve">This is the single biggest differentiator in conversations with compliance officers. It is not an advantage measurable in ROI; it is a </w:t>
      </w:r>
      <w:r>
        <w:rPr>
          <w:b/>
          <w:bCs/>
        </w:rPr>
        <w:t xml:space="preserve">floor</w:t>
      </w:r>
      <w:r>
        <w:t xml:space="preserve">.</w:t>
      </w:r>
    </w:p>
    <w:p>
      <w:pPr>
        <w:pStyle w:val="Heading3"/>
        <w:spacing w:after="120" w:before="260"/>
      </w:pPr>
      <w:r>
        <w:rPr>
          <w:rFonts w:ascii="Aptos" w:cs="Aptos" w:eastAsia="Aptos" w:hAnsi="Aptos"/>
          <w:b/>
          <w:bCs/>
          <w:color w:val="0B111E"/>
          <w:sz w:val="24"/>
          <w:szCs w:val="24"/>
        </w:rPr>
        <w:t xml:space="preserve">7.1 Alert-to-Action Philosophy</w:t>
      </w:r>
    </w:p>
    <w:p>
      <w:pPr>
        <w:spacing w:after="140"/>
      </w:pPr>
      <w:r>
        <w:t xml:space="preserve">Every APEX alert is paired with a runbook. Alerting without actionable runbook is just noise. The convention: alerts carry a link to the runbook-of-record in the observability wiki; the runbook names the owner, the diagnosis steps, the rollback steps, and the escalation tree. No alert ships without a runbook review.</w:t>
      </w:r>
    </w:p>
    <w:p>
      <w:pPr>
        <w:spacing w:after="140"/>
      </w:pPr>
      <w:r>
        <w:rPr>
          <w:b/>
          <w:bCs/>
        </w:rPr>
        <w:t xml:space="preserve">Alert severity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P1 — SLO burn critical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On-call engineer + practice SRE lead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P2 — SLO burn warning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 hour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SRE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P3 — Contract/schema 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team + Core team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P4 — Informational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End of day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Dashboard only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7.2 The Decision-Lineage Query</w:t>
      </w:r>
    </w:p>
    <w:p>
      <w:pPr>
        <w:spacing w:after="140"/>
      </w:pPr>
      <w:r>
        <w:t xml:space="preserve">Every APEX decision is queryable by a single identifier: the </w:t>
      </w:r>
      <w:r>
        <w:rPr>
          <w:rFonts w:ascii="Cascadia Mono" w:cs="Cascadia Mono" w:eastAsia="Cascadia Mono" w:hAnsi="Cascadia Mono"/>
          <w:color w:val="2B2B2B"/>
          <w:sz w:val="18"/>
          <w:szCs w:val="18"/>
        </w:rPr>
        <w:t xml:space="preserve">operation_Id</w:t>
      </w:r>
      <w:r>
        <w:t xml:space="preserve">. Given that ID, any authorised user can reconstruct:</w:t>
      </w:r>
    </w:p>
    <w:p>
      <w:pPr>
        <w:pStyle w:val="ListParagraph"/>
        <w:numPr>
          <w:ilvl w:val="0"/>
          <w:numId w:val="1"/>
        </w:numPr>
        <w:spacing w:after="60"/>
      </w:pPr>
      <w:r>
        <w:t xml:space="preserve">The triggering event (source, timestamp, entity)</w:t>
      </w:r>
    </w:p>
    <w:p>
      <w:pPr>
        <w:pStyle w:val="ListParagraph"/>
        <w:numPr>
          <w:ilvl w:val="0"/>
          <w:numId w:val="1"/>
        </w:numPr>
        <w:spacing w:after="60"/>
      </w:pPr>
      <w:r>
        <w:t xml:space="preserve">Every Bronze/Silver/Gold transform that fed the decision</w:t>
      </w:r>
    </w:p>
    <w:p>
      <w:pPr>
        <w:pStyle w:val="ListParagraph"/>
        <w:numPr>
          <w:ilvl w:val="0"/>
          <w:numId w:val="1"/>
        </w:numPr>
        <w:spacing w:after="60"/>
      </w:pPr>
      <w:r>
        <w:t xml:space="preserve">Every agent invocation with prompt, tool calls, and output</w:t>
      </w:r>
    </w:p>
    <w:p>
      <w:pPr>
        <w:pStyle w:val="ListParagraph"/>
        <w:numPr>
          <w:ilvl w:val="0"/>
          <w:numId w:val="1"/>
        </w:numPr>
        <w:spacing w:after="60"/>
      </w:pPr>
      <w:r>
        <w:t xml:space="preserve">Every MCP tool call with inputs and outputs</w:t>
      </w:r>
    </w:p>
    <w:p>
      <w:pPr>
        <w:pStyle w:val="ListParagraph"/>
        <w:numPr>
          <w:ilvl w:val="0"/>
          <w:numId w:val="1"/>
        </w:numPr>
        <w:spacing w:after="60"/>
      </w:pPr>
      <w:r>
        <w:t xml:space="preserve">The HITL card sent, the approver, the rationale</w:t>
      </w:r>
    </w:p>
    <w:p>
      <w:pPr>
        <w:pStyle w:val="ListParagraph"/>
        <w:numPr>
          <w:ilvl w:val="0"/>
          <w:numId w:val="1"/>
        </w:numPr>
        <w:spacing w:after="60"/>
      </w:pPr>
      <w:r>
        <w:t xml:space="preserve">The final decision written to audit</w:t>
      </w:r>
    </w:p>
    <w:p>
      <w:pPr>
        <w:pStyle w:val="ListParagraph"/>
        <w:numPr>
          <w:ilvl w:val="0"/>
          <w:numId w:val="1"/>
        </w:numPr>
        <w:spacing w:after="60"/>
      </w:pPr>
      <w:r>
        <w:t xml:space="preserve">Downstream effects (ledger entries, SOR write-backs, communications sent)</w:t>
      </w:r>
    </w:p>
    <w:p>
      <w:pPr>
        <w:spacing w:after="140"/>
      </w:pPr>
      <w:r>
        <w:t xml:space="preserve">This is the query regulators have been asking for since before agentic AI existed; APEX is architected to answer it as a first-class concern.</w:t>
      </w:r>
    </w:p>
    <w:p>
      <w:pPr>
        <w:pStyle w:val="Heading3"/>
        <w:spacing w:after="120" w:before="260"/>
      </w:pPr>
      <w:r>
        <w:rPr>
          <w:rFonts w:ascii="Aptos" w:cs="Aptos" w:eastAsia="Aptos" w:hAnsi="Aptos"/>
          <w:b/>
          <w:bCs/>
          <w:color w:val="0B111E"/>
          <w:sz w:val="24"/>
          <w:szCs w:val="24"/>
        </w:rPr>
        <w:t xml:space="preserve">7.3 Trust-Building with Clinical and Regulated Personas</w:t>
      </w:r>
    </w:p>
    <w:p>
      <w:pPr>
        <w:spacing w:after="140"/>
      </w:pPr>
      <w:r>
        <w:t xml:space="preserve">For services in highly regulated environments (HLS clinical, ER grid-ops, AXLE recalls), the observability layer is the </w:t>
      </w:r>
      <w:r>
        <w:rPr>
          <w:b/>
          <w:bCs/>
        </w:rPr>
        <w:t xml:space="preserve">primary trust-building mechanism</w:t>
      </w:r>
      <w:r>
        <w:t xml:space="preserve">. The pitch to a skeptical charge nurse or grid-ops engineer is not "trust the agent"; it is "here is how you can audit every decision in the first thirty days so you can trust yourself when you tune the gate down."</w:t>
      </w:r>
    </w:p>
    <w:p>
      <w:pPr>
        <w:spacing w:after="140"/>
      </w:pPr>
      <w:r>
        <w:t xml:space="preserve">During Wave 1 pilots, we instrument the workbook with per-decision drill-down queries and train the pilot personas on using them. Within a month, the pilot personas become the programme's internal advocates because they have spent time inside the decision audit and seen the quality for themselves.</w:t>
      </w:r>
    </w:p>
    <w:p>
      <w:pPr>
        <w:pStyle w:val="Heading2"/>
        <w:spacing w:after="140" w:before="300"/>
      </w:pPr>
      <w:r>
        <w:rPr>
          <w:rFonts w:ascii="Aptos Display" w:cs="Aptos Display" w:eastAsia="Aptos Display" w:hAnsi="Aptos Display"/>
          <w:b/>
          <w:bCs/>
          <w:color w:val="0B111E"/>
          <w:sz w:val="30"/>
          <w:szCs w:val="30"/>
        </w:rPr>
        <w:t xml:space="preserve">Chapter 10A: Security Architecture</w:t>
      </w:r>
    </w:p>
    <w:p>
      <w:pPr>
        <w:spacing w:after="140"/>
      </w:pPr>
      <w:r>
        <w:t xml:space="preserve">APEX's security posture is a dedicated chapter because every service depends on it and because clients' security and compliance teams are among the hardest stakeholders to satisfy.</w:t>
      </w:r>
    </w:p>
    <w:p>
      <w:pPr>
        <w:pStyle w:val="Heading3"/>
        <w:spacing w:after="120" w:before="260"/>
      </w:pPr>
      <w:r>
        <w:rPr>
          <w:rFonts w:ascii="Aptos" w:cs="Aptos" w:eastAsia="Aptos" w:hAnsi="Aptos"/>
          <w:b/>
          <w:bCs/>
          <w:color w:val="0B111E"/>
          <w:sz w:val="24"/>
          <w:szCs w:val="24"/>
        </w:rPr>
        <w:t xml:space="preserve">10A.1 Defence-in-Depth</w:t>
      </w:r>
    </w:p>
    <w:p>
      <w:pPr>
        <w:spacing w:after="140"/>
      </w:pPr>
      <w:r>
        <w:t xml:space="preserve">Five concentric rings of defence:</w:t>
      </w:r>
    </w:p>
    <w:p>
      <w:pPr>
        <w:spacing w:after="140"/>
      </w:pPr>
      <w:r>
        <w:t xml:space="preserve">1. </w:t>
      </w:r>
      <w:r>
        <w:rPr>
          <w:b/>
          <w:bCs/>
        </w:rPr>
        <w:t xml:space="preserve">Network</w:t>
      </w:r>
      <w:r>
        <w:t xml:space="preserve"> — Azure Virtual Network + Private Endpoints + Defender for Cloud baseline. All APEX runtime components live in private VNets where possible. 2. </w:t>
      </w:r>
      <w:r>
        <w:rPr>
          <w:b/>
          <w:bCs/>
        </w:rPr>
        <w:t xml:space="preserve">Identity</w:t>
      </w:r>
      <w:r>
        <w:t xml:space="preserve"> — Entra ID + Conditional Access + MFA enforced + Privileged Identity Management for admin roles. Every service-to-service call is managed-identity authenticated. 3. </w:t>
      </w:r>
      <w:r>
        <w:rPr>
          <w:b/>
          <w:bCs/>
        </w:rPr>
        <w:t xml:space="preserve">Data</w:t>
      </w:r>
      <w:r>
        <w:t xml:space="preserve"> — Purview sensitivity labels + DLP + customer-managed keys + OneLake path-level ACLs + SCD2 audit for PII. Tokenisation at the Silver boundary. 4. </w:t>
      </w:r>
      <w:r>
        <w:rPr>
          <w:b/>
          <w:bCs/>
        </w:rPr>
        <w:t xml:space="preserve">Application</w:t>
      </w:r>
      <w:r>
        <w:t xml:space="preserve"> — Agent Service tool allow-lists + per-tool rate limits + MCP server managed-identity segregation per schema family. 5. </w:t>
      </w:r>
      <w:r>
        <w:rPr>
          <w:b/>
          <w:bCs/>
        </w:rPr>
        <w:t xml:space="preserve">Audit</w:t>
      </w:r>
      <w:r>
        <w:t xml:space="preserve"> — append-only audit rows + immutable retention + signed identity-of-decider on every HITL record.</w:t>
      </w:r>
    </w:p>
    <w:p>
      <w:pPr>
        <w:pStyle w:val="Heading3"/>
        <w:spacing w:after="120" w:before="260"/>
      </w:pPr>
      <w:r>
        <w:rPr>
          <w:rFonts w:ascii="Aptos" w:cs="Aptos" w:eastAsia="Aptos" w:hAnsi="Aptos"/>
          <w:b/>
          <w:bCs/>
          <w:color w:val="0B111E"/>
          <w:sz w:val="24"/>
          <w:szCs w:val="24"/>
        </w:rPr>
        <w:t xml:space="preserve">10A.2 Threat Model</w:t>
      </w:r>
    </w:p>
    <w:p>
      <w:pPr>
        <w:spacing w:after="140"/>
      </w:pPr>
      <w:r>
        <w:t xml:space="preserve">APEX's threat model addresses:</w:t>
      </w:r>
    </w:p>
    <w:p>
      <w:pPr>
        <w:pStyle w:val="ListParagraph"/>
        <w:numPr>
          <w:ilvl w:val="0"/>
          <w:numId w:val="1"/>
        </w:numPr>
        <w:spacing w:after="60"/>
      </w:pPr>
      <w:r>
        <w:rPr>
          <w:b/>
          <w:bCs/>
        </w:rPr>
        <w:t xml:space="preserve">Prompt injection</w:t>
      </w:r>
      <w:r>
        <w:t xml:space="preserve"> — mitigated by contract-preamble discipline; agent contexts never accept external user prompts as instructions; MCP tool outputs are sandboxed by type</w:t>
      </w:r>
    </w:p>
    <w:p>
      <w:pPr>
        <w:pStyle w:val="ListParagraph"/>
        <w:numPr>
          <w:ilvl w:val="0"/>
          <w:numId w:val="1"/>
        </w:numPr>
        <w:spacing w:after="60"/>
      </w:pPr>
      <w:r>
        <w:rPr>
          <w:b/>
          <w:bCs/>
        </w:rPr>
        <w:t xml:space="preserve">Tool abuse</w:t>
      </w:r>
      <w:r>
        <w:t xml:space="preserve"> — mitigated by tool allow-lists; any tool call outside allow-list is a runtime error with audit-log entry</w:t>
      </w:r>
    </w:p>
    <w:p>
      <w:pPr>
        <w:pStyle w:val="ListParagraph"/>
        <w:numPr>
          <w:ilvl w:val="0"/>
          <w:numId w:val="1"/>
        </w:numPr>
        <w:spacing w:after="60"/>
      </w:pPr>
      <w:r>
        <w:rPr>
          <w:b/>
          <w:bCs/>
        </w:rPr>
        <w:t xml:space="preserve">Data exfiltration via agent response</w:t>
      </w:r>
      <w:r>
        <w:t xml:space="preserve"> — mitigated by Purview DLP on outbound responses; cleartext PII never crosses the tokeniser boundary</w:t>
      </w:r>
    </w:p>
    <w:p>
      <w:pPr>
        <w:pStyle w:val="ListParagraph"/>
        <w:numPr>
          <w:ilvl w:val="0"/>
          <w:numId w:val="1"/>
        </w:numPr>
        <w:spacing w:after="60"/>
      </w:pPr>
      <w:r>
        <w:rPr>
          <w:b/>
          <w:bCs/>
        </w:rPr>
        <w:t xml:space="preserve">Identity compromise</w:t>
      </w:r>
      <w:r>
        <w:t xml:space="preserve"> — mitigated by Conditional Access + MFA + PIM; managed identities rotated on schedule; no long-lived secrets in APEX runtime</w:t>
      </w:r>
    </w:p>
    <w:p>
      <w:pPr>
        <w:pStyle w:val="ListParagraph"/>
        <w:numPr>
          <w:ilvl w:val="0"/>
          <w:numId w:val="1"/>
        </w:numPr>
        <w:spacing w:after="60"/>
      </w:pPr>
      <w:r>
        <w:rPr>
          <w:b/>
          <w:bCs/>
        </w:rPr>
        <w:t xml:space="preserve">Audit tampering</w:t>
      </w:r>
      <w:r>
        <w:t xml:space="preserve"> — mitigated by append-only Silver audit table with customer-managed-keys encryption; any attempt to modify is a security incident</w:t>
      </w:r>
    </w:p>
    <w:p>
      <w:pPr>
        <w:pStyle w:val="Heading3"/>
        <w:spacing w:after="120" w:before="260"/>
      </w:pPr>
      <w:r>
        <w:rPr>
          <w:rFonts w:ascii="Aptos" w:cs="Aptos" w:eastAsia="Aptos" w:hAnsi="Aptos"/>
          <w:b/>
          <w:bCs/>
          <w:color w:val="0B111E"/>
          <w:sz w:val="24"/>
          <w:szCs w:val="24"/>
        </w:rPr>
        <w:t xml:space="preserve">10A.3 Penetration Test &amp; SOC 2 Readiness</w:t>
      </w:r>
    </w:p>
    <w:p>
      <w:pPr>
        <w:spacing w:after="140"/>
      </w:pPr>
      <w:r>
        <w:t xml:space="preserve">APEX deployments include quarterly pentest scopes for:</w:t>
      </w:r>
    </w:p>
    <w:p>
      <w:pPr>
        <w:pStyle w:val="ListParagraph"/>
        <w:numPr>
          <w:ilvl w:val="0"/>
          <w:numId w:val="1"/>
        </w:numPr>
        <w:spacing w:after="60"/>
      </w:pPr>
      <w:r>
        <w:t xml:space="preserve">Prompt-injection resilience against agent system-prompts</w:t>
      </w:r>
    </w:p>
    <w:p>
      <w:pPr>
        <w:pStyle w:val="ListParagraph"/>
        <w:numPr>
          <w:ilvl w:val="0"/>
          <w:numId w:val="1"/>
        </w:numPr>
        <w:spacing w:after="60"/>
      </w:pPr>
      <w:r>
        <w:t xml:space="preserve">MCP tool-call boundary enforcement</w:t>
      </w:r>
    </w:p>
    <w:p>
      <w:pPr>
        <w:pStyle w:val="ListParagraph"/>
        <w:numPr>
          <w:ilvl w:val="0"/>
          <w:numId w:val="1"/>
        </w:numPr>
        <w:spacing w:after="60"/>
      </w:pPr>
      <w:r>
        <w:t xml:space="preserve">Tokeniser reverse-lookup audit discipline</w:t>
      </w:r>
    </w:p>
    <w:p>
      <w:pPr>
        <w:pStyle w:val="ListParagraph"/>
        <w:numPr>
          <w:ilvl w:val="0"/>
          <w:numId w:val="1"/>
        </w:numPr>
        <w:spacing w:after="60"/>
      </w:pPr>
      <w:r>
        <w:t xml:space="preserve">OneLake ACL effectiveness</w:t>
      </w:r>
    </w:p>
    <w:p>
      <w:pPr>
        <w:pStyle w:val="ListParagraph"/>
        <w:numPr>
          <w:ilvl w:val="0"/>
          <w:numId w:val="1"/>
        </w:numPr>
        <w:spacing w:after="60"/>
      </w:pPr>
      <w:r>
        <w:t xml:space="preserve">Identity rotation cadence</w:t>
      </w:r>
    </w:p>
    <w:p>
      <w:pPr>
        <w:spacing w:after="140"/>
      </w:pPr>
      <w:r>
        <w:t xml:space="preserve">SOC 2 Type II readiness is built into the manifest contract. Every APEX client can pull a SOC 2 evidence package that includes the audit-row history, identity rotation records, access-review logs, and change-management audit trail — in a form that has been accepted by big-four auditors in reference engagements.</w:t>
      </w:r>
    </w:p>
    <w:p>
      <w:pPr>
        <w:pStyle w:val="Heading3"/>
        <w:spacing w:after="120" w:before="260"/>
      </w:pPr>
      <w:r>
        <w:rPr>
          <w:rFonts w:ascii="Aptos" w:cs="Aptos" w:eastAsia="Aptos" w:hAnsi="Aptos"/>
          <w:b/>
          <w:bCs/>
          <w:color w:val="0B111E"/>
          <w:sz w:val="24"/>
          <w:szCs w:val="24"/>
        </w:rPr>
        <w:t xml:space="preserve">10A.4 Incident Response</w:t>
      </w:r>
    </w:p>
    <w:p>
      <w:pPr>
        <w:spacing w:after="140"/>
      </w:pPr>
      <w:r>
        <w:t xml:space="preserve">APEX security incidents follow a standard protocol:</w:t>
      </w:r>
    </w:p>
    <w:p>
      <w:pPr>
        <w:pStyle w:val="ListParagraph"/>
        <w:numPr>
          <w:ilvl w:val="0"/>
          <w:numId w:val="1"/>
        </w:numPr>
        <w:spacing w:after="60"/>
      </w:pPr>
      <w:r>
        <w:rPr>
          <w:b/>
          <w:bCs/>
        </w:rPr>
        <w:t xml:space="preserve">Severity 1</w:t>
      </w:r>
      <w:r>
        <w:t xml:space="preserve"> (active exploit): identity-rotation within 1 hour, pentest-team engagement, same-day CISO + programme-sponsor briefing</w:t>
      </w:r>
    </w:p>
    <w:p>
      <w:pPr>
        <w:pStyle w:val="ListParagraph"/>
        <w:numPr>
          <w:ilvl w:val="0"/>
          <w:numId w:val="1"/>
        </w:numPr>
        <w:spacing w:after="60"/>
      </w:pPr>
      <w:r>
        <w:rPr>
          <w:b/>
          <w:bCs/>
        </w:rPr>
        <w:t xml:space="preserve">Severity 2</w:t>
      </w:r>
      <w:r>
        <w:t xml:space="preserve"> (material exposure, no exploit observed): 4-hour response, manifest-review, patched within the day</w:t>
      </w:r>
    </w:p>
    <w:p>
      <w:pPr>
        <w:pStyle w:val="ListParagraph"/>
        <w:numPr>
          <w:ilvl w:val="0"/>
          <w:numId w:val="1"/>
        </w:numPr>
        <w:spacing w:after="60"/>
      </w:pPr>
      <w:r>
        <w:rPr>
          <w:b/>
          <w:bCs/>
        </w:rPr>
        <w:t xml:space="preserve">Severity 3</w:t>
      </w:r>
      <w:r>
        <w:t xml:space="preserve"> (vulnerability discovered, not yet exploited): 24-hour response, patched in next scheduled release</w:t>
      </w:r>
    </w:p>
    <w:p>
      <w:pPr>
        <w:pStyle w:val="ListParagraph"/>
        <w:numPr>
          <w:ilvl w:val="0"/>
          <w:numId w:val="1"/>
        </w:numPr>
        <w:spacing w:after="60"/>
      </w:pPr>
      <w:r>
        <w:rPr>
          <w:b/>
          <w:bCs/>
        </w:rPr>
        <w:t xml:space="preserve">Severity 4</w:t>
      </w:r>
      <w:r>
        <w:t xml:space="preserve"> (hygiene): addressed in normal cadence</w:t>
      </w:r>
    </w:p>
    <w:p>
      <w:pPr>
        <w:pStyle w:val="Heading3"/>
        <w:spacing w:after="120" w:before="260"/>
      </w:pPr>
      <w:r>
        <w:rPr>
          <w:rFonts w:ascii="Aptos" w:cs="Aptos" w:eastAsia="Aptos" w:hAnsi="Aptos"/>
          <w:b/>
          <w:bCs/>
          <w:color w:val="0B111E"/>
          <w:sz w:val="24"/>
          <w:szCs w:val="24"/>
        </w:rPr>
        <w:t xml:space="preserve">10A.5 Regulatory Overlay per Practice</w:t>
      </w:r>
    </w:p>
    <w:p>
      <w:pPr>
        <w:spacing w:after="140"/>
      </w:pPr>
      <w:r>
        <w:t xml:space="preserve">Security posture adapts per Practice's regulatory overlay:</w:t>
      </w:r>
    </w:p>
    <w:p>
      <w:pPr>
        <w:pStyle w:val="ListParagraph"/>
        <w:numPr>
          <w:ilvl w:val="0"/>
          <w:numId w:val="1"/>
        </w:numPr>
        <w:spacing w:after="60"/>
      </w:pPr>
      <w:r>
        <w:rPr>
          <w:b/>
          <w:bCs/>
        </w:rPr>
        <w:t xml:space="preserve">RC</w:t>
      </w:r>
      <w:r>
        <w:t xml:space="preserve">: PCI DSS exclusion boundary (card data stays in PCI enclave), GDPR, CCPA, FDA for recalls</w:t>
      </w:r>
    </w:p>
    <w:p>
      <w:pPr>
        <w:pStyle w:val="ListParagraph"/>
        <w:numPr>
          <w:ilvl w:val="0"/>
          <w:numId w:val="1"/>
        </w:numPr>
        <w:spacing w:after="60"/>
      </w:pPr>
      <w:r>
        <w:rPr>
          <w:b/>
          <w:bCs/>
        </w:rPr>
        <w:t xml:space="preserve">HLS</w:t>
      </w:r>
      <w:r>
        <w:t xml:space="preserve">: HIPAA, 21 CFR Part 11, HITECH, state-level health-data laws</w:t>
      </w:r>
    </w:p>
    <w:p>
      <w:pPr>
        <w:pStyle w:val="ListParagraph"/>
        <w:numPr>
          <w:ilvl w:val="0"/>
          <w:numId w:val="1"/>
        </w:numPr>
        <w:spacing w:after="60"/>
      </w:pPr>
      <w:r>
        <w:rPr>
          <w:b/>
          <w:bCs/>
        </w:rPr>
        <w:t xml:space="preserve">ER</w:t>
      </w:r>
      <w:r>
        <w:t xml:space="preserve">: FERC CIP (critical infrastructure protection), NERC, state PUC requirements</w:t>
      </w:r>
    </w:p>
    <w:p>
      <w:pPr>
        <w:pStyle w:val="ListParagraph"/>
        <w:numPr>
          <w:ilvl w:val="0"/>
          <w:numId w:val="1"/>
        </w:numPr>
        <w:spacing w:after="60"/>
      </w:pPr>
      <w:r>
        <w:rPr>
          <w:b/>
          <w:bCs/>
        </w:rPr>
        <w:t xml:space="preserve">AXLE</w:t>
      </w:r>
      <w:r>
        <w:t xml:space="preserve">: SOX for financial controls, NHTSA and regulator-specific for recalls</w:t>
      </w:r>
    </w:p>
    <w:p>
      <w:pPr>
        <w:pStyle w:val="ListParagraph"/>
        <w:numPr>
          <w:ilvl w:val="0"/>
          <w:numId w:val="1"/>
        </w:numPr>
        <w:spacing w:after="60"/>
      </w:pPr>
      <w:r>
        <w:rPr>
          <w:b/>
          <w:bCs/>
        </w:rPr>
        <w:t xml:space="preserve">TMT</w:t>
      </w:r>
      <w:r>
        <w:t xml:space="preserve">: Section 230, content rights, state privacy laws, FCC reliability</w:t>
      </w:r>
    </w:p>
    <w:p>
      <w:pPr>
        <w:pStyle w:val="ListParagraph"/>
        <w:numPr>
          <w:ilvl w:val="0"/>
          <w:numId w:val="1"/>
        </w:numPr>
        <w:spacing w:after="60"/>
      </w:pPr>
      <w:r>
        <w:rPr>
          <w:b/>
          <w:bCs/>
        </w:rPr>
        <w:t xml:space="preserve">TH</w:t>
      </w:r>
      <w:r>
        <w:t xml:space="preserve">: EU Passenger Rights, DOT tarmac rules, ADA hospitality, GDPR</w:t>
      </w:r>
    </w:p>
    <w:p>
      <w:pPr>
        <w:pStyle w:val="ListParagraph"/>
        <w:numPr>
          <w:ilvl w:val="0"/>
          <w:numId w:val="1"/>
        </w:numPr>
        <w:spacing w:after="60"/>
      </w:pPr>
      <w:r>
        <w:rPr>
          <w:b/>
          <w:bCs/>
        </w:rPr>
        <w:t xml:space="preserve">ICE</w:t>
      </w:r>
      <w:r>
        <w:t xml:space="preserve">: Safety and emissions regulators per equipment category; export controls for defense-adjacent products</w:t>
      </w:r>
    </w:p>
    <w:p>
      <w:pPr>
        <w:pStyle w:val="Heading2"/>
        <w:spacing w:after="140" w:before="300"/>
      </w:pPr>
      <w:r>
        <w:rPr>
          <w:rFonts w:ascii="Aptos Display" w:cs="Aptos Display" w:eastAsia="Aptos Display" w:hAnsi="Aptos Display"/>
          <w:b/>
          <w:bCs/>
          <w:color w:val="0B111E"/>
          <w:sz w:val="30"/>
          <w:szCs w:val="30"/>
        </w:rPr>
        <w:t xml:space="preserve">Chapter 11: Versioning, Governance, and HITL Gates</w:t>
      </w:r>
    </w:p>
    <w:p>
      <w:pPr>
        <w:pStyle w:val="Heading3"/>
        <w:spacing w:after="120" w:before="260"/>
      </w:pPr>
      <w:r>
        <w:rPr>
          <w:rFonts w:ascii="Aptos" w:cs="Aptos" w:eastAsia="Aptos" w:hAnsi="Aptos"/>
          <w:b/>
          <w:bCs/>
          <w:color w:val="0B111E"/>
          <w:sz w:val="24"/>
          <w:szCs w:val="24"/>
        </w:rPr>
        <w:t xml:space="preserve">The Manifest Lifecycle</w:t>
      </w:r>
    </w:p>
    <w:p>
      <w:pPr>
        <w:spacing w:after="140"/>
      </w:pPr>
      <w:r>
        <w:t xml:space="preserve">Every APEX artifact — schemas, practices, agents, orchestrations, services, tenants — lives under SemVer discipline. Every change is classified MAJOR / MINOR / PATCH deterministically. Every classification maps to a default HITL gate. Every tenant overrides defaults via policy.</w:t>
      </w:r>
    </w:p>
    <w:p>
      <w:pPr>
        <w:spacing w:after="140"/>
      </w:pPr>
      <w:r>
        <w:t xml:space="preserve">The automation is </w:t>
      </w:r>
      <w:r>
        <w:rPr>
          <w:b/>
          <w:bCs/>
        </w:rPr>
        <w:t xml:space="preserve">deterministic, not contested</w:t>
      </w:r>
      <w:r>
        <w:t xml:space="preserve">. </w:t>
      </w:r>
      <w:r>
        <w:rPr>
          <w:rFonts w:ascii="Cascadia Mono" w:cs="Cascadia Mono" w:eastAsia="Cascadia Mono" w:hAnsi="Cascadia Mono"/>
          <w:color w:val="2B2B2B"/>
          <w:sz w:val="18"/>
          <w:szCs w:val="18"/>
        </w:rPr>
        <w:t xml:space="preserve">classify-bump.js</w:t>
      </w:r>
      <w:r>
        <w:t xml:space="preserve"> returns the same answer for the same diff every time. The political debate about "how significant is this change?" is moved out of Slack and into code.</w:t>
      </w:r>
    </w:p>
    <w:p>
      <w:pPr>
        <w:pStyle w:val="Heading3"/>
        <w:spacing w:after="120" w:before="260"/>
      </w:pPr>
      <w:r>
        <w:rPr>
          <w:rFonts w:ascii="Aptos" w:cs="Aptos" w:eastAsia="Aptos" w:hAnsi="Aptos"/>
          <w:b/>
          <w:bCs/>
          <w:color w:val="0B111E"/>
          <w:sz w:val="24"/>
          <w:szCs w:val="24"/>
        </w:rPr>
        <w:t xml:space="preserve">The Gate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                Default gate    Tenant can override to</w:t>
            </w:r>
          </w:p>
          <w:p>
            <w:pPr>
              <w:spacing w:after="0" w:line="240"/>
            </w:pPr>
            <w:r>
              <w:rPr>
                <w:rFonts w:ascii="Cascadia Mono" w:cs="Cascadia Mono" w:eastAsia="Cascadia Mono" w:hAnsi="Cascadia Mono"/>
                <w:color w:val="1F2937"/>
                <w:sz w:val="18"/>
                <w:szCs w:val="18"/>
              </w:rPr>
              <w:t xml:space="preserve">PATCH           ZERO_TOUCH      ACK_ONLY or HITL</w:t>
            </w:r>
          </w:p>
          <w:p>
            <w:pPr>
              <w:spacing w:after="0" w:line="240"/>
            </w:pPr>
            <w:r>
              <w:rPr>
                <w:rFonts w:ascii="Cascadia Mono" w:cs="Cascadia Mono" w:eastAsia="Cascadia Mono" w:hAnsi="Cascadia Mono"/>
                <w:color w:val="1F2937"/>
                <w:sz w:val="18"/>
                <w:szCs w:val="18"/>
              </w:rPr>
              <w:t xml:space="preserve">MINOR           ACK_ONLY        ZERO_TOUCH or HITL</w:t>
            </w:r>
          </w:p>
          <w:p>
            <w:pPr>
              <w:spacing w:after="0" w:line="240"/>
            </w:pPr>
            <w:r>
              <w:rPr>
                <w:rFonts w:ascii="Cascadia Mono" w:cs="Cascadia Mono" w:eastAsia="Cascadia Mono" w:hAnsi="Cascadia Mono"/>
                <w:color w:val="1F2937"/>
                <w:sz w:val="18"/>
                <w:szCs w:val="18"/>
              </w:rPr>
              <w:t xml:space="preserve">MAJOR           HITL            ACK_ONLY (never ZERO_TOUCH for MAJOR)</w:t>
            </w:r>
          </w:p>
        </w:tc>
      </w:tr>
    </w:tbl>
    <w:p>
      <w:pPr>
        <w:spacing w:after="140"/>
      </w:pPr>
      <w:r>
        <w:t xml:space="preserve">High-risk tenants (HIPAA health systems, critical-infrastructure utilities) commonly set </w:t>
      </w:r>
      <w:r>
        <w:rPr>
          <w:rFonts w:ascii="Cascadia Mono" w:cs="Cascadia Mono" w:eastAsia="Cascadia Mono" w:hAnsi="Cascadia Mono"/>
          <w:color w:val="2B2B2B"/>
          <w:sz w:val="18"/>
          <w:szCs w:val="18"/>
        </w:rPr>
        <w:t xml:space="preserve">MINOR → HITL</w:t>
      </w:r>
      <w:r>
        <w:t xml:space="preserve"> globally. Low-risk tenants (retail pilots, single-plant AXLE deployments) may set </w:t>
      </w:r>
      <w:r>
        <w:rPr>
          <w:rFonts w:ascii="Cascadia Mono" w:cs="Cascadia Mono" w:eastAsia="Cascadia Mono" w:hAnsi="Cascadia Mono"/>
          <w:color w:val="2B2B2B"/>
          <w:sz w:val="18"/>
          <w:szCs w:val="18"/>
        </w:rPr>
        <w:t xml:space="preserve">MINOR → ZERO_TOUCH</w:t>
      </w:r>
      <w:r>
        <w:t xml:space="preserve"> on selected non-consequential services.</w:t>
      </w:r>
    </w:p>
    <w:p>
      <w:pPr>
        <w:pStyle w:val="Heading3"/>
        <w:spacing w:after="120" w:before="260"/>
      </w:pPr>
      <w:r>
        <w:rPr>
          <w:rFonts w:ascii="Aptos" w:cs="Aptos" w:eastAsia="Aptos" w:hAnsi="Aptos"/>
          <w:b/>
          <w:bCs/>
          <w:color w:val="0B111E"/>
          <w:sz w:val="24"/>
          <w:szCs w:val="24"/>
        </w:rPr>
        <w:t xml:space="preserve">Canary Release Discipline</w:t>
      </w:r>
    </w:p>
    <w:p>
      <w:pPr>
        <w:spacing w:after="140"/>
      </w:pPr>
      <w:r>
        <w:t xml:space="preserve">Every agent version reaching Prod takes </w:t>
      </w:r>
      <w:r>
        <w:rPr>
          <w:b/>
          <w:bCs/>
        </w:rPr>
        <w:t xml:space="preserve">5% of traffic for 72 hours</w:t>
      </w:r>
      <w:r>
        <w:t xml:space="preserve"> before full cutover. Rollback criteria are encoded in the release manifest, and any SLO burn rolls traffic back automatically with a page to the owning team. The client never sees a bad release — bad releases roll themselves back.</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IV — Implementation &amp; Delivery</w:t>
      </w:r>
    </w:p>
    <w:p>
      <w:pPr>
        <w:pStyle w:val="Heading2"/>
        <w:spacing w:after="140" w:before="300"/>
      </w:pPr>
      <w:r>
        <w:rPr>
          <w:rFonts w:ascii="Aptos Display" w:cs="Aptos Display" w:eastAsia="Aptos Display" w:hAnsi="Aptos Display"/>
          <w:b/>
          <w:bCs/>
          <w:color w:val="0B111E"/>
          <w:sz w:val="30"/>
          <w:szCs w:val="30"/>
        </w:rPr>
        <w:t xml:space="preserve">Chapter 12: The Three-Wave Deployment</w:t>
      </w:r>
    </w:p>
    <w:p>
      <w:pPr>
        <w:spacing w:after="140"/>
      </w:pPr>
      <w:r>
        <w:t xml:space="preserve">The APEX delivery pattern is three waves of roughly six months each. Each wave has crisp exit criteria tied to measurable outcomes, not tooling milestones.</w:t>
      </w:r>
    </w:p>
    <w:p>
      <w:pPr>
        <w:pStyle w:val="Heading3"/>
        <w:spacing w:after="120" w:before="260"/>
      </w:pPr>
      <w:r>
        <w:rPr>
          <w:rFonts w:ascii="Aptos" w:cs="Aptos" w:eastAsia="Aptos" w:hAnsi="Aptos"/>
          <w:b/>
          <w:bCs/>
          <w:color w:val="0B111E"/>
          <w:sz w:val="24"/>
          <w:szCs w:val="24"/>
        </w:rPr>
        <w:t xml:space="preserve">Wave 1 — Foundation (months 1–6)</w:t>
      </w:r>
    </w:p>
    <w:p>
      <w:pPr>
        <w:spacing w:after="140"/>
      </w:pPr>
      <w:r>
        <w:rPr>
          <w:b/>
          <w:bCs/>
        </w:rPr>
        <w:t xml:space="preserve">Investment envelope:</w:t>
      </w:r>
      <w:r>
        <w:t xml:space="preserve"> $3–8M per Practice, typically $4–6M for the first Practice.</w:t>
      </w:r>
    </w:p>
    <w:p>
      <w:pPr>
        <w:pStyle w:val="Heading4"/>
        <w:spacing w:after="100" w:before="220"/>
      </w:pPr>
      <w:r>
        <w:rPr>
          <w:rFonts w:ascii="Aptos" w:cs="Aptos" w:eastAsia="Aptos" w:hAnsi="Aptos"/>
          <w:b/>
          <w:bCs/>
          <w:color w:val="0B111E"/>
          <w:sz w:val="20"/>
          <w:szCs w:val="20"/>
        </w:rPr>
        <w:t xml:space="preserve">Wave 1 Month-by-Month Milestones</w:t>
      </w:r>
    </w:p>
    <w:p>
      <w:pPr>
        <w:spacing w:after="140"/>
      </w:pPr>
      <w:r>
        <w:rPr>
          <w:b/>
          <w:bCs/>
        </w:rPr>
        <w:t xml:space="preserve">Months 1–2: Provisioning.</w:t>
      </w:r>
    </w:p>
    <w:p>
      <w:pPr>
        <w:pStyle w:val="ListParagraph"/>
        <w:numPr>
          <w:ilvl w:val="0"/>
          <w:numId w:val="1"/>
        </w:numPr>
        <w:spacing w:after="60"/>
      </w:pPr>
      <w:r>
        <w:t xml:space="preserve">Kickoff workshop with programme sponsor, CIO, and three Practice-specific stakeholders</w:t>
      </w:r>
    </w:p>
    <w:p>
      <w:pPr>
        <w:pStyle w:val="ListParagraph"/>
        <w:numPr>
          <w:ilvl w:val="0"/>
          <w:numId w:val="1"/>
        </w:numPr>
        <w:spacing w:after="60"/>
      </w:pPr>
      <w:r>
        <w:t xml:space="preserve">Fabric capacity procured (typical: F16 dev/test shared, F16+F8-burst prod)</w:t>
      </w:r>
    </w:p>
    <w:p>
      <w:pPr>
        <w:pStyle w:val="ListParagraph"/>
        <w:numPr>
          <w:ilvl w:val="0"/>
          <w:numId w:val="1"/>
        </w:numPr>
        <w:spacing w:after="60"/>
      </w:pPr>
      <w:r>
        <w:t xml:space="preserve">Dev / Test / Prod workspaces created under APEX naming convention</w:t>
      </w:r>
    </w:p>
    <w:p>
      <w:pPr>
        <w:pStyle w:val="ListParagraph"/>
        <w:numPr>
          <w:ilvl w:val="0"/>
          <w:numId w:val="1"/>
        </w:numPr>
        <w:spacing w:after="60"/>
      </w:pPr>
      <w:r>
        <w:t xml:space="preserve">Identity groups provisioned in Entra ID; managed identities created</w:t>
      </w:r>
    </w:p>
    <w:p>
      <w:pPr>
        <w:pStyle w:val="ListParagraph"/>
        <w:numPr>
          <w:ilvl w:val="0"/>
          <w:numId w:val="1"/>
        </w:numPr>
        <w:spacing w:after="60"/>
      </w:pPr>
      <w:r>
        <w:t xml:space="preserve">Bronze ingest connectors for the first two SORs stood up; ten days of historical data landed</w:t>
      </w:r>
    </w:p>
    <w:p>
      <w:pPr>
        <w:pStyle w:val="ListParagraph"/>
        <w:numPr>
          <w:ilvl w:val="0"/>
          <w:numId w:val="1"/>
        </w:numPr>
        <w:spacing w:after="60"/>
      </w:pPr>
      <w:r>
        <w:t xml:space="preserve">Developer team onboarded with apex-core / apex-&amp;lt;practice&amp;gt; repos</w:t>
      </w:r>
    </w:p>
    <w:p>
      <w:pPr>
        <w:spacing w:after="140"/>
      </w:pPr>
      <w:r>
        <w:rPr>
          <w:b/>
          <w:bCs/>
        </w:rPr>
        <w:t xml:space="preserve">Months 3–4: Canonicalisation.</w:t>
      </w:r>
    </w:p>
    <w:p>
      <w:pPr>
        <w:pStyle w:val="ListParagraph"/>
        <w:numPr>
          <w:ilvl w:val="0"/>
          <w:numId w:val="1"/>
        </w:numPr>
        <w:spacing w:after="60"/>
      </w:pPr>
      <w:r>
        <w:t xml:space="preserve">Silver transform notebooks for first-service entities written and reviewed</w:t>
      </w:r>
    </w:p>
    <w:p>
      <w:pPr>
        <w:pStyle w:val="ListParagraph"/>
        <w:numPr>
          <w:ilvl w:val="0"/>
          <w:numId w:val="1"/>
        </w:numPr>
        <w:spacing w:after="60"/>
      </w:pPr>
      <w:r>
        <w:t xml:space="preserve">PII tokenisation wired to </w:t>
      </w:r>
      <w:r>
        <w:rPr>
          <w:rFonts w:ascii="Cascadia Mono" w:cs="Cascadia Mono" w:eastAsia="Cascadia Mono" w:hAnsi="Cascadia Mono"/>
          <w:color w:val="2B2B2B"/>
          <w:sz w:val="18"/>
          <w:szCs w:val="18"/>
        </w:rPr>
        <w:t xml:space="preserve">tokenizer-mcp</w:t>
      </w:r>
      <w:r>
        <w:t xml:space="preserve">; Purview labels applied</w:t>
      </w:r>
    </w:p>
    <w:p>
      <w:pPr>
        <w:pStyle w:val="ListParagraph"/>
        <w:numPr>
          <w:ilvl w:val="0"/>
          <w:numId w:val="1"/>
        </w:numPr>
        <w:spacing w:after="60"/>
      </w:pPr>
      <w:r>
        <w:t xml:space="preserve">Gold feature views for first-service agent reads materialised</w:t>
      </w:r>
    </w:p>
    <w:p>
      <w:pPr>
        <w:pStyle w:val="ListParagraph"/>
        <w:numPr>
          <w:ilvl w:val="0"/>
          <w:numId w:val="1"/>
        </w:numPr>
        <w:spacing w:after="60"/>
      </w:pPr>
      <w:r>
        <w:rPr>
          <w:rFonts w:ascii="Cascadia Mono" w:cs="Cascadia Mono" w:eastAsia="Cascadia Mono" w:hAnsi="Cascadia Mono"/>
          <w:color w:val="2B2B2B"/>
          <w:sz w:val="18"/>
          <w:szCs w:val="18"/>
        </w:rPr>
        <w:t xml:space="preserve">apex-validate</w:t>
      </w:r>
      <w:r>
        <w:t xml:space="preserve"> green across schema, practice, and first services</w:t>
      </w:r>
    </w:p>
    <w:p>
      <w:pPr>
        <w:pStyle w:val="ListParagraph"/>
        <w:numPr>
          <w:ilvl w:val="0"/>
          <w:numId w:val="1"/>
        </w:numPr>
        <w:spacing w:after="60"/>
      </w:pPr>
      <w:r>
        <w:t xml:space="preserve">First MCP servers (</w:t>
      </w:r>
      <w:r>
        <w:rPr>
          <w:rFonts w:ascii="Cascadia Mono" w:cs="Cascadia Mono" w:eastAsia="Cascadia Mono" w:hAnsi="Cascadia Mono"/>
          <w:color w:val="2B2B2B"/>
          <w:sz w:val="18"/>
          <w:szCs w:val="18"/>
        </w:rPr>
        <w:t xml:space="preserve">fabric-mcp</w:t>
      </w:r>
      <w:r>
        <w:t xml:space="preserve">, </w:t>
      </w:r>
      <w:r>
        <w:rPr>
          <w:rFonts w:ascii="Cascadia Mono" w:cs="Cascadia Mono" w:eastAsia="Cascadia Mono" w:hAnsi="Cascadia Mono"/>
          <w:color w:val="2B2B2B"/>
          <w:sz w:val="18"/>
          <w:szCs w:val="18"/>
        </w:rPr>
        <w:t xml:space="preserve">policy-mcp</w:t>
      </w:r>
      <w:r>
        <w:t xml:space="preserve">, one domain MCP) deployed to Container Apps in test</w:t>
      </w:r>
    </w:p>
    <w:p>
      <w:pPr>
        <w:pStyle w:val="ListParagraph"/>
        <w:numPr>
          <w:ilvl w:val="0"/>
          <w:numId w:val="1"/>
        </w:numPr>
        <w:spacing w:after="60"/>
      </w:pPr>
      <w:r>
        <w:t xml:space="preserve">Agent authoring begins in Azure AI Foundry; system prompts go through ARB review</w:t>
      </w:r>
    </w:p>
    <w:p>
      <w:pPr>
        <w:spacing w:after="140"/>
      </w:pPr>
      <w:r>
        <w:rPr>
          <w:b/>
          <w:bCs/>
        </w:rPr>
        <w:t xml:space="preserve">Months 5–6: Go-Live and Proof.</w:t>
      </w:r>
    </w:p>
    <w:p>
      <w:pPr>
        <w:pStyle w:val="ListParagraph"/>
        <w:numPr>
          <w:ilvl w:val="0"/>
          <w:numId w:val="1"/>
        </w:numPr>
        <w:spacing w:after="60"/>
      </w:pPr>
      <w:r>
        <w:t xml:space="preserve">Services enter shadow mode at pilot tenant; decisions logged but not acted on</w:t>
      </w:r>
    </w:p>
    <w:p>
      <w:pPr>
        <w:pStyle w:val="ListParagraph"/>
        <w:numPr>
          <w:ilvl w:val="0"/>
          <w:numId w:val="1"/>
        </w:numPr>
        <w:spacing w:after="60"/>
      </w:pPr>
      <w:r>
        <w:t xml:space="preserve">Threshold calibration against shadow-mode data; gate-configuration decisions made</w:t>
      </w:r>
    </w:p>
    <w:p>
      <w:pPr>
        <w:pStyle w:val="ListParagraph"/>
        <w:numPr>
          <w:ilvl w:val="0"/>
          <w:numId w:val="1"/>
        </w:numPr>
        <w:spacing w:after="60"/>
      </w:pPr>
      <w:r>
        <w:t xml:space="preserve">Go-live: first live HITL decisions arrive on the pilot persona's device</w:t>
      </w:r>
    </w:p>
    <w:p>
      <w:pPr>
        <w:pStyle w:val="ListParagraph"/>
        <w:numPr>
          <w:ilvl w:val="0"/>
          <w:numId w:val="1"/>
        </w:numPr>
        <w:spacing w:after="60"/>
      </w:pPr>
      <w:r>
        <w:t xml:space="preserve">Three-day hyper-care window with intensive observability and on-call</w:t>
      </w:r>
    </w:p>
    <w:p>
      <w:pPr>
        <w:pStyle w:val="ListParagraph"/>
        <w:numPr>
          <w:ilvl w:val="0"/>
          <w:numId w:val="1"/>
        </w:numPr>
        <w:spacing w:after="60"/>
      </w:pPr>
      <w:r>
        <w:t xml:space="preserve">Weekly persona office hours; decision-audit review with pilot group</w:t>
      </w:r>
    </w:p>
    <w:p>
      <w:pPr>
        <w:pStyle w:val="ListParagraph"/>
        <w:numPr>
          <w:ilvl w:val="0"/>
          <w:numId w:val="1"/>
        </w:numPr>
        <w:spacing w:after="60"/>
      </w:pPr>
      <w:r>
        <w:t xml:space="preserve">Wave 1 exit review with steering committee</w:t>
      </w:r>
    </w:p>
    <w:p>
      <w:pPr>
        <w:pStyle w:val="Heading4"/>
        <w:spacing w:after="100" w:before="220"/>
      </w:pPr>
      <w:r>
        <w:rPr>
          <w:rFonts w:ascii="Aptos" w:cs="Aptos" w:eastAsia="Aptos" w:hAnsi="Aptos"/>
          <w:b/>
          <w:bCs/>
          <w:color w:val="0B111E"/>
          <w:sz w:val="20"/>
          <w:szCs w:val="20"/>
        </w:rPr>
        <w:t xml:space="preserve">Wave 1 Exit Criteria (All Must Hold)</w:t>
      </w:r>
    </w:p>
    <w:p>
      <w:pPr>
        <w:spacing w:after="140"/>
      </w:pPr>
      <w:r>
        <w:t xml:space="preserve">1. </w:t>
      </w:r>
      <w:r>
        <w:rPr>
          <w:b/>
          <w:bCs/>
        </w:rPr>
        <w:t xml:space="preserve">Decision-flow proof</w:t>
      </w:r>
      <w:r>
        <w:t xml:space="preserve"> — ≥ 30 consecutive days of HITL decisions without critical operational incident 2. </w:t>
      </w:r>
      <w:r>
        <w:rPr>
          <w:b/>
          <w:bCs/>
        </w:rPr>
        <w:t xml:space="preserve">SLO discipline</w:t>
      </w:r>
      <w:r>
        <w:t xml:space="preserve"> — SLOs met on the live services for ≥ 21 consecutive days 3. </w:t>
      </w:r>
      <w:r>
        <w:rPr>
          <w:b/>
          <w:bCs/>
        </w:rPr>
        <w:t xml:space="preserve">KPI trend</w:t>
      </w:r>
      <w:r>
        <w:t xml:space="preserve"> — ≥ 3 of the service's KPIs trending on or above target at 30-day mark 4. </w:t>
      </w:r>
      <w:r>
        <w:rPr>
          <w:b/>
          <w:bCs/>
        </w:rPr>
        <w:t xml:space="preserve">Compliance acceptance</w:t>
      </w:r>
      <w:r>
        <w:t xml:space="preserve"> — practice Compliance Officer (or equivalent) has reviewed the audit-row stream and accepted the evidence quality 5. </w:t>
      </w:r>
      <w:r>
        <w:rPr>
          <w:b/>
          <w:bCs/>
        </w:rPr>
        <w:t xml:space="preserve">Persona buy-in</w:t>
      </w:r>
      <w:r>
        <w:t xml:space="preserve"> — the pilot personas (Store MOD, Charge Nurse, Grid Engineer, etc.) have signed off that they want Wave 2 to expand 6. </w:t>
      </w:r>
      <w:r>
        <w:rPr>
          <w:b/>
          <w:bCs/>
        </w:rPr>
        <w:t xml:space="preserve">Steering committee approval</w:t>
      </w:r>
      <w:r>
        <w:t xml:space="preserve"> — Wave 2 scope, budget, and timeline formally approved</w:t>
      </w:r>
    </w:p>
    <w:p>
      <w:pPr>
        <w:pStyle w:val="Heading4"/>
        <w:spacing w:after="100" w:before="220"/>
      </w:pPr>
      <w:r>
        <w:rPr>
          <w:rFonts w:ascii="Aptos" w:cs="Aptos" w:eastAsia="Aptos" w:hAnsi="Aptos"/>
          <w:b/>
          <w:bCs/>
          <w:color w:val="0B111E"/>
          <w:sz w:val="20"/>
          <w:szCs w:val="20"/>
        </w:rPr>
        <w:t xml:space="preserve">Wave 1 Risks and Mitigations</w:t>
      </w:r>
    </w:p>
    <w:p>
      <w:pPr>
        <w:pStyle w:val="ListParagraph"/>
        <w:numPr>
          <w:ilvl w:val="0"/>
          <w:numId w:val="1"/>
        </w:numPr>
        <w:spacing w:after="60"/>
      </w:pPr>
      <w:r>
        <w:rPr>
          <w:b/>
          <w:bCs/>
        </w:rPr>
        <w:t xml:space="preserve">SOR integration drags</w:t>
      </w:r>
      <w:r>
        <w:t xml:space="preserve"> — the most common Wave 1 risk. Mitigation: SOR integration starts day one; contracts are signed before kickoff; alternate data paths (historical-extract + light CDC) staged as fallback.</w:t>
      </w:r>
    </w:p>
    <w:p>
      <w:pPr>
        <w:pStyle w:val="ListParagraph"/>
        <w:numPr>
          <w:ilvl w:val="0"/>
          <w:numId w:val="1"/>
        </w:numPr>
        <w:spacing w:after="60"/>
      </w:pPr>
      <w:r>
        <w:rPr>
          <w:b/>
          <w:bCs/>
        </w:rPr>
        <w:t xml:space="preserve">Persona resistance</w:t>
      </w:r>
      <w:r>
        <w:t xml:space="preserve"> — mitigation: early persona involvement; pilot persona selected from volunteers, not assigned; first month's decisions reviewed jointly.</w:t>
      </w:r>
    </w:p>
    <w:p>
      <w:pPr>
        <w:pStyle w:val="ListParagraph"/>
        <w:numPr>
          <w:ilvl w:val="0"/>
          <w:numId w:val="1"/>
        </w:numPr>
        <w:spacing w:after="60"/>
      </w:pPr>
      <w:r>
        <w:rPr>
          <w:b/>
          <w:bCs/>
        </w:rPr>
        <w:t xml:space="preserve">Prompt quality</w:t>
      </w:r>
      <w:r>
        <w:t xml:space="preserve"> — mitigation: fixture-replay regression testing from day one; ARB review of every system prompt change; reasoning-tier models deployed only where proven needed.</w:t>
      </w:r>
    </w:p>
    <w:p>
      <w:pPr>
        <w:pStyle w:val="Heading3"/>
        <w:spacing w:after="120" w:before="260"/>
      </w:pPr>
      <w:r>
        <w:rPr>
          <w:rFonts w:ascii="Aptos" w:cs="Aptos" w:eastAsia="Aptos" w:hAnsi="Aptos"/>
          <w:b/>
          <w:bCs/>
          <w:color w:val="0B111E"/>
          <w:sz w:val="24"/>
          <w:szCs w:val="24"/>
        </w:rPr>
        <w:t xml:space="preserve">Wave 2 — Intelligence (months 7–12)</w:t>
      </w:r>
    </w:p>
    <w:p>
      <w:pPr>
        <w:spacing w:after="140"/>
      </w:pPr>
      <w:r>
        <w:rPr>
          <w:b/>
          <w:bCs/>
        </w:rPr>
        <w:t xml:space="preserve">Investment envelope:</w:t>
      </w:r>
      <w:r>
        <w:t xml:space="preserve"> $5–12M per Practice.</w:t>
      </w:r>
    </w:p>
    <w:p>
      <w:pPr>
        <w:pStyle w:val="Heading4"/>
        <w:spacing w:after="100" w:before="220"/>
      </w:pPr>
      <w:r>
        <w:rPr>
          <w:rFonts w:ascii="Aptos" w:cs="Aptos" w:eastAsia="Aptos" w:hAnsi="Aptos"/>
          <w:b/>
          <w:bCs/>
          <w:color w:val="0B111E"/>
          <w:sz w:val="20"/>
          <w:szCs w:val="20"/>
        </w:rPr>
        <w:t xml:space="preserve">Wave 2 Month-by-Month Milestones</w:t>
      </w:r>
    </w:p>
    <w:p>
      <w:pPr>
        <w:spacing w:after="140"/>
      </w:pPr>
      <w:r>
        <w:rPr>
          <w:b/>
          <w:bCs/>
        </w:rPr>
        <w:t xml:space="preserve">Months 7–8: Catalogue Expansion.</w:t>
      </w:r>
    </w:p>
    <w:p>
      <w:pPr>
        <w:pStyle w:val="ListParagraph"/>
        <w:numPr>
          <w:ilvl w:val="0"/>
          <w:numId w:val="1"/>
        </w:numPr>
        <w:spacing w:after="60"/>
      </w:pPr>
      <w:r>
        <w:t xml:space="preserve">Ship 3–5 additional services beyond the Wave 1 pilot set</w:t>
      </w:r>
    </w:p>
    <w:p>
      <w:pPr>
        <w:pStyle w:val="ListParagraph"/>
        <w:numPr>
          <w:ilvl w:val="0"/>
          <w:numId w:val="1"/>
        </w:numPr>
        <w:spacing w:after="60"/>
      </w:pPr>
      <w:r>
        <w:t xml:space="preserve">Each new service onboarded in 3–4 weeks (the pattern from Wave 1 makes this tractable)</w:t>
      </w:r>
    </w:p>
    <w:p>
      <w:pPr>
        <w:pStyle w:val="ListParagraph"/>
        <w:numPr>
          <w:ilvl w:val="0"/>
          <w:numId w:val="1"/>
        </w:numPr>
        <w:spacing w:after="60"/>
      </w:pPr>
      <w:r>
        <w:t xml:space="preserve">SOR connectors for additional sources provisioned in parallel</w:t>
      </w:r>
    </w:p>
    <w:p>
      <w:pPr>
        <w:pStyle w:val="ListParagraph"/>
        <w:numPr>
          <w:ilvl w:val="0"/>
          <w:numId w:val="1"/>
        </w:numPr>
        <w:spacing w:after="60"/>
      </w:pPr>
      <w:r>
        <w:t xml:space="preserve">Fixture-replay regression tests extended to cover new service-agent combinations</w:t>
      </w:r>
    </w:p>
    <w:p>
      <w:pPr>
        <w:pStyle w:val="ListParagraph"/>
        <w:numPr>
          <w:ilvl w:val="0"/>
          <w:numId w:val="1"/>
        </w:numPr>
        <w:spacing w:after="60"/>
      </w:pPr>
      <w:r>
        <w:t xml:space="preserve">Observability workbook extended with per-service panels</w:t>
      </w:r>
    </w:p>
    <w:p>
      <w:pPr>
        <w:spacing w:after="140"/>
      </w:pPr>
      <w:r>
        <w:rPr>
          <w:b/>
          <w:bCs/>
        </w:rPr>
        <w:t xml:space="preserve">Months 9–10: Gate-Tuning and Trust-Building.</w:t>
      </w:r>
    </w:p>
    <w:p>
      <w:pPr>
        <w:pStyle w:val="ListParagraph"/>
        <w:numPr>
          <w:ilvl w:val="0"/>
          <w:numId w:val="1"/>
        </w:numPr>
        <w:spacing w:after="60"/>
      </w:pPr>
      <w:r>
        <w:t xml:space="preserve">First gate downgrades: HITL → ACK_ONLY on the Wave 1 services with proven track records</w:t>
      </w:r>
    </w:p>
    <w:p>
      <w:pPr>
        <w:pStyle w:val="ListParagraph"/>
        <w:numPr>
          <w:ilvl w:val="0"/>
          <w:numId w:val="1"/>
        </w:numPr>
        <w:spacing w:after="60"/>
      </w:pPr>
      <w:r>
        <w:t xml:space="preserve">Decision-Audit Review (DAR) runs monthly; empirical data drives tuning proposals</w:t>
      </w:r>
    </w:p>
    <w:p>
      <w:pPr>
        <w:pStyle w:val="ListParagraph"/>
        <w:numPr>
          <w:ilvl w:val="0"/>
          <w:numId w:val="1"/>
        </w:numPr>
        <w:spacing w:after="60"/>
      </w:pPr>
      <w:r>
        <w:t xml:space="preserve">Second tenant onboarded (or scale-out of the pilot region within the first tenant)</w:t>
      </w:r>
    </w:p>
    <w:p>
      <w:pPr>
        <w:pStyle w:val="ListParagraph"/>
        <w:numPr>
          <w:ilvl w:val="0"/>
          <w:numId w:val="1"/>
        </w:numPr>
        <w:spacing w:after="60"/>
      </w:pPr>
      <w:r>
        <w:t xml:space="preserve">Cross-practice shared services fully instrumented (tokenizer, approvals, audit — all Practices using them consistently)</w:t>
      </w:r>
    </w:p>
    <w:p>
      <w:pPr>
        <w:pStyle w:val="ListParagraph"/>
        <w:numPr>
          <w:ilvl w:val="0"/>
          <w:numId w:val="1"/>
        </w:numPr>
        <w:spacing w:after="60"/>
      </w:pPr>
      <w:r>
        <w:t xml:space="preserve">First compliance-pack review with the client's audit function</w:t>
      </w:r>
    </w:p>
    <w:p>
      <w:pPr>
        <w:spacing w:after="140"/>
      </w:pPr>
      <w:r>
        <w:rPr>
          <w:b/>
          <w:bCs/>
        </w:rPr>
        <w:t xml:space="preserve">Months 11–12: Scale and Proof.</w:t>
      </w:r>
    </w:p>
    <w:p>
      <w:pPr>
        <w:pStyle w:val="ListParagraph"/>
        <w:numPr>
          <w:ilvl w:val="0"/>
          <w:numId w:val="1"/>
        </w:numPr>
        <w:spacing w:after="60"/>
      </w:pPr>
      <w:r>
        <w:t xml:space="preserve">Full practice catalogue live at pilot-region scale</w:t>
      </w:r>
    </w:p>
    <w:p>
      <w:pPr>
        <w:pStyle w:val="ListParagraph"/>
        <w:numPr>
          <w:ilvl w:val="0"/>
          <w:numId w:val="1"/>
        </w:numPr>
        <w:spacing w:after="60"/>
      </w:pPr>
      <w:r>
        <w:t xml:space="preserve">Steady-state KPI trend data accumulating across the full service set</w:t>
      </w:r>
    </w:p>
    <w:p>
      <w:pPr>
        <w:pStyle w:val="ListParagraph"/>
        <w:numPr>
          <w:ilvl w:val="0"/>
          <w:numId w:val="1"/>
        </w:numPr>
        <w:spacing w:after="60"/>
      </w:pPr>
      <w:r>
        <w:t xml:space="preserve">Formal Wave 2 exit review with steering committee</w:t>
      </w:r>
    </w:p>
    <w:p>
      <w:pPr>
        <w:pStyle w:val="ListParagraph"/>
        <w:numPr>
          <w:ilvl w:val="0"/>
          <w:numId w:val="1"/>
        </w:numPr>
        <w:spacing w:after="60"/>
      </w:pPr>
      <w:r>
        <w:t xml:space="preserve">Wave 3 scope proposed and preliminary budget approved</w:t>
      </w:r>
    </w:p>
    <w:p>
      <w:pPr>
        <w:pStyle w:val="Heading4"/>
        <w:spacing w:after="100" w:before="220"/>
      </w:pPr>
      <w:r>
        <w:rPr>
          <w:rFonts w:ascii="Aptos" w:cs="Aptos" w:eastAsia="Aptos" w:hAnsi="Aptos"/>
          <w:b/>
          <w:bCs/>
          <w:color w:val="0B111E"/>
          <w:sz w:val="20"/>
          <w:szCs w:val="20"/>
        </w:rPr>
        <w:t xml:space="preserve">Wave 2 Exit Criteria</w:t>
      </w:r>
    </w:p>
    <w:p>
      <w:pPr>
        <w:spacing w:after="140"/>
      </w:pPr>
      <w:r>
        <w:t xml:space="preserve">1. Full practice catalogue live at pilot scale 2. Gate-tuning approved and running on ≥ 1 service for ≥ 30 days 3. Compliance evidence pack accepted by the client's audit function 4. Manager-touch-time KPI ≥ 60% improvement from baseline on at least two services 5. Second tenant (or scaled region) operational 6. Cross-practice observability workbook operational</w:t>
      </w:r>
    </w:p>
    <w:p>
      <w:pPr>
        <w:pStyle w:val="Heading4"/>
        <w:spacing w:after="100" w:before="220"/>
      </w:pPr>
      <w:r>
        <w:rPr>
          <w:rFonts w:ascii="Aptos" w:cs="Aptos" w:eastAsia="Aptos" w:hAnsi="Aptos"/>
          <w:b/>
          <w:bCs/>
          <w:color w:val="0B111E"/>
          <w:sz w:val="20"/>
          <w:szCs w:val="20"/>
        </w:rPr>
        <w:t xml:space="preserve">Wave 2 Risks and Mitigations</w:t>
      </w:r>
    </w:p>
    <w:p>
      <w:pPr>
        <w:pStyle w:val="ListParagraph"/>
        <w:numPr>
          <w:ilvl w:val="0"/>
          <w:numId w:val="1"/>
        </w:numPr>
        <w:spacing w:after="60"/>
      </w:pPr>
      <w:r>
        <w:rPr>
          <w:b/>
          <w:bCs/>
        </w:rPr>
        <w:t xml:space="preserve">Gate-tuning backlash</w:t>
      </w:r>
      <w:r>
        <w:t xml:space="preserve"> — a premature downgrade can erode trust. Mitigation: conservative DAR-gated proposals; rollback-ready manifests.</w:t>
      </w:r>
    </w:p>
    <w:p>
      <w:pPr>
        <w:pStyle w:val="ListParagraph"/>
        <w:numPr>
          <w:ilvl w:val="0"/>
          <w:numId w:val="1"/>
        </w:numPr>
        <w:spacing w:after="60"/>
      </w:pPr>
      <w:r>
        <w:rPr>
          <w:b/>
          <w:bCs/>
        </w:rPr>
        <w:t xml:space="preserve">Catalogue-expansion fatigue</w:t>
      </w:r>
      <w:r>
        <w:t xml:space="preserve"> — shipping 3–5 new services in a quarter is aggressive. Mitigation: template reuse; Wave-1 patterns codified; clear Wave-2 scope contract.</w:t>
      </w:r>
    </w:p>
    <w:p>
      <w:pPr>
        <w:pStyle w:val="Heading3"/>
        <w:spacing w:after="120" w:before="260"/>
      </w:pPr>
      <w:r>
        <w:rPr>
          <w:rFonts w:ascii="Aptos" w:cs="Aptos" w:eastAsia="Aptos" w:hAnsi="Aptos"/>
          <w:b/>
          <w:bCs/>
          <w:color w:val="0B111E"/>
          <w:sz w:val="24"/>
          <w:szCs w:val="24"/>
        </w:rPr>
        <w:t xml:space="preserve">Wave 3 — Optimisation (months 13–18)</w:t>
      </w:r>
    </w:p>
    <w:p>
      <w:pPr>
        <w:spacing w:after="140"/>
      </w:pPr>
      <w:r>
        <w:rPr>
          <w:b/>
          <w:bCs/>
        </w:rPr>
        <w:t xml:space="preserve">Investment envelope:</w:t>
      </w:r>
      <w:r>
        <w:t xml:space="preserve"> $3–6M per Practice.</w:t>
      </w:r>
    </w:p>
    <w:p>
      <w:pPr>
        <w:pStyle w:val="Heading4"/>
        <w:spacing w:after="100" w:before="220"/>
      </w:pPr>
      <w:r>
        <w:rPr>
          <w:rFonts w:ascii="Aptos" w:cs="Aptos" w:eastAsia="Aptos" w:hAnsi="Aptos"/>
          <w:b/>
          <w:bCs/>
          <w:color w:val="0B111E"/>
          <w:sz w:val="20"/>
          <w:szCs w:val="20"/>
        </w:rPr>
        <w:t xml:space="preserve">Wave 3 Month-by-Month Milestones</w:t>
      </w:r>
    </w:p>
    <w:p>
      <w:pPr>
        <w:spacing w:after="140"/>
      </w:pPr>
      <w:r>
        <w:rPr>
          <w:b/>
          <w:bCs/>
        </w:rPr>
        <w:t xml:space="preserve">Months 13–14: Enterprise Rollout.</w:t>
      </w:r>
    </w:p>
    <w:p>
      <w:pPr>
        <w:pStyle w:val="ListParagraph"/>
        <w:numPr>
          <w:ilvl w:val="0"/>
          <w:numId w:val="1"/>
        </w:numPr>
        <w:spacing w:after="60"/>
      </w:pPr>
      <w:r>
        <w:t xml:space="preserve">Rollout plan finalised for the first Practice across the enterprise (all tenants / all regions)</w:t>
      </w:r>
    </w:p>
    <w:p>
      <w:pPr>
        <w:pStyle w:val="ListParagraph"/>
        <w:numPr>
          <w:ilvl w:val="0"/>
          <w:numId w:val="1"/>
        </w:numPr>
        <w:spacing w:after="60"/>
      </w:pPr>
      <w:r>
        <w:t xml:space="preserve">Region-by-region go-live sequence executed with 2-4 weeks between regions for risk containment</w:t>
      </w:r>
    </w:p>
    <w:p>
      <w:pPr>
        <w:pStyle w:val="ListParagraph"/>
        <w:numPr>
          <w:ilvl w:val="0"/>
          <w:numId w:val="1"/>
        </w:numPr>
        <w:spacing w:after="60"/>
      </w:pPr>
      <w:r>
        <w:t xml:space="preserve">Rollout workbook tracks KPI trajectory per region; laggard regions receive targeted attention</w:t>
      </w:r>
    </w:p>
    <w:p>
      <w:pPr>
        <w:pStyle w:val="ListParagraph"/>
        <w:numPr>
          <w:ilvl w:val="0"/>
          <w:numId w:val="1"/>
        </w:numPr>
        <w:spacing w:after="60"/>
      </w:pPr>
      <w:r>
        <w:t xml:space="preserve">Communication cadence ramped up — weekly steering updates, biweekly all-hands</w:t>
      </w:r>
    </w:p>
    <w:p>
      <w:pPr>
        <w:spacing w:after="140"/>
      </w:pPr>
      <w:r>
        <w:rPr>
          <w:b/>
          <w:bCs/>
        </w:rPr>
        <w:t xml:space="preserve">Months 15–16: Cross-Practice and Autonomous Pilots.</w:t>
      </w:r>
    </w:p>
    <w:p>
      <w:pPr>
        <w:pStyle w:val="ListParagraph"/>
        <w:numPr>
          <w:ilvl w:val="0"/>
          <w:numId w:val="1"/>
        </w:numPr>
        <w:spacing w:after="60"/>
      </w:pPr>
      <w:r>
        <w:t xml:space="preserve">Second Practice Wave 1 begins (if multi-Practice path)</w:t>
      </w:r>
    </w:p>
    <w:p>
      <w:pPr>
        <w:pStyle w:val="ListParagraph"/>
        <w:numPr>
          <w:ilvl w:val="0"/>
          <w:numId w:val="1"/>
        </w:numPr>
        <w:spacing w:after="60"/>
      </w:pPr>
      <w:r>
        <w:t xml:space="preserve">Cross-practice orchestrations piloted on selected integration points (e.g., HLS supply-expiry → AXLE recall-traceability for manufactured medical devices)</w:t>
      </w:r>
    </w:p>
    <w:p>
      <w:pPr>
        <w:pStyle w:val="ListParagraph"/>
        <w:numPr>
          <w:ilvl w:val="0"/>
          <w:numId w:val="1"/>
        </w:numPr>
        <w:spacing w:after="60"/>
      </w:pPr>
      <w:r>
        <w:t xml:space="preserve">Level-5 autonomous pilot initiated on one or two narrow services with strong track records (typically OSA-04 for sub-$ decisions, CCA-05 for pre-approved cloud-cost actions)</w:t>
      </w:r>
    </w:p>
    <w:p>
      <w:pPr>
        <w:pStyle w:val="ListParagraph"/>
        <w:numPr>
          <w:ilvl w:val="0"/>
          <w:numId w:val="1"/>
        </w:numPr>
        <w:spacing w:after="60"/>
      </w:pPr>
      <w:r>
        <w:t xml:space="preserve">Formal autonomy-review process established; audit function involved from the start</w:t>
      </w:r>
    </w:p>
    <w:p>
      <w:pPr>
        <w:spacing w:after="140"/>
      </w:pPr>
      <w:r>
        <w:rPr>
          <w:b/>
          <w:bCs/>
        </w:rPr>
        <w:t xml:space="preserve">Months 17–18: Steady-State Transition.</w:t>
      </w:r>
    </w:p>
    <w:p>
      <w:pPr>
        <w:pStyle w:val="ListParagraph"/>
        <w:numPr>
          <w:ilvl w:val="0"/>
          <w:numId w:val="1"/>
        </w:numPr>
        <w:spacing w:after="60"/>
      </w:pPr>
      <w:r>
        <w:t xml:space="preserve">Enterprise KPI trends on or above target across the first Practice</w:t>
      </w:r>
    </w:p>
    <w:p>
      <w:pPr>
        <w:pStyle w:val="ListParagraph"/>
        <w:numPr>
          <w:ilvl w:val="0"/>
          <w:numId w:val="1"/>
        </w:numPr>
        <w:spacing w:after="60"/>
      </w:pPr>
      <w:r>
        <w:t xml:space="preserve">Autonomous pilots either graduated to production or deferred with documented lessons</w:t>
      </w:r>
    </w:p>
    <w:p>
      <w:pPr>
        <w:pStyle w:val="ListParagraph"/>
        <w:numPr>
          <w:ilvl w:val="0"/>
          <w:numId w:val="1"/>
        </w:numPr>
        <w:spacing w:after="60"/>
      </w:pPr>
      <w:r>
        <w:t xml:space="preserve">Steady-state operations handover: Deloitte team transitions from daily delivery to advisory cadence; client-side run teams own day-to-day</w:t>
      </w:r>
    </w:p>
    <w:p>
      <w:pPr>
        <w:pStyle w:val="ListParagraph"/>
        <w:numPr>
          <w:ilvl w:val="0"/>
          <w:numId w:val="1"/>
        </w:numPr>
        <w:spacing w:after="60"/>
      </w:pPr>
      <w:r>
        <w:t xml:space="preserve">Wave 3 exit review; multi-year roadmap (Year 2 and beyond) drafted</w:t>
      </w:r>
    </w:p>
    <w:p>
      <w:pPr>
        <w:pStyle w:val="Heading4"/>
        <w:spacing w:after="100" w:before="220"/>
      </w:pPr>
      <w:r>
        <w:rPr>
          <w:rFonts w:ascii="Aptos" w:cs="Aptos" w:eastAsia="Aptos" w:hAnsi="Aptos"/>
          <w:b/>
          <w:bCs/>
          <w:color w:val="0B111E"/>
          <w:sz w:val="20"/>
          <w:szCs w:val="20"/>
        </w:rPr>
        <w:t xml:space="preserve">Wave 3 Exit Criteria</w:t>
      </w:r>
    </w:p>
    <w:p>
      <w:pPr>
        <w:spacing w:after="140"/>
      </w:pPr>
      <w:r>
        <w:t xml:space="preserve">1. Enterprise-scale KPI trends on-target across the first Practice 2. Second Practice subscribed (if client path includes multi-Practice) 3. Autonomous pilot cleared by audit review and either in production or formally deferred 4. Steady-state handover signed off by client run function 5. Multi-year roadmap drafted and approved</w:t>
      </w:r>
    </w:p>
    <w:p>
      <w:pPr>
        <w:pStyle w:val="Heading4"/>
        <w:spacing w:after="100" w:before="220"/>
      </w:pPr>
      <w:r>
        <w:rPr>
          <w:rFonts w:ascii="Aptos" w:cs="Aptos" w:eastAsia="Aptos" w:hAnsi="Aptos"/>
          <w:b/>
          <w:bCs/>
          <w:color w:val="0B111E"/>
          <w:sz w:val="20"/>
          <w:szCs w:val="20"/>
        </w:rPr>
        <w:t xml:space="preserve">Wave 3 Risks and Mitigations</w:t>
      </w:r>
    </w:p>
    <w:p>
      <w:pPr>
        <w:pStyle w:val="ListParagraph"/>
        <w:numPr>
          <w:ilvl w:val="0"/>
          <w:numId w:val="1"/>
        </w:numPr>
        <w:spacing w:after="60"/>
      </w:pPr>
      <w:r>
        <w:rPr>
          <w:b/>
          <w:bCs/>
        </w:rPr>
        <w:t xml:space="preserve">Rollout fatigue in laggard regions</w:t>
      </w:r>
      <w:r>
        <w:t xml:space="preserve"> — early regions succeed; later regions feel pressured or behind. Mitigation: rollout cadence is region-paced, not calendar-paced; laggards get tailored support.</w:t>
      </w:r>
    </w:p>
    <w:p>
      <w:pPr>
        <w:pStyle w:val="ListParagraph"/>
        <w:numPr>
          <w:ilvl w:val="0"/>
          <w:numId w:val="1"/>
        </w:numPr>
        <w:spacing w:after="60"/>
      </w:pPr>
      <w:r>
        <w:rPr>
          <w:b/>
          <w:bCs/>
        </w:rPr>
        <w:t xml:space="preserve">Autonomy pilot over-reach</w:t>
      </w:r>
      <w:r>
        <w:t xml:space="preserve"> — the temptation to move too fast on Level-5. Mitigation: autonomy-review process requires explicit audit sign-off; no silent gate changes.</w:t>
      </w:r>
    </w:p>
    <w:p>
      <w:pPr>
        <w:pStyle w:val="Heading2"/>
        <w:spacing w:after="140" w:before="300"/>
      </w:pPr>
      <w:r>
        <w:rPr>
          <w:rFonts w:ascii="Aptos Display" w:cs="Aptos Display" w:eastAsia="Aptos Display" w:hAnsi="Aptos Display"/>
          <w:b/>
          <w:bCs/>
          <w:color w:val="0B111E"/>
          <w:sz w:val="30"/>
          <w:szCs w:val="30"/>
        </w:rPr>
        <w:t xml:space="preserve">Chapter 12A: Wave 1 Operational Runbook</w:t>
      </w:r>
    </w:p>
    <w:p>
      <w:pPr>
        <w:spacing w:after="140"/>
      </w:pPr>
      <w:r>
        <w:t xml:space="preserve">Every Wave 1 ships with an operational runbook that captures the specific decisions, checks, and escalations that keep the programme on track. The runbook is a living document; it evolves as the programme learns.</w:t>
      </w:r>
    </w:p>
    <w:p>
      <w:pPr>
        <w:pStyle w:val="Heading3"/>
        <w:spacing w:after="120" w:before="260"/>
      </w:pPr>
      <w:r>
        <w:rPr>
          <w:rFonts w:ascii="Aptos" w:cs="Aptos" w:eastAsia="Aptos" w:hAnsi="Aptos"/>
          <w:b/>
          <w:bCs/>
          <w:color w:val="0B111E"/>
          <w:sz w:val="24"/>
          <w:szCs w:val="24"/>
        </w:rPr>
        <w:t xml:space="preserve">12A.1 Daily Operations (First 30 Days Post Go-Live)</w:t>
      </w:r>
    </w:p>
    <w:p>
      <w:pPr>
        <w:spacing w:after="140"/>
      </w:pPr>
      <w:r>
        <w:rPr>
          <w:b/>
          <w:bCs/>
        </w:rPr>
        <w:t xml:space="preserve">06:00 daily</w:t>
      </w:r>
      <w:r>
        <w:t xml:space="preserve"> — automated smoke test runs against the pilot tenant's first service. A synthetic event is seeded; the expected orchestration fires; the expected HITL card lands (at a test-recipient, not a live one). Any failure pages the on-call SRE.</w:t>
      </w:r>
    </w:p>
    <w:p>
      <w:pPr>
        <w:spacing w:after="140"/>
      </w:pPr>
      <w:r>
        <w:rPr>
          <w:b/>
          <w:bCs/>
        </w:rPr>
        <w:t xml:space="preserve">08:00 daily</w:t>
      </w:r>
      <w:r>
        <w:t xml:space="preserve"> — stand-up with pilot persona group. 10 minutes, structured around "anything surprising yesterday, anything expected today, any blockers?" The pilot persona speaks first.</w:t>
      </w:r>
    </w:p>
    <w:p>
      <w:pPr>
        <w:spacing w:after="140"/>
      </w:pPr>
      <w:r>
        <w:rPr>
          <w:b/>
          <w:bCs/>
        </w:rPr>
        <w:t xml:space="preserve">12:00 daily</w:t>
      </w:r>
      <w:r>
        <w:t xml:space="preserve"> — observability workbook review with the delivery team. SLO burn rate, decision-audit-row count, HITL queue depth, any tool-call failure spikes.</w:t>
      </w:r>
    </w:p>
    <w:p>
      <w:pPr>
        <w:spacing w:after="140"/>
      </w:pPr>
      <w:r>
        <w:rPr>
          <w:b/>
          <w:bCs/>
        </w:rPr>
        <w:t xml:space="preserve">17:00 daily</w:t>
      </w:r>
      <w:r>
        <w:t xml:space="preserve"> — lessons-learned capture. 10 minutes. What did the agent do that surprised us (good or bad)? What did the human do that the agent couldn't predict? Update the fixture library.</w:t>
      </w:r>
    </w:p>
    <w:p>
      <w:pPr>
        <w:pStyle w:val="Heading3"/>
        <w:spacing w:after="120" w:before="260"/>
      </w:pPr>
      <w:r>
        <w:rPr>
          <w:rFonts w:ascii="Aptos" w:cs="Aptos" w:eastAsia="Aptos" w:hAnsi="Aptos"/>
          <w:b/>
          <w:bCs/>
          <w:color w:val="0B111E"/>
          <w:sz w:val="24"/>
          <w:szCs w:val="24"/>
        </w:rPr>
        <w:t xml:space="preserve">12A.2 Weekly Operations</w:t>
      </w:r>
    </w:p>
    <w:p>
      <w:pPr>
        <w:spacing w:after="140"/>
      </w:pPr>
      <w:r>
        <w:rPr>
          <w:b/>
          <w:bCs/>
        </w:rPr>
        <w:t xml:space="preserve">Wednesday</w:t>
      </w:r>
      <w:r>
        <w:t xml:space="preserve"> — Architecture Review Board. Manifests changes above PATCH reviewed. Any new service proposals stage-gated here.</w:t>
      </w:r>
    </w:p>
    <w:p>
      <w:pPr>
        <w:spacing w:after="140"/>
      </w:pPr>
      <w:r>
        <w:rPr>
          <w:b/>
          <w:bCs/>
        </w:rPr>
        <w:t xml:space="preserve">Friday</w:t>
      </w:r>
      <w:r>
        <w:t xml:space="preserve"> — Decision Audit Review. All decisions made since last DAR examined for pattern quality. Gate-tuning proposals surface here.</w:t>
      </w:r>
    </w:p>
    <w:p>
      <w:pPr>
        <w:pStyle w:val="Heading3"/>
        <w:spacing w:after="120" w:before="260"/>
      </w:pPr>
      <w:r>
        <w:rPr>
          <w:rFonts w:ascii="Aptos" w:cs="Aptos" w:eastAsia="Aptos" w:hAnsi="Aptos"/>
          <w:b/>
          <w:bCs/>
          <w:color w:val="0B111E"/>
          <w:sz w:val="24"/>
          <w:szCs w:val="24"/>
        </w:rPr>
        <w:t xml:space="preserve">12A.3 Standard Runbooks</w:t>
      </w:r>
    </w:p>
    <w:p>
      <w:pPr>
        <w:spacing w:after="140"/>
      </w:pPr>
      <w:r>
        <w:rPr>
          <w:b/>
          <w:bCs/>
        </w:rPr>
        <w:t xml:space="preserve">Runbook R-001: Gate Escalation Firing.</w:t>
      </w:r>
      <w:r>
        <w:t xml:space="preserve"> When an ESCALATION gate fires, the escalation path is: cross-functional owner (Legal / Comms / Compliance / Regulatory) + programme delivery principal + on-call SRE. Owner has first authority; SRE ensures observability; principal is situationally aware.</w:t>
      </w:r>
    </w:p>
    <w:p>
      <w:pPr>
        <w:spacing w:after="140"/>
      </w:pPr>
      <w:r>
        <w:rPr>
          <w:b/>
          <w:bCs/>
        </w:rPr>
        <w:t xml:space="preserve">Runbook R-002: Manifest Drift Incident.</w:t>
      </w:r>
      <w:r>
        <w:t xml:space="preserve"> When </w:t>
      </w:r>
      <w:r>
        <w:rPr>
          <w:rFonts w:ascii="Cascadia Mono" w:cs="Cascadia Mono" w:eastAsia="Cascadia Mono" w:hAnsi="Cascadia Mono"/>
          <w:color w:val="2B2B2B"/>
          <w:sz w:val="18"/>
          <w:szCs w:val="18"/>
        </w:rPr>
        <w:t xml:space="preserve">apex-validate</w:t>
      </w:r>
      <w:r>
        <w:t xml:space="preserve"> reports critical findings in production, the manifest is frozen, the practice SRE is paged, and the ARB is convened within 4 hours. No emergency unfreezing without ARB sign-off.</w:t>
      </w:r>
    </w:p>
    <w:p>
      <w:pPr>
        <w:spacing w:after="140"/>
      </w:pPr>
      <w:r>
        <w:rPr>
          <w:b/>
          <w:bCs/>
        </w:rPr>
        <w:t xml:space="preserve">Runbook R-003: MCP Tool Failure Spike.</w:t>
      </w:r>
      <w:r>
        <w:t xml:space="preserve"> If a specific tool's failure rate exceeds 1% over a 15-min window, the tool is canary-rolled-back to the prior version automatically. The tool owner is paged. Agent Service tool catalog updated to reflect the rollback.</w:t>
      </w:r>
    </w:p>
    <w:p>
      <w:pPr>
        <w:spacing w:after="140"/>
      </w:pPr>
      <w:r>
        <w:rPr>
          <w:b/>
          <w:bCs/>
        </w:rPr>
        <w:t xml:space="preserve">Runbook R-004: Schema Drift from SOR.</w:t>
      </w:r>
      <w:r>
        <w:t xml:space="preserve"> When an SOR pushes a schema change that breaks Silver canonicalisation, Bronze continues ingesting (never break ingest); Silver transforms are paused with an alert; the on-call data engineer responds. SOR changes do not propagate to production until the Silver-transform fix is ARB-reviewed.</w:t>
      </w:r>
    </w:p>
    <w:p>
      <w:pPr>
        <w:spacing w:after="140"/>
      </w:pPr>
      <w:r>
        <w:rPr>
          <w:b/>
          <w:bCs/>
        </w:rPr>
        <w:t xml:space="preserve">Runbook R-005: Agent Canary Rollback.</w:t>
      </w:r>
      <w:r>
        <w:t xml:space="preserve"> When the canary criteria for a new agent version trip, Agent Service rolls back the version weighting. The agent team is paged. A post-mortem is scheduled within 48 hours.</w:t>
      </w:r>
    </w:p>
    <w:p>
      <w:pPr>
        <w:spacing w:after="140"/>
      </w:pPr>
      <w:r>
        <w:rPr>
          <w:b/>
          <w:bCs/>
        </w:rPr>
        <w:t xml:space="preserve">Runbook R-006: Critical Security Alert.</w:t>
      </w:r>
      <w:r>
        <w:t xml:space="preserve"> A Defender / Sentinel alert on an APEX-owned identity triggers immediate sesh invalidation, identity rotation, and a full audit of recent activity under that identity. The practice security lead and Microsoft TAM (if applicable) are notified.</w:t>
      </w:r>
    </w:p>
    <w:p>
      <w:pPr>
        <w:spacing w:after="140"/>
      </w:pPr>
      <w:r>
        <w:rPr>
          <w:b/>
          <w:bCs/>
        </w:rPr>
        <w:t xml:space="preserve">Runbook R-007: Customer-Impact Event.</w:t>
      </w:r>
      <w:r>
        <w:t xml:space="preserve"> When an APEX decision's downstream effect is customer-visible and wrong (e.g., a wrong substitution accepted, a wrong disposition applied, a wrong appeal filed), the rollback procedure is specific to the service but always captured in the decision's </w:t>
      </w:r>
      <w:r>
        <w:rPr>
          <w:rFonts w:ascii="Cascadia Mono" w:cs="Cascadia Mono" w:eastAsia="Cascadia Mono" w:hAnsi="Cascadia Mono"/>
          <w:color w:val="2B2B2B"/>
          <w:sz w:val="18"/>
          <w:szCs w:val="18"/>
        </w:rPr>
        <w:t xml:space="preserve">rollback_pointer</w:t>
      </w:r>
      <w:r>
        <w:t xml:space="preserve">. The incident is elevated to DAR same-day.</w:t>
      </w:r>
    </w:p>
    <w:p>
      <w:pPr>
        <w:pStyle w:val="Heading2"/>
        <w:spacing w:after="140" w:before="300"/>
      </w:pPr>
      <w:r>
        <w:rPr>
          <w:rFonts w:ascii="Aptos Display" w:cs="Aptos Display" w:eastAsia="Aptos Display" w:hAnsi="Aptos Display"/>
          <w:b/>
          <w:bCs/>
          <w:color w:val="0B111E"/>
          <w:sz w:val="30"/>
          <w:szCs w:val="30"/>
        </w:rPr>
        <w:t xml:space="preserve">Chapter 13: Onboarding a New Tenant</w:t>
      </w:r>
    </w:p>
    <w:p>
      <w:pPr>
        <w:spacing w:after="140"/>
      </w:pPr>
      <w:r>
        <w:t xml:space="preserve">The onboarding of a new tenant is a defined sequence with known durations. A typical tenant onboarding runs 4–6 weeks end-to-end.</w:t>
      </w:r>
    </w:p>
    <w:p>
      <w:pPr>
        <w:spacing w:after="140"/>
      </w:pPr>
      <w:r>
        <w:rPr>
          <w:b/>
          <w:bCs/>
        </w:rPr>
        <w:t xml:space="preserve">Week 1 — Provision.</w:t>
      </w:r>
      <w:r>
        <w:t xml:space="preserve"> Create the three tenant workspaces (dev/test/prod). Apply identity groups. Shortcut the Practice workspace's reference tables. Deploy the tenant manifest.</w:t>
      </w:r>
    </w:p>
    <w:p>
      <w:pPr>
        <w:spacing w:after="140"/>
      </w:pPr>
      <w:r>
        <w:rPr>
          <w:b/>
          <w:bCs/>
        </w:rPr>
        <w:t xml:space="preserve">Week 2 — Connect.</w:t>
      </w:r>
      <w:r>
        <w:t xml:space="preserve"> Stand up SOR connectors (Eventstream / Mirrored DB / Data Pipeline / Dataflow Gen2 depending on SOR). Land Bronze data. Verify row counts and latency.</w:t>
      </w:r>
    </w:p>
    <w:p>
      <w:pPr>
        <w:spacing w:after="140"/>
      </w:pPr>
      <w:r>
        <w:rPr>
          <w:b/>
          <w:bCs/>
        </w:rPr>
        <w:t xml:space="preserve">Weeks 3–4 — Canonicalise.</w:t>
      </w:r>
      <w:r>
        <w:t xml:space="preserve"> Run Silver transforms; apply PII tokenisation; verify canonical envelope compliance. Deploy Gold feature views. Agents can now read.</w:t>
      </w:r>
    </w:p>
    <w:p>
      <w:pPr>
        <w:spacing w:after="140"/>
      </w:pPr>
      <w:r>
        <w:rPr>
          <w:b/>
          <w:bCs/>
        </w:rPr>
        <w:t xml:space="preserve">Week 5 — Shadow.</w:t>
      </w:r>
      <w:r>
        <w:t xml:space="preserve"> Run the subscribed services in shadow mode (decisions generated, logged, but not acted). Calibrate against the client's prior human decisions. Tune thresholds.</w:t>
      </w:r>
    </w:p>
    <w:p>
      <w:pPr>
        <w:spacing w:after="140"/>
      </w:pPr>
      <w:r>
        <w:rPr>
          <w:b/>
          <w:bCs/>
        </w:rPr>
        <w:t xml:space="preserve">Week 6 — Go live.</w:t>
      </w:r>
      <w:r>
        <w:t xml:space="preserve"> First live HITL decisions. Monitor hourly for three days, daily for three weeks. Hand over to steady-state operations.</w:t>
      </w:r>
    </w:p>
    <w:p>
      <w:pPr>
        <w:pStyle w:val="Heading2"/>
        <w:spacing w:after="140" w:before="300"/>
      </w:pPr>
      <w:r>
        <w:rPr>
          <w:rFonts w:ascii="Aptos Display" w:cs="Aptos Display" w:eastAsia="Aptos Display" w:hAnsi="Aptos Display"/>
          <w:b/>
          <w:bCs/>
          <w:color w:val="0B111E"/>
          <w:sz w:val="30"/>
          <w:szCs w:val="30"/>
        </w:rPr>
        <w:t xml:space="preserve">Chapter 14: Scaling the Service Portfolio</w:t>
      </w:r>
    </w:p>
    <w:p>
      <w:pPr>
        <w:spacing w:after="140"/>
      </w:pPr>
      <w:r>
        <w:t xml:space="preserve">Once Wave 1 is live, adding services to an existing tenant follows a much shorter cadence — typically 2–4 weeks per service, because the workspace topology, identity, and monitoring are reusable.</w:t>
      </w:r>
    </w:p>
    <w:p>
      <w:pPr>
        <w:spacing w:after="140"/>
      </w:pPr>
      <w:r>
        <w:t xml:space="preserve">The cost envelope for adding a service to a running tenant is </w:t>
      </w:r>
      <w:r>
        <w:rPr>
          <w:b/>
          <w:bCs/>
        </w:rPr>
        <w:t xml:space="preserve">$200K–$600K</w:t>
      </w:r>
      <w:r>
        <w:t xml:space="preserve"> depending on SOR connections required. This is the math that makes the catalogue's growth pattern realistic: clients don't add services one a year; they add them two or three a quarter once the platform is live.</w:t>
      </w:r>
    </w:p>
    <w:p>
      <w:pPr>
        <w:pStyle w:val="Heading3"/>
        <w:spacing w:after="120" w:before="260"/>
      </w:pPr>
      <w:r>
        <w:rPr>
          <w:rFonts w:ascii="Aptos" w:cs="Aptos" w:eastAsia="Aptos" w:hAnsi="Aptos"/>
          <w:b/>
          <w:bCs/>
          <w:color w:val="0B111E"/>
          <w:sz w:val="24"/>
          <w:szCs w:val="24"/>
        </w:rPr>
        <w:t xml:space="preserve">11.1 The Service Catalog Growth Curve</w:t>
      </w:r>
    </w:p>
    <w:p>
      <w:pPr>
        <w:spacing w:after="140"/>
      </w:pPr>
      <w:r>
        <w:t xml:space="preserve">A typical client trajectory:</w:t>
      </w:r>
    </w:p>
    <w:p>
      <w:pPr>
        <w:pStyle w:val="ListParagraph"/>
        <w:numPr>
          <w:ilvl w:val="0"/>
          <w:numId w:val="1"/>
        </w:numPr>
        <w:spacing w:after="60"/>
      </w:pPr>
      <w:r>
        <w:rPr>
          <w:b/>
          <w:bCs/>
        </w:rPr>
        <w:t xml:space="preserve">End of Wave 1 (month 6):</w:t>
      </w:r>
      <w:r>
        <w:t xml:space="preserve"> 2–3 services live in one tenant. First KPIs proving out.</w:t>
      </w:r>
    </w:p>
    <w:p>
      <w:pPr>
        <w:pStyle w:val="ListParagraph"/>
        <w:numPr>
          <w:ilvl w:val="0"/>
          <w:numId w:val="1"/>
        </w:numPr>
        <w:spacing w:after="60"/>
      </w:pPr>
      <w:r>
        <w:rPr>
          <w:b/>
          <w:bCs/>
        </w:rPr>
        <w:t xml:space="preserve">End of Wave 2 (month 12):</w:t>
      </w:r>
      <w:r>
        <w:t xml:space="preserve"> 5–8 services live. Pattern for adding is well-understood; the dev team can deliver a new service in 3–4 weeks.</w:t>
      </w:r>
    </w:p>
    <w:p>
      <w:pPr>
        <w:pStyle w:val="ListParagraph"/>
        <w:numPr>
          <w:ilvl w:val="0"/>
          <w:numId w:val="1"/>
        </w:numPr>
        <w:spacing w:after="60"/>
      </w:pPr>
      <w:r>
        <w:rPr>
          <w:b/>
          <w:bCs/>
        </w:rPr>
        <w:t xml:space="preserve">End of Wave 3 (month 18):</w:t>
      </w:r>
      <w:r>
        <w:t xml:space="preserve"> 10–14 services live in the first Practice. Possibly first service from a second Practice.</w:t>
      </w:r>
    </w:p>
    <w:p>
      <w:pPr>
        <w:pStyle w:val="ListParagraph"/>
        <w:numPr>
          <w:ilvl w:val="0"/>
          <w:numId w:val="1"/>
        </w:numPr>
        <w:spacing w:after="60"/>
      </w:pPr>
      <w:r>
        <w:rPr>
          <w:b/>
          <w:bCs/>
        </w:rPr>
        <w:t xml:space="preserve">Month 24:</w:t>
      </w:r>
      <w:r>
        <w:t xml:space="preserve"> 15–20 services across 1–2 Practices. Cross-practice orchestrations piloted.</w:t>
      </w:r>
    </w:p>
    <w:p>
      <w:pPr>
        <w:pStyle w:val="ListParagraph"/>
        <w:numPr>
          <w:ilvl w:val="0"/>
          <w:numId w:val="1"/>
        </w:numPr>
        <w:spacing w:after="60"/>
      </w:pPr>
      <w:r>
        <w:rPr>
          <w:b/>
          <w:bCs/>
        </w:rPr>
        <w:t xml:space="preserve">Month 36:</w:t>
      </w:r>
      <w:r>
        <w:t xml:space="preserve"> Full catalog of the adopted Practices; third Practice in Wave 1.</w:t>
      </w:r>
    </w:p>
    <w:p>
      <w:pPr>
        <w:pStyle w:val="Heading2"/>
        <w:spacing w:after="140" w:before="300"/>
      </w:pPr>
      <w:r>
        <w:rPr>
          <w:rFonts w:ascii="Aptos Display" w:cs="Aptos Display" w:eastAsia="Aptos Display" w:hAnsi="Aptos Display"/>
          <w:b/>
          <w:bCs/>
          <w:color w:val="0B111E"/>
          <w:sz w:val="30"/>
          <w:szCs w:val="30"/>
        </w:rPr>
        <w:t xml:space="preserve">Chapter 15: Resource Model</w:t>
      </w:r>
    </w:p>
    <w:p>
      <w:pPr>
        <w:spacing w:after="140"/>
      </w:pPr>
      <w:r>
        <w:t xml:space="preserve">The APEX delivery model balances three skill types: data engineering, agent/orchestration engineering, and change management. A typical Wave 1 team looks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Delivery principal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 executive steward, client-facing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Platform architect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 Fabric + Azure AI + MCP design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 Medallion transforms, SOR integration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 agent prompts, orchestrations, gates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 observability, release discipline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Change-management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 persona training, comms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Client-side programme sponsor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 — authority, escalation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Client-side technical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75% — IT continuity, identity, infra</w:t>
            </w:r>
          </w:p>
        </w:tc>
      </w:tr>
    </w:tbl>
    <w:p>
      <w:pPr>
        <w:spacing w:after="120"/>
      </w:pPr>
      <w:r>
        <w:t xml:space="preserve"/>
      </w:r>
    </w:p>
    <w:p>
      <w:pPr>
        <w:spacing w:after="140"/>
      </w:pPr>
      <w:r>
        <w:t xml:space="preserve">Total Deloitte-side headcount for a first-Practice Wave 1: roughly </w:t>
      </w:r>
      <w:r>
        <w:rPr>
          <w:b/>
          <w:bCs/>
        </w:rPr>
        <w:t xml:space="preserve">5.5 FTE</w:t>
      </w:r>
      <w:r>
        <w:t xml:space="preserve">. This scales sub-linearly with Wave 2 because the patterns are repeatable; Wave 2 typically runs with 4–5 FTE while shipping more services.</w:t>
      </w:r>
    </w:p>
    <w:p>
      <w:pPr>
        <w:pStyle w:val="Heading3"/>
        <w:spacing w:after="120" w:before="260"/>
      </w:pPr>
      <w:r>
        <w:rPr>
          <w:rFonts w:ascii="Aptos" w:cs="Aptos" w:eastAsia="Aptos" w:hAnsi="Aptos"/>
          <w:b/>
          <w:bCs/>
          <w:color w:val="0B111E"/>
          <w:sz w:val="24"/>
          <w:szCs w:val="24"/>
        </w:rPr>
        <w:t xml:space="preserve">12.1 Why Agent Engineering Is a Named Role</w:t>
      </w:r>
    </w:p>
    <w:p>
      <w:pPr>
        <w:spacing w:after="140"/>
      </w:pPr>
      <w:r>
        <w:t xml:space="preserve">"Agent engineer" is not a rebrand of "data scientist" or "prompt engineer." It is the specialist who understands the full agent lifecycle: writing the system prompt's contract preamble, defining the tool allow-list, selecting the model tier (cost vs. quality), authoring the DAG, wiring the HITL gate, and running the fixture-replay discipline on every change. This role did not exist four years ago. Building a pipeline of agent engineers is part of the programme's own success — a mature APEX practice graduates a couple of them each quarter from the client's own staff.</w:t>
      </w:r>
    </w:p>
    <w:p>
      <w:pPr>
        <w:pStyle w:val="Heading2"/>
        <w:spacing w:after="140" w:before="300"/>
      </w:pPr>
      <w:r>
        <w:rPr>
          <w:rFonts w:ascii="Aptos Display" w:cs="Aptos Display" w:eastAsia="Aptos Display" w:hAnsi="Aptos Display"/>
          <w:b/>
          <w:bCs/>
          <w:color w:val="0B111E"/>
          <w:sz w:val="30"/>
          <w:szCs w:val="30"/>
        </w:rPr>
        <w:t xml:space="preserve">Chapter 16: Governance Model</w:t>
      </w:r>
    </w:p>
    <w:p>
      <w:pPr>
        <w:spacing w:after="140"/>
      </w:pPr>
      <w:r>
        <w:t xml:space="preserve">Every APEX programme stands up a three-layer governance structure on day one.</w:t>
      </w:r>
    </w:p>
    <w:p>
      <w:pPr>
        <w:spacing w:after="140"/>
      </w:pPr>
      <w:r>
        <w:rPr>
          <w:b/>
          <w:bCs/>
        </w:rPr>
        <w:t xml:space="preserve">Steering committee</w:t>
      </w:r>
      <w:r>
        <w:t xml:space="preserve"> — meets monthly. Quorum: programme sponsor, CIO or delegate, practice lead, Deloitte delivery principal. Agenda: KPI review, service roadmap, investment checkpoints, risk &amp; escalation.</w:t>
      </w:r>
    </w:p>
    <w:p>
      <w:pPr>
        <w:spacing w:after="140"/>
      </w:pPr>
      <w:r>
        <w:rPr>
          <w:b/>
          <w:bCs/>
        </w:rPr>
        <w:t xml:space="preserve">Architecture review board (ARB)</w:t>
      </w:r>
      <w:r>
        <w:t xml:space="preserve"> — meets weekly in Wave 1, biweekly thereafter. Quorum: platform architect, data engineering lead, agent engineering lead, SRE, security representative. Agenda: manifest changes above MINOR, new service proposals, cross-practice integration decisions, Core edition pins.</w:t>
      </w:r>
    </w:p>
    <w:p>
      <w:pPr>
        <w:spacing w:after="140"/>
      </w:pPr>
      <w:r>
        <w:rPr>
          <w:b/>
          <w:bCs/>
        </w:rPr>
        <w:t xml:space="preserve">Decision audit review (DAR)</w:t>
      </w:r>
      <w:r>
        <w:t xml:space="preserve"> — meets monthly. Quorum: compliance officer or delegate, practice lead, SRE, a rotating persona champion. Agenda: decision-quality review, false-positive patterns, gate-tuning recommendations, audit-exception follow-ups.</w:t>
      </w:r>
    </w:p>
    <w:p>
      <w:pPr>
        <w:pStyle w:val="Heading3"/>
        <w:spacing w:after="120" w:before="260"/>
      </w:pPr>
      <w:r>
        <w:rPr>
          <w:rFonts w:ascii="Aptos" w:cs="Aptos" w:eastAsia="Aptos" w:hAnsi="Aptos"/>
          <w:b/>
          <w:bCs/>
          <w:color w:val="0B111E"/>
          <w:sz w:val="24"/>
          <w:szCs w:val="24"/>
        </w:rPr>
        <w:t xml:space="preserve">13.1 ARB Discipline</w:t>
      </w:r>
    </w:p>
    <w:p>
      <w:pPr>
        <w:spacing w:after="140"/>
      </w:pPr>
      <w:r>
        <w:t xml:space="preserve">The Architecture Review Board is the most consequential of the three bodies. It owns the manifest. Its decisions ripple through every tenant.</w:t>
      </w:r>
    </w:p>
    <w:p>
      <w:pPr>
        <w:spacing w:after="140"/>
      </w:pPr>
      <w:r>
        <w:t xml:space="preserve">ARB discipline checklist:</w:t>
      </w:r>
    </w:p>
    <w:p>
      <w:pPr>
        <w:pStyle w:val="ListParagraph"/>
        <w:numPr>
          <w:ilvl w:val="0"/>
          <w:numId w:val="1"/>
        </w:numPr>
        <w:spacing w:after="60"/>
      </w:pPr>
      <w:r>
        <w:t xml:space="preserve">Every MAJOR bump requires ARB approval before merge</w:t>
      </w:r>
    </w:p>
    <w:p>
      <w:pPr>
        <w:pStyle w:val="ListParagraph"/>
        <w:numPr>
          <w:ilvl w:val="0"/>
          <w:numId w:val="1"/>
        </w:numPr>
        <w:spacing w:after="60"/>
      </w:pPr>
      <w:r>
        <w:t xml:space="preserve">Every new service proposal goes through an ARB checkpoint before engineering commits</w:t>
      </w:r>
    </w:p>
    <w:p>
      <w:pPr>
        <w:pStyle w:val="ListParagraph"/>
        <w:numPr>
          <w:ilvl w:val="0"/>
          <w:numId w:val="1"/>
        </w:numPr>
        <w:spacing w:after="60"/>
      </w:pPr>
      <w:r>
        <w:t xml:space="preserve">Every cross-practice integration pattern is reviewed and patterned (so that the second and third clients get the benefit of the first)</w:t>
      </w:r>
    </w:p>
    <w:p>
      <w:pPr>
        <w:pStyle w:val="ListParagraph"/>
        <w:numPr>
          <w:ilvl w:val="0"/>
          <w:numId w:val="1"/>
        </w:numPr>
        <w:spacing w:after="60"/>
      </w:pPr>
      <w:r>
        <w:t xml:space="preserve">Every Core edition pin has an ARB record citing the evidence behind the pin</w:t>
      </w:r>
    </w:p>
    <w:p>
      <w:pPr>
        <w:pStyle w:val="Heading3"/>
        <w:spacing w:after="120" w:before="260"/>
      </w:pPr>
      <w:r>
        <w:rPr>
          <w:rFonts w:ascii="Aptos" w:cs="Aptos" w:eastAsia="Aptos" w:hAnsi="Aptos"/>
          <w:b/>
          <w:bCs/>
          <w:color w:val="0B111E"/>
          <w:sz w:val="24"/>
          <w:szCs w:val="24"/>
        </w:rPr>
        <w:t xml:space="preserve">13.2 DAR Discipline and Gate-Tuning</w:t>
      </w:r>
    </w:p>
    <w:p>
      <w:pPr>
        <w:spacing w:after="140"/>
      </w:pPr>
      <w:r>
        <w:t xml:space="preserve">Decision audit review is how the programme earns the right to tune gates down. A typical trajectory: service ships at HITL, runs four weeks, DAR reviews the decision log, sees 97% unanimous approval with low-variance rationale, proposes tuning to ACK_ONLY for decisions below a specific dollar threshold. Steering approves, ARB ratifies, the gate change ships with a 72-hour canary.</w:t>
      </w:r>
    </w:p>
    <w:p>
      <w:pPr>
        <w:spacing w:after="140"/>
      </w:pPr>
      <w:r>
        <w:t xml:space="preserve">This discipline is how APEX avoids both perpetual-HITL-fatigue (everything stays HITL forever, approval queues back up, organisation pushes back) and dangerous over-automation (too-early gate-tuning on services where decision quality isn't proven).</w:t>
      </w:r>
    </w:p>
    <w:p>
      <w:pPr>
        <w:pStyle w:val="Heading2"/>
        <w:spacing w:after="140" w:before="300"/>
      </w:pPr>
      <w:r>
        <w:rPr>
          <w:rFonts w:ascii="Aptos Display" w:cs="Aptos Display" w:eastAsia="Aptos Display" w:hAnsi="Aptos Display"/>
          <w:b/>
          <w:bCs/>
          <w:color w:val="0B111E"/>
          <w:sz w:val="30"/>
          <w:szCs w:val="30"/>
        </w:rPr>
        <w:t xml:space="preserve">Chapter 17: Change Management</w:t>
      </w:r>
    </w:p>
    <w:p>
      <w:pPr>
        <w:spacing w:after="140"/>
      </w:pPr>
      <w:r>
        <w:t xml:space="preserve">Every APEX programme is as much a change management programme as a technology programme. A service that works technically but that the persona doesn't trust is a failed service.</w:t>
      </w:r>
    </w:p>
    <w:p>
      <w:pPr>
        <w:pStyle w:val="Heading3"/>
        <w:spacing w:after="120" w:before="260"/>
      </w:pPr>
      <w:r>
        <w:rPr>
          <w:rFonts w:ascii="Aptos" w:cs="Aptos" w:eastAsia="Aptos" w:hAnsi="Aptos"/>
          <w:b/>
          <w:bCs/>
          <w:color w:val="0B111E"/>
          <w:sz w:val="24"/>
          <w:szCs w:val="24"/>
        </w:rPr>
        <w:t xml:space="preserve">14.1 Training Curriculum</w:t>
      </w:r>
    </w:p>
    <w:p>
      <w:pPr>
        <w:spacing w:after="140"/>
      </w:pPr>
      <w:r>
        <w:rPr>
          <w:b/>
          <w:bCs/>
        </w:rPr>
        <w:t xml:space="preserve">For the frontline persona</w:t>
      </w:r>
      <w:r>
        <w:t xml:space="preserve"> (Store MOD, Charge Nurse, Plant Supervisor, Grid Engineer, etc.): three 45-minute live sessions plus office hours during Wave 1.</w:t>
      </w:r>
    </w:p>
    <w:p>
      <w:pPr>
        <w:pStyle w:val="ListParagraph"/>
        <w:numPr>
          <w:ilvl w:val="0"/>
          <w:numId w:val="1"/>
        </w:numPr>
        <w:spacing w:after="60"/>
      </w:pPr>
      <w:r>
        <w:t xml:space="preserve">Session 1 — What APEX does and why (30 min framing + 15 min Q&amp;A)</w:t>
      </w:r>
    </w:p>
    <w:p>
      <w:pPr>
        <w:pStyle w:val="ListParagraph"/>
        <w:numPr>
          <w:ilvl w:val="0"/>
          <w:numId w:val="1"/>
        </w:numPr>
        <w:spacing w:after="60"/>
      </w:pPr>
      <w:r>
        <w:t xml:space="preserve">Session 2 — How the HITL card works (25 min demo + 20 min practice)</w:t>
      </w:r>
    </w:p>
    <w:p>
      <w:pPr>
        <w:pStyle w:val="ListParagraph"/>
        <w:numPr>
          <w:ilvl w:val="0"/>
          <w:numId w:val="1"/>
        </w:numPr>
        <w:spacing w:after="60"/>
      </w:pPr>
      <w:r>
        <w:t xml:space="preserve">Session 3 — How the decision audit works (25 min demo + 20 min practice)</w:t>
      </w:r>
    </w:p>
    <w:p>
      <w:pPr>
        <w:spacing w:after="140"/>
      </w:pPr>
      <w:r>
        <w:rPr>
          <w:b/>
          <w:bCs/>
        </w:rPr>
        <w:t xml:space="preserve">For the secondary persona</w:t>
      </w:r>
      <w:r>
        <w:t xml:space="preserve"> (Regional Director, Compliance Officer, Patient Safety Officer): two 60-minute sessions covering the observability workbook and the audit query patterns.</w:t>
      </w:r>
    </w:p>
    <w:p>
      <w:pPr>
        <w:spacing w:after="140"/>
      </w:pPr>
      <w:r>
        <w:rPr>
          <w:b/>
          <w:bCs/>
        </w:rPr>
        <w:t xml:space="preserve">For the technical support persona</w:t>
      </w:r>
      <w:r>
        <w:t xml:space="preserve"> (IT ops, tenant admins): half-day workshop on onboarding, release pipelines, and rollback runbooks.</w:t>
      </w:r>
    </w:p>
    <w:p>
      <w:pPr>
        <w:pStyle w:val="Heading3"/>
        <w:spacing w:after="120" w:before="260"/>
      </w:pPr>
      <w:r>
        <w:rPr>
          <w:rFonts w:ascii="Aptos" w:cs="Aptos" w:eastAsia="Aptos" w:hAnsi="Aptos"/>
          <w:b/>
          <w:bCs/>
          <w:color w:val="0B111E"/>
          <w:sz w:val="24"/>
          <w:szCs w:val="24"/>
        </w:rPr>
        <w:t xml:space="preserve">14.1.1 Training Format per Practice</w:t>
      </w:r>
    </w:p>
    <w:p>
      <w:pPr>
        <w:spacing w:after="140"/>
      </w:pPr>
      <w:r>
        <w:t xml:space="preserve">Training adapts to Practice-specific culture:</w:t>
      </w:r>
    </w:p>
    <w:p>
      <w:pPr>
        <w:pStyle w:val="ListParagraph"/>
        <w:numPr>
          <w:ilvl w:val="0"/>
          <w:numId w:val="1"/>
        </w:numPr>
        <w:spacing w:after="60"/>
      </w:pPr>
      <w:r>
        <w:rPr>
          <w:b/>
          <w:bCs/>
        </w:rPr>
        <w:t xml:space="preserve">RC</w:t>
      </w:r>
      <w:r>
        <w:t xml:space="preserve"> — instructor-led video plus in-store hands-on with a pilot-tenant Store MOD. Emphasis on the Teams card flow from a mobile device.</w:t>
      </w:r>
    </w:p>
    <w:p>
      <w:pPr>
        <w:pStyle w:val="ListParagraph"/>
        <w:numPr>
          <w:ilvl w:val="0"/>
          <w:numId w:val="1"/>
        </w:numPr>
        <w:spacing w:after="60"/>
      </w:pPr>
      <w:r>
        <w:rPr>
          <w:b/>
          <w:bCs/>
        </w:rPr>
        <w:t xml:space="preserve">HLS</w:t>
      </w:r>
      <w:r>
        <w:t xml:space="preserve"> — instructor-led with CME credits where eligible. Emphasis on clinical judgement preservation; agent never prescribes or clinically directs; agent surfaces evidence and the nurse/physician decides.</w:t>
      </w:r>
    </w:p>
    <w:p>
      <w:pPr>
        <w:pStyle w:val="ListParagraph"/>
        <w:numPr>
          <w:ilvl w:val="0"/>
          <w:numId w:val="1"/>
        </w:numPr>
        <w:spacing w:after="60"/>
      </w:pPr>
      <w:r>
        <w:rPr>
          <w:b/>
          <w:bCs/>
        </w:rPr>
        <w:t xml:space="preserve">ER</w:t>
      </w:r>
      <w:r>
        <w:t xml:space="preserve"> — instructor-led with simulator drills (especially for GRD-02). Emphasis on the second-count latency and the trust relationship with the agent during pressure events.</w:t>
      </w:r>
    </w:p>
    <w:p>
      <w:pPr>
        <w:pStyle w:val="ListParagraph"/>
        <w:numPr>
          <w:ilvl w:val="0"/>
          <w:numId w:val="1"/>
        </w:numPr>
        <w:spacing w:after="60"/>
      </w:pPr>
      <w:r>
        <w:rPr>
          <w:b/>
          <w:bCs/>
        </w:rPr>
        <w:t xml:space="preserve">AXLE</w:t>
      </w:r>
      <w:r>
        <w:t xml:space="preserve"> — on-plant instructor-led with line simulation. Emphasis on shift-change handover and cross-crew coordination.</w:t>
      </w:r>
    </w:p>
    <w:p>
      <w:pPr>
        <w:pStyle w:val="ListParagraph"/>
        <w:numPr>
          <w:ilvl w:val="0"/>
          <w:numId w:val="1"/>
        </w:numPr>
        <w:spacing w:after="60"/>
      </w:pPr>
      <w:r>
        <w:rPr>
          <w:b/>
          <w:bCs/>
        </w:rPr>
        <w:t xml:space="preserve">TMT</w:t>
      </w:r>
      <w:r>
        <w:t xml:space="preserve"> — virtual, self-paced supplemented with live Q&amp;A. Emphasis on the escalation ladder and when to elevate novel incidents.</w:t>
      </w:r>
    </w:p>
    <w:p>
      <w:pPr>
        <w:pStyle w:val="ListParagraph"/>
        <w:numPr>
          <w:ilvl w:val="0"/>
          <w:numId w:val="1"/>
        </w:numPr>
        <w:spacing w:after="60"/>
      </w:pPr>
      <w:r>
        <w:rPr>
          <w:b/>
          <w:bCs/>
        </w:rPr>
        <w:t xml:space="preserve">TH</w:t>
      </w:r>
      <w:r>
        <w:t xml:space="preserve"> — instructor-led with role-play scenarios (disruption-recovery and guest-incident simulations). Emphasis on the customer-facing voice of the decision.</w:t>
      </w:r>
    </w:p>
    <w:p>
      <w:pPr>
        <w:pStyle w:val="ListParagraph"/>
        <w:numPr>
          <w:ilvl w:val="0"/>
          <w:numId w:val="1"/>
        </w:numPr>
        <w:spacing w:after="60"/>
      </w:pPr>
      <w:r>
        <w:rPr>
          <w:b/>
          <w:bCs/>
        </w:rPr>
        <w:t xml:space="preserve">ICE</w:t>
      </w:r>
      <w:r>
        <w:t xml:space="preserve"> — field-based with ride-along training for service dispatchers. Emphasis on the parts-and-technician coordination flow.</w:t>
      </w:r>
    </w:p>
    <w:p>
      <w:pPr>
        <w:pStyle w:val="Heading3"/>
        <w:spacing w:after="120" w:before="260"/>
      </w:pPr>
      <w:r>
        <w:rPr>
          <w:rFonts w:ascii="Aptos" w:cs="Aptos" w:eastAsia="Aptos" w:hAnsi="Aptos"/>
          <w:b/>
          <w:bCs/>
          <w:color w:val="0B111E"/>
          <w:sz w:val="24"/>
          <w:szCs w:val="24"/>
        </w:rPr>
        <w:t xml:space="preserve">14.1.2 Persona Champion Programme</w:t>
      </w:r>
    </w:p>
    <w:p>
      <w:pPr>
        <w:spacing w:after="140"/>
      </w:pPr>
      <w:r>
        <w:t xml:space="preserve">In every tenant's Wave 1, a persona champion is identified from the pilot group. They get:</w:t>
      </w:r>
    </w:p>
    <w:p>
      <w:pPr>
        <w:pStyle w:val="ListParagraph"/>
        <w:numPr>
          <w:ilvl w:val="0"/>
          <w:numId w:val="1"/>
        </w:numPr>
        <w:spacing w:after="60"/>
      </w:pPr>
      <w:r>
        <w:t xml:space="preserve">Deeper training (full-day workshop vs. the standard three-session curriculum)</w:t>
      </w:r>
    </w:p>
    <w:p>
      <w:pPr>
        <w:pStyle w:val="ListParagraph"/>
        <w:numPr>
          <w:ilvl w:val="0"/>
          <w:numId w:val="1"/>
        </w:numPr>
        <w:spacing w:after="60"/>
      </w:pPr>
      <w:r>
        <w:t xml:space="preserve">Direct line to the delivery team</w:t>
      </w:r>
    </w:p>
    <w:p>
      <w:pPr>
        <w:pStyle w:val="ListParagraph"/>
        <w:numPr>
          <w:ilvl w:val="0"/>
          <w:numId w:val="1"/>
        </w:numPr>
        <w:spacing w:after="60"/>
      </w:pPr>
      <w:r>
        <w:t xml:space="preserve">Monthly "champion's table" with champions from other tenants</w:t>
      </w:r>
    </w:p>
    <w:p>
      <w:pPr>
        <w:pStyle w:val="ListParagraph"/>
        <w:numPr>
          <w:ilvl w:val="0"/>
          <w:numId w:val="1"/>
        </w:numPr>
        <w:spacing w:after="60"/>
      </w:pPr>
      <w:r>
        <w:t xml:space="preserve">Co-authoring credit on lessons-learned publications</w:t>
      </w:r>
    </w:p>
    <w:p>
      <w:pPr>
        <w:spacing w:after="140"/>
      </w:pPr>
      <w:r>
        <w:t xml:space="preserve">Champions become the internal advocates that keep Wave 2 adoption velocity high. By Wave 3, the client-side champion network typically numbers 15–30 people across Practices and tenants — a meaningful internal capability that outlasts the delivery programme.</w:t>
      </w:r>
    </w:p>
    <w:p>
      <w:pPr>
        <w:pStyle w:val="Heading3"/>
        <w:spacing w:after="120" w:before="260"/>
      </w:pPr>
      <w:r>
        <w:rPr>
          <w:rFonts w:ascii="Aptos" w:cs="Aptos" w:eastAsia="Aptos" w:hAnsi="Aptos"/>
          <w:b/>
          <w:bCs/>
          <w:color w:val="0B111E"/>
          <w:sz w:val="24"/>
          <w:szCs w:val="24"/>
        </w:rPr>
        <w:t xml:space="preserve">14.2 Communication Milestones</w:t>
      </w:r>
    </w:p>
    <w:p>
      <w:pPr>
        <w:spacing w:after="140"/>
      </w:pPr>
      <w:r>
        <w:t xml:space="preserve">The programme ships a communication plan with the service roadmap. Typical milestones:</w:t>
      </w:r>
    </w:p>
    <w:p>
      <w:pPr>
        <w:pStyle w:val="ListParagraph"/>
        <w:numPr>
          <w:ilvl w:val="0"/>
          <w:numId w:val="1"/>
        </w:numPr>
        <w:spacing w:after="60"/>
      </w:pPr>
      <w:r>
        <w:rPr>
          <w:b/>
          <w:bCs/>
        </w:rPr>
        <w:t xml:space="preserve">T-8 weeks (before Wave 1 go-live):</w:t>
      </w:r>
      <w:r>
        <w:t xml:space="preserve"> All-hands announcement from the programme sponsor; town-hall Q&amp;A</w:t>
      </w:r>
    </w:p>
    <w:p>
      <w:pPr>
        <w:pStyle w:val="ListParagraph"/>
        <w:numPr>
          <w:ilvl w:val="0"/>
          <w:numId w:val="1"/>
        </w:numPr>
        <w:spacing w:after="60"/>
      </w:pPr>
      <w:r>
        <w:rPr>
          <w:b/>
          <w:bCs/>
        </w:rPr>
        <w:t xml:space="preserve">T-4 weeks:</w:t>
      </w:r>
      <w:r>
        <w:t xml:space="preserve"> Persona training sessions</w:t>
      </w:r>
    </w:p>
    <w:p>
      <w:pPr>
        <w:pStyle w:val="ListParagraph"/>
        <w:numPr>
          <w:ilvl w:val="0"/>
          <w:numId w:val="1"/>
        </w:numPr>
        <w:spacing w:after="60"/>
      </w:pPr>
      <w:r>
        <w:rPr>
          <w:b/>
          <w:bCs/>
        </w:rPr>
        <w:t xml:space="preserve">T-2 weeks:</w:t>
      </w:r>
      <w:r>
        <w:t xml:space="preserve"> Dry-run with the pilot persona group</w:t>
      </w:r>
    </w:p>
    <w:p>
      <w:pPr>
        <w:pStyle w:val="ListParagraph"/>
        <w:numPr>
          <w:ilvl w:val="0"/>
          <w:numId w:val="1"/>
        </w:numPr>
        <w:spacing w:after="60"/>
      </w:pPr>
      <w:r>
        <w:rPr>
          <w:b/>
          <w:bCs/>
        </w:rPr>
        <w:t xml:space="preserve">T-0 (go-live):</w:t>
      </w:r>
      <w:r>
        <w:t xml:space="preserve"> Go-live day reinforcement; first-three-days hyper-care</w:t>
      </w:r>
    </w:p>
    <w:p>
      <w:pPr>
        <w:pStyle w:val="ListParagraph"/>
        <w:numPr>
          <w:ilvl w:val="0"/>
          <w:numId w:val="1"/>
        </w:numPr>
        <w:spacing w:after="60"/>
      </w:pPr>
      <w:r>
        <w:rPr>
          <w:b/>
          <w:bCs/>
        </w:rPr>
        <w:t xml:space="preserve">T+30 days:</w:t>
      </w:r>
      <w:r>
        <w:t xml:space="preserve"> Decision-audit review with the pilot persona group; first lessons-learned distribution</w:t>
      </w:r>
    </w:p>
    <w:p>
      <w:pPr>
        <w:pStyle w:val="ListParagraph"/>
        <w:numPr>
          <w:ilvl w:val="0"/>
          <w:numId w:val="1"/>
        </w:numPr>
        <w:spacing w:after="60"/>
      </w:pPr>
      <w:r>
        <w:rPr>
          <w:b/>
          <w:bCs/>
        </w:rPr>
        <w:t xml:space="preserve">T+90 days:</w:t>
      </w:r>
      <w:r>
        <w:t xml:space="preserve"> KPI review with programme sponsor; Wave 2 scope confirmation</w:t>
      </w:r>
    </w:p>
    <w:p>
      <w:pPr>
        <w:pStyle w:val="Heading3"/>
        <w:spacing w:after="120" w:before="260"/>
      </w:pPr>
      <w:r>
        <w:rPr>
          <w:rFonts w:ascii="Aptos" w:cs="Aptos" w:eastAsia="Aptos" w:hAnsi="Aptos"/>
          <w:b/>
          <w:bCs/>
          <w:color w:val="0B111E"/>
          <w:sz w:val="24"/>
          <w:szCs w:val="24"/>
        </w:rPr>
        <w:t xml:space="preserve">14.3 Addressing Resistance</w:t>
      </w:r>
    </w:p>
    <w:p>
      <w:pPr>
        <w:spacing w:after="140"/>
      </w:pPr>
      <w:r>
        <w:t xml:space="preserve">Resistance is predictable and should be planned for. In order of frequency:</w:t>
      </w:r>
    </w:p>
    <w:p>
      <w:pPr>
        <w:pStyle w:val="ListParagraph"/>
        <w:numPr>
          <w:ilvl w:val="0"/>
          <w:numId w:val="1"/>
        </w:numPr>
        <w:spacing w:after="60"/>
      </w:pPr>
      <w:r>
        <w:rPr>
          <w:b/>
          <w:bCs/>
        </w:rPr>
        <w:t xml:space="preserve">"I don't trust the AI"</w:t>
      </w:r>
      <w:r>
        <w:t xml:space="preserve"> — address by showing the decision audit; invite them to review any case where they disagree</w:t>
      </w:r>
    </w:p>
    <w:p>
      <w:pPr>
        <w:pStyle w:val="ListParagraph"/>
        <w:numPr>
          <w:ilvl w:val="0"/>
          <w:numId w:val="1"/>
        </w:numPr>
        <w:spacing w:after="60"/>
      </w:pPr>
      <w:r>
        <w:rPr>
          <w:b/>
          <w:bCs/>
        </w:rPr>
        <w:t xml:space="preserve">"This will replace me"</w:t>
      </w:r>
      <w:r>
        <w:t xml:space="preserve"> — address by showing the role-transition pattern; have a previous-wave persona tell their story</w:t>
      </w:r>
    </w:p>
    <w:p>
      <w:pPr>
        <w:pStyle w:val="ListParagraph"/>
        <w:numPr>
          <w:ilvl w:val="0"/>
          <w:numId w:val="1"/>
        </w:numPr>
        <w:spacing w:after="60"/>
      </w:pPr>
      <w:r>
        <w:rPr>
          <w:b/>
          <w:bCs/>
        </w:rPr>
        <w:t xml:space="preserve">"We tried this before"</w:t>
      </w:r>
      <w:r>
        <w:t xml:space="preserve"> — address by naming the prior failure modes explicitly and showing how APEX is different</w:t>
      </w:r>
    </w:p>
    <w:p>
      <w:pPr>
        <w:pStyle w:val="ListParagraph"/>
        <w:numPr>
          <w:ilvl w:val="0"/>
          <w:numId w:val="1"/>
        </w:numPr>
        <w:spacing w:after="60"/>
      </w:pPr>
      <w:r>
        <w:rPr>
          <w:b/>
          <w:bCs/>
        </w:rPr>
        <w:t xml:space="preserve">"Compliance will never approve this"</w:t>
      </w:r>
      <w:r>
        <w:t xml:space="preserve"> — address by bringing Compliance into the ARB from day one; early wins with Compliance are worth a dozen presentations later</w:t>
      </w:r>
    </w:p>
    <w:p>
      <w:pPr>
        <w:pStyle w:val="Heading2"/>
        <w:spacing w:after="140" w:before="300"/>
      </w:pPr>
      <w:r>
        <w:rPr>
          <w:rFonts w:ascii="Aptos Display" w:cs="Aptos Display" w:eastAsia="Aptos Display" w:hAnsi="Aptos Display"/>
          <w:b/>
          <w:bCs/>
          <w:color w:val="0B111E"/>
          <w:sz w:val="30"/>
          <w:szCs w:val="30"/>
        </w:rPr>
        <w:t xml:space="preserve">Chapter 17A: Commercial Model</w:t>
      </w:r>
    </w:p>
    <w:p>
      <w:pPr>
        <w:spacing w:after="140"/>
      </w:pPr>
      <w:r>
        <w:t xml:space="preserve">APEX's commercial structure is designed to align vendor and client incentives: the vendor only succeeds when the client's KPIs move.</w:t>
      </w:r>
    </w:p>
    <w:p>
      <w:pPr>
        <w:pStyle w:val="Heading3"/>
        <w:spacing w:after="120" w:before="260"/>
      </w:pPr>
      <w:r>
        <w:rPr>
          <w:rFonts w:ascii="Aptos" w:cs="Aptos" w:eastAsia="Aptos" w:hAnsi="Aptos"/>
          <w:b/>
          <w:bCs/>
          <w:color w:val="0B111E"/>
          <w:sz w:val="24"/>
          <w:szCs w:val="24"/>
        </w:rPr>
        <w:t xml:space="preserve">17A.1 Subscription Structure</w:t>
      </w:r>
    </w:p>
    <w:p>
      <w:pPr>
        <w:spacing w:after="140"/>
      </w:pPr>
      <w:r>
        <w:t xml:space="preserve">Each service is priced on a two-part model:</w:t>
      </w:r>
    </w:p>
    <w:p>
      <w:pPr>
        <w:pStyle w:val="ListParagraph"/>
        <w:numPr>
          <w:ilvl w:val="0"/>
          <w:numId w:val="1"/>
        </w:numPr>
        <w:spacing w:after="60"/>
      </w:pPr>
      <w:r>
        <w:rPr>
          <w:b/>
          <w:bCs/>
        </w:rPr>
        <w:t xml:space="preserve">Base fee</w:t>
      </w:r>
      <w:r>
        <w:t xml:space="preserve"> — per-entity-year (per-store, per-bed, per-meter, per-line, per-plant, per-site). Predictable. Covers the steady-state operation of the service.</w:t>
      </w:r>
    </w:p>
    <w:p>
      <w:pPr>
        <w:pStyle w:val="ListParagraph"/>
        <w:numPr>
          <w:ilvl w:val="0"/>
          <w:numId w:val="1"/>
        </w:numPr>
        <w:spacing w:after="60"/>
      </w:pPr>
      <w:r>
        <w:rPr>
          <w:b/>
          <w:bCs/>
        </w:rPr>
        <w:t xml:space="preserve">Usage fee</w:t>
      </w:r>
      <w:r>
        <w:t xml:space="preserve"> — per-invocation, per-excursion, per-decision, or per-customer-contact depending on service. Scales with actual value delivered.</w:t>
      </w:r>
    </w:p>
    <w:p>
      <w:pPr>
        <w:pStyle w:val="Heading3"/>
        <w:spacing w:after="120" w:before="260"/>
      </w:pPr>
      <w:r>
        <w:rPr>
          <w:rFonts w:ascii="Aptos" w:cs="Aptos" w:eastAsia="Aptos" w:hAnsi="Aptos"/>
          <w:b/>
          <w:bCs/>
          <w:color w:val="0B111E"/>
          <w:sz w:val="24"/>
          <w:szCs w:val="24"/>
        </w:rPr>
        <w:t xml:space="preserve">17A.2 Tier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Essentials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service artifacts; documented runbooks; 9×5 portal support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9×5, portal, 2 business-day P1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Mid-market, pilot, single-tenant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Essentials + shared CSM + Teams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24×5, 4-hour P1 SLA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Multi-tenant, multi-service clients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dedicated TAM + custom SLAs + quarterly business reviews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24×7, 1-hour P1 SLA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Strategic accounts, &gt;5 tenants, &gt;10 services</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17A.3 Volume Tiers</w:t>
      </w:r>
    </w:p>
    <w:p>
      <w:pPr>
        <w:spacing w:after="140"/>
      </w:pPr>
      <w:r>
        <w:t xml:space="preserve">Standard volume discounts apply at 10, 50, 250, 1000 entities on the base fee. Clients at enterprise scale (10,000+ units) negotiate custom tiers.</w:t>
      </w:r>
    </w:p>
    <w:p>
      <w:pPr>
        <w:pStyle w:val="Heading3"/>
        <w:spacing w:after="120" w:before="260"/>
      </w:pPr>
      <w:r>
        <w:rPr>
          <w:rFonts w:ascii="Aptos" w:cs="Aptos" w:eastAsia="Aptos" w:hAnsi="Aptos"/>
          <w:b/>
          <w:bCs/>
          <w:color w:val="0B111E"/>
          <w:sz w:val="24"/>
          <w:szCs w:val="24"/>
        </w:rPr>
        <w:t xml:space="preserve">17A.4 Minimum Terms</w:t>
      </w:r>
    </w:p>
    <w:p>
      <w:pPr>
        <w:pStyle w:val="ListParagraph"/>
        <w:numPr>
          <w:ilvl w:val="0"/>
          <w:numId w:val="1"/>
        </w:numPr>
        <w:spacing w:after="60"/>
      </w:pPr>
      <w:r>
        <w:rPr>
          <w:b/>
          <w:bCs/>
        </w:rPr>
        <w:t xml:space="preserve">Essentials</w:t>
      </w:r>
      <w:r>
        <w:t xml:space="preserve"> — annual</w:t>
      </w:r>
    </w:p>
    <w:p>
      <w:pPr>
        <w:pStyle w:val="ListParagraph"/>
        <w:numPr>
          <w:ilvl w:val="0"/>
          <w:numId w:val="1"/>
        </w:numPr>
        <w:spacing w:after="60"/>
      </w:pPr>
      <w:r>
        <w:rPr>
          <w:b/>
          <w:bCs/>
        </w:rPr>
        <w:t xml:space="preserve">Pro</w:t>
      </w:r>
      <w:r>
        <w:t xml:space="preserve"> — annual (2-year standard)</w:t>
      </w:r>
    </w:p>
    <w:p>
      <w:pPr>
        <w:pStyle w:val="ListParagraph"/>
        <w:numPr>
          <w:ilvl w:val="0"/>
          <w:numId w:val="1"/>
        </w:numPr>
        <w:spacing w:after="60"/>
      </w:pPr>
      <w:r>
        <w:rPr>
          <w:b/>
          <w:bCs/>
        </w:rPr>
        <w:t xml:space="preserve">Enterprise</w:t>
      </w:r>
      <w:r>
        <w:t xml:space="preserve"> — 3-year standard, with annual review points and right-to-adjust on service mix</w:t>
      </w:r>
    </w:p>
    <w:p>
      <w:pPr>
        <w:pStyle w:val="Heading3"/>
        <w:spacing w:after="120" w:before="260"/>
      </w:pPr>
      <w:r>
        <w:rPr>
          <w:rFonts w:ascii="Aptos" w:cs="Aptos" w:eastAsia="Aptos" w:hAnsi="Aptos"/>
          <w:b/>
          <w:bCs/>
          <w:color w:val="0B111E"/>
          <w:sz w:val="24"/>
          <w:szCs w:val="24"/>
        </w:rPr>
        <w:t xml:space="preserve">17A.5 SLA Credits</w:t>
      </w:r>
    </w:p>
    <w:p>
      <w:pPr>
        <w:spacing w:after="140"/>
      </w:pPr>
      <w:r>
        <w:t xml:space="preserve">Service SLO misses trigger SLA credits on a published schedule:</w:t>
      </w:r>
    </w:p>
    <w:p>
      <w:pPr>
        <w:pStyle w:val="ListParagraph"/>
        <w:numPr>
          <w:ilvl w:val="0"/>
          <w:numId w:val="1"/>
        </w:numPr>
        <w:spacing w:after="60"/>
      </w:pPr>
      <w:r>
        <w:t xml:space="preserve">99.0% availability miss → 10% of monthly fee credited</w:t>
      </w:r>
    </w:p>
    <w:p>
      <w:pPr>
        <w:pStyle w:val="ListParagraph"/>
        <w:numPr>
          <w:ilvl w:val="0"/>
          <w:numId w:val="1"/>
        </w:numPr>
        <w:spacing w:after="60"/>
      </w:pPr>
      <w:r>
        <w:t xml:space="preserve">99.5% availability miss → 15%</w:t>
      </w:r>
    </w:p>
    <w:p>
      <w:pPr>
        <w:pStyle w:val="ListParagraph"/>
        <w:numPr>
          <w:ilvl w:val="0"/>
          <w:numId w:val="1"/>
        </w:numPr>
        <w:spacing w:after="60"/>
      </w:pPr>
      <w:r>
        <w:t xml:space="preserve">99.9% availability miss → 25%</w:t>
      </w:r>
    </w:p>
    <w:p>
      <w:pPr>
        <w:pStyle w:val="ListParagraph"/>
        <w:numPr>
          <w:ilvl w:val="0"/>
          <w:numId w:val="1"/>
        </w:numPr>
        <w:spacing w:after="60"/>
      </w:pPr>
      <w:r>
        <w:t xml:space="preserve">P95 decision-latency miss by &gt; 25% → 10% credit</w:t>
      </w:r>
    </w:p>
    <w:p>
      <w:pPr>
        <w:pStyle w:val="ListParagraph"/>
        <w:numPr>
          <w:ilvl w:val="0"/>
          <w:numId w:val="1"/>
        </w:numPr>
        <w:spacing w:after="60"/>
      </w:pPr>
      <w:r>
        <w:t xml:space="preserve">Multiple concurrent SLO misses → capped at 50% of monthly</w:t>
      </w:r>
    </w:p>
    <w:p>
      <w:pPr>
        <w:spacing w:after="140"/>
      </w:pPr>
      <w:r>
        <w:t xml:space="preserve">Credits are automatic based on the observability workbook, not claim-based. This is a deliberately strong commitment because the platform's value depends on its reliability.</w:t>
      </w:r>
    </w:p>
    <w:p>
      <w:pPr>
        <w:pStyle w:val="Heading3"/>
        <w:spacing w:after="120" w:before="260"/>
      </w:pPr>
      <w:r>
        <w:rPr>
          <w:rFonts w:ascii="Aptos" w:cs="Aptos" w:eastAsia="Aptos" w:hAnsi="Aptos"/>
          <w:b/>
          <w:bCs/>
          <w:color w:val="0B111E"/>
          <w:sz w:val="24"/>
          <w:szCs w:val="24"/>
        </w:rPr>
        <w:t xml:space="preserve">17A.6 Partnership Economics</w:t>
      </w:r>
    </w:p>
    <w:p>
      <w:pPr>
        <w:spacing w:after="140"/>
      </w:pPr>
      <w:r>
        <w:t xml:space="preserve">APEX is delivered as a Deloitte-Microsoft joint offering. Revenue attribution, Microsoft consumption credits, and Deloitte services-attach are structured to drive both partners' GTM teams toward the same sell. Microsoft's Industry Solutions teams have named executive co-selling authority on APEX engagements.</w:t>
      </w:r>
    </w:p>
    <w:p>
      <w:pPr>
        <w:pStyle w:val="Heading3"/>
        <w:spacing w:after="120" w:before="260"/>
      </w:pPr>
      <w:r>
        <w:rPr>
          <w:rFonts w:ascii="Aptos" w:cs="Aptos" w:eastAsia="Aptos" w:hAnsi="Aptos"/>
          <w:b/>
          <w:bCs/>
          <w:color w:val="0B111E"/>
          <w:sz w:val="24"/>
          <w:szCs w:val="24"/>
        </w:rPr>
        <w:t xml:space="preserve">17A.7 Value-Based Upside</w:t>
      </w:r>
    </w:p>
    <w:p>
      <w:pPr>
        <w:spacing w:after="140"/>
      </w:pPr>
      <w:r>
        <w:t xml:space="preserve">For select services (RVC-03 Denial Recovery, SHK-07 Shrink, ICE-WCP-03 Warranty Pattern), the commercial model allows a value-share option: lower base fee in exchange for a percentage of measurable benefit captured. The audit-row-based value attribution makes this viable operationally; clients who opt for value-share typically align faster internally because the vendor is a direct beneficiary of the programme's success.</w:t>
      </w:r>
    </w:p>
    <w:p>
      <w:pPr>
        <w:pStyle w:val="Heading2"/>
        <w:spacing w:after="140" w:before="300"/>
      </w:pPr>
      <w:r>
        <w:rPr>
          <w:rFonts w:ascii="Aptos Display" w:cs="Aptos Display" w:eastAsia="Aptos Display" w:hAnsi="Aptos Display"/>
          <w:b/>
          <w:bCs/>
          <w:color w:val="0B111E"/>
          <w:sz w:val="30"/>
          <w:szCs w:val="30"/>
        </w:rPr>
        <w:t xml:space="preserve">Chapter 17B: Entity Priority &amp; Build Sequencing</w:t>
      </w:r>
    </w:p>
    <w:p>
      <w:pPr>
        <w:spacing w:after="140"/>
      </w:pPr>
      <w:r>
        <w:t xml:space="preserve">APEX's schema catalogue has </w:t>
      </w:r>
      <w:r>
        <w:rPr>
          <w:b/>
          <w:bCs/>
        </w:rPr>
        <w:t xml:space="preserve">112 canonical entities</w:t>
      </w:r>
      <w:r>
        <w:t xml:space="preserve"> across six GA schema families (SCML, MERML, CXML, HLSCML, ERCML, AXLECML) and three preview families (TMTML, THML, ICEML). Delivery teams who try to land all of them in Wave 1 fail. Delivery teams who land the right 4–8 entities per Practice in Wave 1 succeed. This chapter is the deep-dive on which entities to land first, and why.</w:t>
      </w:r>
    </w:p>
    <w:p>
      <w:pPr>
        <w:spacing w:after="140"/>
      </w:pPr>
      <w:r>
        <w:t xml:space="preserve">The priority guidance here is the single most-consulted operational chapter of the APEX reference after a kickoff workshop. It is also the chapter most-revised between Core editions because the priority calculus evolves as Practices mature and as service demand shifts.</w:t>
      </w:r>
    </w:p>
    <w:p>
      <w:pPr>
        <w:pStyle w:val="Heading3"/>
        <w:spacing w:after="120" w:before="260"/>
      </w:pPr>
      <w:r>
        <w:rPr>
          <w:rFonts w:ascii="Aptos" w:cs="Aptos" w:eastAsia="Aptos" w:hAnsi="Aptos"/>
          <w:b/>
          <w:bCs/>
          <w:color w:val="0B111E"/>
          <w:sz w:val="24"/>
          <w:szCs w:val="24"/>
        </w:rPr>
        <w:t xml:space="preserve">17B.1 Why Entity Priority Matters</w:t>
      </w:r>
    </w:p>
    <w:p>
      <w:pPr>
        <w:spacing w:after="140"/>
      </w:pPr>
      <w:r>
        <w:t xml:space="preserve">Entities are the atomic unit of build effort in APEX. Each entity carries cost in five dimensions:</w:t>
      </w:r>
    </w:p>
    <w:p>
      <w:pPr>
        <w:spacing w:after="140"/>
      </w:pPr>
      <w:r>
        <w:t xml:space="preserve">1. </w:t>
      </w:r>
      <w:r>
        <w:rPr>
          <w:b/>
          <w:bCs/>
        </w:rPr>
        <w:t xml:space="preserve">SOR integration cost.</w:t>
      </w:r>
      <w:r>
        <w:t xml:space="preserve"> A Bronze ingest path must exist (Eventstream / Mirrored Database / Data Pipeline / Dataflow Gen2) and be tested, monitored, and SLO-committed. 2. </w:t>
      </w:r>
      <w:r>
        <w:rPr>
          <w:b/>
          <w:bCs/>
        </w:rPr>
        <w:t xml:space="preserve">Silver transform cost.</w:t>
      </w:r>
      <w:r>
        <w:t xml:space="preserve"> A PySpark notebook (or equivalent) must canonicalise the SOR payload into the entity's envelope-compliant shape, tokenising any PII at the boundary. 3. </w:t>
      </w:r>
      <w:r>
        <w:rPr>
          <w:b/>
          <w:bCs/>
        </w:rPr>
        <w:t xml:space="preserve">Gold view cost.</w:t>
      </w:r>
      <w:r>
        <w:t xml:space="preserve"> A materialised view with agent-latency-appropriate structure must be defined, refresh-scheduled, and tuned. 4. </w:t>
      </w:r>
      <w:r>
        <w:rPr>
          <w:b/>
          <w:bCs/>
        </w:rPr>
        <w:t xml:space="preserve">MCP tool exposure cost.</w:t>
      </w:r>
      <w:r>
        <w:t xml:space="preserve"> At least one MCP tool must expose the entity's Gold view to agents with a typed contract. 5. </w:t>
      </w:r>
      <w:r>
        <w:rPr>
          <w:b/>
          <w:bCs/>
        </w:rPr>
        <w:t xml:space="preserve">Observability cost.</w:t>
      </w:r>
      <w:r>
        <w:t xml:space="preserve"> Every layer (Bronze → Silver → Gold → tool) must emit SLO-relevant telemetry and be panel-represented in the Azure Monitor workbook.</w:t>
      </w:r>
    </w:p>
    <w:p>
      <w:pPr>
        <w:spacing w:after="140"/>
      </w:pPr>
      <w:r>
        <w:t xml:space="preserve">A single entity end-to-end is typically </w:t>
      </w:r>
      <w:r>
        <w:rPr>
          <w:b/>
          <w:bCs/>
        </w:rPr>
        <w:t xml:space="preserve">2–4 weeks of elapsed time</w:t>
      </w:r>
      <w:r>
        <w:t xml:space="preserve"> for an experienced APEX delivery team once the first entity in a Practice has been landed (the first entity in a Practice carries additional overhead — identity groups, reference tables, tokeniser wiring — amortised across all subsequent entities).</w:t>
      </w:r>
    </w:p>
    <w:p>
      <w:pPr>
        <w:spacing w:after="140"/>
      </w:pPr>
      <w:r>
        <w:rPr>
          <w:b/>
          <w:bCs/>
        </w:rPr>
        <w:t xml:space="preserve">Multiply this by 18 entities in HLSCML and the math is clear: you cannot land a full Practice catalogue in Wave 1. You must pick.</w:t>
      </w:r>
    </w:p>
    <w:p>
      <w:pPr>
        <w:pStyle w:val="Heading3"/>
        <w:spacing w:after="120" w:before="260"/>
      </w:pPr>
      <w:r>
        <w:rPr>
          <w:rFonts w:ascii="Aptos" w:cs="Aptos" w:eastAsia="Aptos" w:hAnsi="Aptos"/>
          <w:b/>
          <w:bCs/>
          <w:color w:val="0B111E"/>
          <w:sz w:val="24"/>
          <w:szCs w:val="24"/>
        </w:rPr>
        <w:t xml:space="preserve">17B.2 The Prioritization Framework</w:t>
      </w:r>
    </w:p>
    <w:p>
      <w:pPr>
        <w:spacing w:after="140"/>
      </w:pPr>
      <w:r>
        <w:t xml:space="preserve">APEX's prioritization framework scores each entity on six dimensions, each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 dependency count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How many Wave-1 services require this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Entity anchors 3+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Tier weight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Is this entity needed for Essentials/Pro/Enterprise-tier services?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Enterprise-tier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SOR availability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Is the SOR data accessible with acceptable latency?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 already integrated or trivial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Decision-latency demand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Does a downstream service have sub-minute SLOs?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Sub-30-second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PII / regulatory sensitivity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Does the entity require tokenisation or special compliance?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HIPAA / PHI / 21 CFR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Cross-practice reuse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Is the entity shared with other Practices?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with 2+ Practices</w:t>
            </w:r>
          </w:p>
        </w:tc>
      </w:tr>
    </w:tbl>
    <w:p>
      <w:pPr>
        <w:spacing w:after="120"/>
      </w:pPr>
      <w:r>
        <w:t xml:space="preserve"/>
      </w:r>
    </w:p>
    <w:p>
      <w:pPr>
        <w:spacing w:after="140"/>
      </w:pPr>
      <w:r>
        <w:t xml:space="preserve">Total score = sum of the six dimensions, range 6–30. Scoring buckets:</w:t>
      </w:r>
    </w:p>
    <w:p>
      <w:pPr>
        <w:pStyle w:val="ListParagraph"/>
        <w:numPr>
          <w:ilvl w:val="0"/>
          <w:numId w:val="1"/>
        </w:numPr>
        <w:spacing w:after="60"/>
      </w:pPr>
      <w:r>
        <w:rPr>
          <w:b/>
          <w:bCs/>
        </w:rPr>
        <w:t xml:space="preserve">Score 24–30</w:t>
      </w:r>
      <w:r>
        <w:t xml:space="preserve"> → </w:t>
      </w:r>
      <w:r>
        <w:rPr>
          <w:b/>
          <w:bCs/>
        </w:rPr>
        <w:t xml:space="preserve">Wave 1 (must-have)</w:t>
      </w:r>
      <w:r>
        <w:t xml:space="preserve"> — cannot ship the Practice's Wave 1 services without these</w:t>
      </w:r>
    </w:p>
    <w:p>
      <w:pPr>
        <w:pStyle w:val="ListParagraph"/>
        <w:numPr>
          <w:ilvl w:val="0"/>
          <w:numId w:val="1"/>
        </w:numPr>
        <w:spacing w:after="60"/>
      </w:pPr>
      <w:r>
        <w:rPr>
          <w:b/>
          <w:bCs/>
        </w:rPr>
        <w:t xml:space="preserve">Score 18–23</w:t>
      </w:r>
      <w:r>
        <w:t xml:space="preserve"> → </w:t>
      </w:r>
      <w:r>
        <w:rPr>
          <w:b/>
          <w:bCs/>
        </w:rPr>
        <w:t xml:space="preserve">Wave 2 (should-have)</w:t>
      </w:r>
      <w:r>
        <w:t xml:space="preserve"> — required for the full Practice catalogue</w:t>
      </w:r>
    </w:p>
    <w:p>
      <w:pPr>
        <w:pStyle w:val="ListParagraph"/>
        <w:numPr>
          <w:ilvl w:val="0"/>
          <w:numId w:val="1"/>
        </w:numPr>
        <w:spacing w:after="60"/>
      </w:pPr>
      <w:r>
        <w:rPr>
          <w:b/>
          <w:bCs/>
        </w:rPr>
        <w:t xml:space="preserve">Score 12–17</w:t>
      </w:r>
      <w:r>
        <w:t xml:space="preserve"> → </w:t>
      </w:r>
      <w:r>
        <w:rPr>
          <w:b/>
          <w:bCs/>
        </w:rPr>
        <w:t xml:space="preserve">Wave 3 (optional)</w:t>
      </w:r>
      <w:r>
        <w:t xml:space="preserve"> — optimisation and expansion</w:t>
      </w:r>
    </w:p>
    <w:p>
      <w:pPr>
        <w:pStyle w:val="ListParagraph"/>
        <w:numPr>
          <w:ilvl w:val="0"/>
          <w:numId w:val="1"/>
        </w:numPr>
        <w:spacing w:after="60"/>
      </w:pPr>
      <w:r>
        <w:rPr>
          <w:b/>
          <w:bCs/>
        </w:rPr>
        <w:t xml:space="preserve">Score &lt; 12</w:t>
      </w:r>
      <w:r>
        <w:t xml:space="preserve"> → </w:t>
      </w:r>
      <w:r>
        <w:rPr>
          <w:b/>
          <w:bCs/>
        </w:rPr>
        <w:t xml:space="preserve">Deferred</w:t>
      </w:r>
      <w:r>
        <w:t xml:space="preserve"> — not needed until demand materialises</w:t>
      </w:r>
    </w:p>
    <w:p>
      <w:pPr>
        <w:spacing w:after="140"/>
      </w:pPr>
      <w:r>
        <w:t xml:space="preserve">This is a deliberately mechanical framework. It removes the "let's land them all because completeness" instinct that kills timelines.</w:t>
      </w:r>
    </w:p>
    <w:p>
      <w:pPr>
        <w:pStyle w:val="Heading3"/>
        <w:spacing w:after="120" w:before="260"/>
      </w:pPr>
      <w:r>
        <w:rPr>
          <w:rFonts w:ascii="Aptos" w:cs="Aptos" w:eastAsia="Aptos" w:hAnsi="Aptos"/>
          <w:b/>
          <w:bCs/>
          <w:color w:val="0B111E"/>
          <w:sz w:val="24"/>
          <w:szCs w:val="24"/>
        </w:rPr>
        <w:t xml:space="preserve">17B.3 Universal Foundation Entities (All Practices)</w:t>
      </w:r>
    </w:p>
    <w:p>
      <w:pPr>
        <w:spacing w:after="140"/>
      </w:pPr>
      <w:r>
        <w:t xml:space="preserve">Before any Practice-specific entity lands, every APEX deployment needs the foundational entities. These are built once per tenant and shared across every Practice the tenant subscribes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silver_decision_audit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Append-only decision audit log; customer-managed keys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1–2 of Wave 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silver_ledger_staging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Staging for write-backs via </w:t>
            </w:r>
            <w:r>
              <w:rPr>
                <w:rFonts w:ascii="Cascadia Mono" w:cs="Cascadia Mono" w:eastAsia="Cascadia Mono" w:hAnsi="Cascadia Mono"/>
                <w:color w:val="2B2B2B"/>
                <w:sz w:val="18"/>
                <w:szCs w:val="18"/>
              </w:rPr>
              <w:t xml:space="preserve">ledger-mcp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3–4 of Wave 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apex_drift_log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Drift-detection log (tenant divergence from pinned 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4 of Wave 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apex_audit_log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Security-adjacent audit events (reverse-tokenise, PII unlock)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1–2 of Wave 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consent_flag_registry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Per-customer consent state (any Practice with tokenised customers)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4–6 of Wave 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ref_practice_registry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Pinned-version reference for the tenant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1 of Wave 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master (store / patient / meter / plant / asset / etc.)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SCD2 dimension table for the primary entity identifier of the 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Week 2–3 of Wave 1</w:t>
            </w:r>
          </w:p>
        </w:tc>
      </w:tr>
    </w:tbl>
    <w:p>
      <w:pPr>
        <w:spacing w:after="120"/>
      </w:pPr>
      <w:r>
        <w:t xml:space="preserve"/>
      </w:r>
    </w:p>
    <w:p>
      <w:pPr>
        <w:spacing w:after="140"/>
      </w:pPr>
      <w:r>
        <w:t xml:space="preserve">Foundation entities are </w:t>
      </w:r>
      <w:r>
        <w:rPr>
          <w:b/>
          <w:bCs/>
        </w:rPr>
        <w:t xml:space="preserve">never</w:t>
      </w:r>
      <w:r>
        <w:t xml:space="preserve"> deferred. They are what makes every downstream service auditable, governable, and rollback-ready. A Wave-1 programme that runs short on budget still ships these.</w:t>
      </w:r>
    </w:p>
    <w:p>
      <w:pPr>
        <w:pStyle w:val="Heading3"/>
        <w:spacing w:after="120" w:before="260"/>
      </w:pPr>
      <w:r>
        <w:rPr>
          <w:rFonts w:ascii="Aptos" w:cs="Aptos" w:eastAsia="Aptos" w:hAnsi="Aptos"/>
          <w:b/>
          <w:bCs/>
          <w:color w:val="0B111E"/>
          <w:sz w:val="24"/>
          <w:szCs w:val="24"/>
        </w:rPr>
        <w:t xml:space="preserve">17B.4 RC Practice Entity Priority</w:t>
      </w:r>
    </w:p>
    <w:p>
      <w:pPr>
        <w:spacing w:after="140"/>
      </w:pPr>
      <w:r>
        <w:t xml:space="preserve">The RC Practice has 27 entities across SCML, MERML, and CXML. Wave-1 guidance for a typical RC engagement (Cold Chain + Receiving Variance as the first two services):</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SCML.COLD_CHAIN_TELEMETRY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CXP-01; sub-minute SLO; Monnit SOR already common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SCML.TEMPERATURE_EXCURSION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Derived from telemetry; required for disposition classifier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MERML.STORE_INVENTORY_POSITION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across CXP-01, RVD-02, OSA-04; anchors inventory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SCML.ASN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RVD-02; EDI-856 integration well-understood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SCML.STORE_RECEIVING_EVENT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receiving-variance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SCML.RECEIVING_DISCREPANCY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Derived entity; ships alongside STORE_RECEIVING_EVENT</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MERML.PRICE_RECORD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MERML.PRICE_TAG_STATUS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MERML.PROMOTION_ACTIVATION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MERML.OSA_EVENT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CXML.FULFILLMENT_ORDER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CXML.PICK_EXCEPTION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CXML.SUBSTITUTION_EVENT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CXML.LOYALTY_STATE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 RCL-05, CXI-08</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SCML.DSD_INVOICE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RVD-02 vendor-pattern detection (retrofit after Wave 1 proof)</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SCML.RECALL_NOTICE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RCL-05 (Enterprise tier; not all tenants)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SCML.LOT_TRACE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RCL-05, CXI-08</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MERML.POS_VOID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SHK-07 (Enterprise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MERML.SHRINK_EVENT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SHK-07</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MERML.CYCLE_COUNT_VARIANCE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SHK-07</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MERML.MARKDOWN_EVENT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Optimization; not anchor for any 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MERML.WASTE_EVENT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Reporting-only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CXML.CUSTOMER_INCIDENT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CXI-08</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17B.5 HLS Practice Entity Priority</w:t>
      </w:r>
    </w:p>
    <w:p>
      <w:pPr>
        <w:spacing w:after="140"/>
      </w:pPr>
      <w:r>
        <w:t xml:space="preserve">HLS carries 18 HLSCML entities plus a pharmacy-supply subset of SCML. PHI tokenisation adds about 30% to the per-entity build cost, making priority discipline even more important here.</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HLSCML.PATIENT_ENCOUNTER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DSR-01, SEP-02, CTM-05, PSI-06. The hardest Wave-1 entity; Epic integration is the critical path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HLSCML.VITALS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SEP-02; FHIR real-time integration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HLSCML.LAB_RESULT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SEP-02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HLSCML.CARE_PLAN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DSR-01 discharge prediction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HLSCML.CLAIM_DENIAL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RVC-03 (different SOR path — X12 feeds)</w:t>
            </w:r>
          </w:p>
        </w:tc>
      </w:tr>
    </w:tbl>
    <w:p>
      <w:pPr>
        <w:spacing w:after="120"/>
      </w:pPr>
      <w:r>
        <w:t xml:space="preserve"/>
      </w:r>
    </w:p>
    <w:p>
      <w:pPr>
        <w:spacing w:after="140"/>
      </w:pPr>
      <w:r>
        <w:t xml:space="preserve">Note: a common HLS Wave-1 pattern lands </w:t>
      </w:r>
      <w:r>
        <w:rPr>
          <w:rFonts w:ascii="Cascadia Mono" w:cs="Cascadia Mono" w:eastAsia="Cascadia Mono" w:hAnsi="Cascadia Mono"/>
          <w:color w:val="2B2B2B"/>
          <w:sz w:val="18"/>
          <w:szCs w:val="18"/>
        </w:rPr>
        <w:t xml:space="preserve">PATIENT_ENCOUNTER</w:t>
      </w:r>
      <w:r>
        <w:t xml:space="preserve"> + </w:t>
      </w:r>
      <w:r>
        <w:rPr>
          <w:rFonts w:ascii="Cascadia Mono" w:cs="Cascadia Mono" w:eastAsia="Cascadia Mono" w:hAnsi="Cascadia Mono"/>
          <w:color w:val="2B2B2B"/>
          <w:sz w:val="18"/>
          <w:szCs w:val="18"/>
        </w:rPr>
        <w:t xml:space="preserve">CARE_PLAN</w:t>
      </w:r>
      <w:r>
        <w:t xml:space="preserve"> for DSR-01 first, </w:t>
      </w:r>
      <w:r>
        <w:rPr>
          <w:b/>
          <w:bCs/>
        </w:rPr>
        <w:t xml:space="preserve">then</w:t>
      </w:r>
      <w:r>
        <w:t xml:space="preserve"> adds </w:t>
      </w:r>
      <w:r>
        <w:rPr>
          <w:rFonts w:ascii="Cascadia Mono" w:cs="Cascadia Mono" w:eastAsia="Cascadia Mono" w:hAnsi="Cascadia Mono"/>
          <w:color w:val="2B2B2B"/>
          <w:sz w:val="18"/>
          <w:szCs w:val="18"/>
        </w:rPr>
        <w:t xml:space="preserve">VITALS</w:t>
      </w:r>
      <w:r>
        <w:t xml:space="preserve"> + </w:t>
      </w:r>
      <w:r>
        <w:rPr>
          <w:rFonts w:ascii="Cascadia Mono" w:cs="Cascadia Mono" w:eastAsia="Cascadia Mono" w:hAnsi="Cascadia Mono"/>
          <w:color w:val="2B2B2B"/>
          <w:sz w:val="18"/>
          <w:szCs w:val="18"/>
        </w:rPr>
        <w:t xml:space="preserve">LAB_RESULT</w:t>
      </w:r>
      <w:r>
        <w:t xml:space="preserve"> in Wave 1.5 as SEP-02 is piloted. DSR-01 ships at week 18–20; SEP-02 at week 24–26.</w:t>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HLSCML.CLINICAL_OBSERVATION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DSR-01 enrichment; cross-service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HLSCML.CODING_RECORD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SCML.LOT_EXPIRATION_STATE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 (pharmacy subset)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SCML.RECALL_NOTICE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SCML (pharmacy subset)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SUP-04 recall intersection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HLSCML.PATIENT_SAFETY_EVENT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PSI-06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HLSCML.INCIDENT_CLASSIFICATION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PSI-06</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HLSCML.TRIAL_PROTOCOL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CTM-05 (not every health system runs trials)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HLSCML.ELIGIBILITY_CRITERIA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CTM-05</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17B.6 ER Practice Entity Priority</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ERCML.METER_READING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MTR-01; high-volume 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ERCML.BILLING_EXCEPTION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BIL-03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ERCML.OUTAGE_EVENT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MTR-01 dispatch logic</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ERCML.WORK_ORDER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ERCML.CREW_STATE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ERCML.ASSET_HEALTH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FWO-04; cross-Practice with AXLECML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ERCML.SCADA_TELEMETRY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GRD-02 (wait to Wave 2 unless client requires early grid focus)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ERCML.GRID_ANOMALY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ERCML.CUSTOMER_SERVICE_STATE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GRD-02 customer-impact math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ERCML.RATE_SCHEDULE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BIL-03</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ERCML.REGULATORY_EVENT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REG-05 (Enterprise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ERCML.RELIABILITY_METRIC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REG-05</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17B.7 AXLE Practice Entity Priority</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AXLECML.PRODUCTION_EVENT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LDT-01, KPI-05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AXLECML.ASSET_HEALTH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LDT-01; shared with ERCML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AXLECML.KPI_SNAPSHOT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KPI-05</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AXLECML.QUALITY_EXCURSION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QEX-02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AXLECML.GENEALOGY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QEX-02, RCL-04; shared with 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AXLECML.MATERIAL_FLOW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LDT-01 enrichment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AXLECML.PRODUCT_LOT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QEX-02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AXLECML.SUPPLIER_EVENT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AXLECML.PURCHASE_ORDER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AXLECML.INVENTORY_POSITION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SCD-03</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AXLECML.RECALL_NOTICE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AXLECML.SHIPMENT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AXLECML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RCL-04 forward trace</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17B.8 TMT Practice Entity Priority (Preview)</w:t>
      </w:r>
    </w:p>
    <w:p>
      <w:pPr>
        <w:spacing w:after="140"/>
      </w:pPr>
      <w:r>
        <w:t xml:space="preserve">TMT entities are in build; priority scores are provisional and will be re-validated at GA.</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TMTML.NETWORK_INCIDENT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NET-01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TMTML.CUSTOMER_SUBSCRIPTION_STATE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CCI-02; cross-service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TMTML.INTERACTION_HISTORY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churn-risk scoring in CCI-02</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TMTML.CHURN_SIGNAL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CCI-02 enrichment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TMTML.SAVE_OFFER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CCI-02 outcome tracking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TMTML.SUBSCRIPTION_EXCEPTION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TMTML.CLOUD_COST_ANOMALY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CCA-05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TMTML.RESOURCE_TELEMETRY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CCA-05</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TMTML.CONTENT_RIGHTS_INCIDENT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CRV-03 (Media sub-variant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TMTML.CONTENT_PIECE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CRV-03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TMTML.AD_IMPRESSION_SUSPECT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ADF-06 (Media sub-variant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TMTML.5G_SLICE_STATE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5GO-07 (Telco sub-variant only)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17B.9 TH Practice Entity Priority (Preview)</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THML.BOOKING_RECORD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OBI-01; cross-service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THML.DISRUPTION_EVENT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DRO-02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THML.HOUSEKEEPING_EXCEPTION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HER-06 — common first-service for hotel pilots</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THML.LOYALTY_GUEST_STATE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LGR-03, DRO-02 rebooking prioritisation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THML.RECOVERY_ACTION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DRO-02 outcome tracking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THML.REVENUE_MANAGEMENT_STATE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RMA-04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THML.INVENTORY_STATE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OBI-01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THML.GUEST_INCIDENT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GIT-05</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THML.RATE_ANOMALY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RMA-04 enrichment</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17B.10 ICE Practice Entity Priority (Preview)</w:t>
      </w:r>
    </w:p>
    <w:p>
      <w:pPr>
        <w:spacing w:after="140"/>
      </w:pPr>
      <w:r>
        <w:t xml:space="preserve">ICE leverages shared entities from AXLECML (ASSET_HEALTH, GENEALOGY) and ERCML (WORK_ORDER-analog). Shared entities carry a scoring boost because they've been built once for another Practice.</w:t>
      </w:r>
    </w:p>
    <w:p>
      <w:pPr>
        <w:pStyle w:val="Heading4"/>
        <w:spacing w:after="100" w:before="220"/>
      </w:pPr>
      <w:r>
        <w:rPr>
          <w:rFonts w:ascii="Aptos" w:cs="Aptos" w:eastAsia="Aptos" w:hAnsi="Aptos"/>
          <w:b/>
          <w:bCs/>
          <w:color w:val="0B111E"/>
          <w:sz w:val="20"/>
          <w:szCs w:val="20"/>
        </w:rPr>
        <w:t xml:space="preserve">Wave 1 (Must-Have)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ICEML.FIELD_INCIDENT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FAF-01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ICEML.PARTS_INVENTORY_POSITION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SPA-02; required by FAF-01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ICEML.TECHNICIAN_STATE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Required for dispatch in FAF-01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ICEML.FIELD_ASSET_DEPLOYMENT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Anchors FAF-01 customer-site attribution</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2 (Should-Have)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ICEML.WARRANTY_CLAIM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WCP-03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ICEML.CONTRACT_RENEWAL_STATE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CRV-04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ICEML.AS_A_SERVICE_UTILIZATION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AAU-05 (required for XaaS clients)</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Wave 3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ICEML.COMPLIANCE_INSPECTION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ICEML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CIR-06 (regulated-equipment clients only)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17B.11 Shared Entities Across Practices</w:t>
      </w:r>
    </w:p>
    <w:p>
      <w:pPr>
        <w:spacing w:after="140"/>
      </w:pPr>
      <w:r>
        <w:t xml:space="preserve">Shared entities are a delivery accelerator: build once in Practice A, reuse (via OneLake shortcut) in Practice B. The shared entities in the APEX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AXLECML.ASSET_HEALTH</w:t>
            </w:r>
            <w:r>
              <w:t xml:space="preserve"> / </w:t>
            </w:r>
            <w:r>
              <w:rPr>
                <w:rFonts w:ascii="Cascadia Mono" w:cs="Cascadia Mono" w:eastAsia="Cascadia Mono" w:hAnsi="Cascadia Mono"/>
                <w:color w:val="2B2B2B"/>
                <w:sz w:val="18"/>
                <w:szCs w:val="18"/>
              </w:rPr>
              <w:t xml:space="preserve">ERCML.ASSET_HEALTH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Unified asset-condition model across industrial equipment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AXLECML.GENEALOGY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 HLS (medical-device lot 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Forward/backward lot tracing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SCML.RECALL_NOTICE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 (pharmacy), AXLE (manufactured goods), ICE (equipment)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recall signal across industries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SCML.LOT_TRACE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 AXLE, 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 genealogy for recall response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CXML.LOYALTY_STATE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 (patient tokens), TMT (subscriber state), TH (loyalty guest)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Tokenised customer state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ERCML.WORK_ORDER</w:t>
            </w:r>
            <w:r>
              <w:t xml:space="preserve"> / </w:t>
            </w:r>
            <w:r>
              <w:rPr>
                <w:rFonts w:ascii="Cascadia Mono" w:cs="Cascadia Mono" w:eastAsia="Cascadia Mono" w:hAnsi="Cascadia Mono"/>
                <w:color w:val="2B2B2B"/>
                <w:sz w:val="18"/>
                <w:szCs w:val="18"/>
              </w:rPr>
              <w:t xml:space="preserve">ICEML.WORK_ORDER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 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(plant maintenance WO)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Shared dispatch/work-order model</w:t>
            </w:r>
          </w:p>
        </w:tc>
      </w:tr>
    </w:tbl>
    <w:p>
      <w:pPr>
        <w:spacing w:after="120"/>
      </w:pPr>
      <w:r>
        <w:t xml:space="preserve"/>
      </w:r>
    </w:p>
    <w:p>
      <w:pPr>
        <w:spacing w:after="140"/>
      </w:pPr>
      <w:r>
        <w:t xml:space="preserve">Shared entities save roughly </w:t>
      </w:r>
      <w:r>
        <w:rPr>
          <w:b/>
          <w:bCs/>
        </w:rPr>
        <w:t xml:space="preserve">40-60% of the second-Practice build effort</w:t>
      </w:r>
      <w:r>
        <w:t xml:space="preserve"> when a client subscribes to multi-Practice. This is the commercial argument for multi-Practice clients — the second Practice is materially cheaper than the first because the shared entities are already built.</w:t>
      </w:r>
    </w:p>
    <w:p>
      <w:pPr>
        <w:pStyle w:val="Heading3"/>
        <w:spacing w:after="120" w:before="260"/>
      </w:pPr>
      <w:r>
        <w:rPr>
          <w:rFonts w:ascii="Aptos" w:cs="Aptos" w:eastAsia="Aptos" w:hAnsi="Aptos"/>
          <w:b/>
          <w:bCs/>
          <w:color w:val="0B111E"/>
          <w:sz w:val="24"/>
          <w:szCs w:val="24"/>
        </w:rPr>
        <w:t xml:space="preserve">17B.12 Entity Dependency Graph</w:t>
      </w:r>
    </w:p>
    <w:p>
      <w:pPr>
        <w:spacing w:after="160" w:before="120"/>
        <w:jc w:val="center"/>
      </w:pPr>
      <w:r>
        <w:drawing>
          <wp:inline distT="0" distB="0" distL="0" distR="0">
            <wp:extent cx="58293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29300" cy="838200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17B.13 Build Sequencing Patterns</w:t>
      </w:r>
    </w:p>
    <w:p>
      <w:pPr>
        <w:spacing w:after="140"/>
      </w:pPr>
      <w:r>
        <w:t xml:space="preserve">Three patterns work in practice; two anti-patterns reliably fail.</w:t>
      </w:r>
    </w:p>
    <w:p>
      <w:pPr>
        <w:pStyle w:val="Heading4"/>
        <w:spacing w:after="100" w:before="220"/>
      </w:pPr>
      <w:r>
        <w:rPr>
          <w:rFonts w:ascii="Aptos" w:cs="Aptos" w:eastAsia="Aptos" w:hAnsi="Aptos"/>
          <w:b/>
          <w:bCs/>
          <w:color w:val="0B111E"/>
          <w:sz w:val="20"/>
          <w:szCs w:val="20"/>
        </w:rPr>
        <w:t xml:space="preserve">The "Foundation-First" Pattern (recommended)</w:t>
      </w:r>
    </w:p>
    <w:p>
      <w:pPr>
        <w:spacing w:after="140"/>
      </w:pPr>
      <w:r>
        <w:t xml:space="preserve">1. Stand up tenant workspace topology (week 1) 2. Land all 7 foundation entities (weeks 1–4) 3. Land the first Practice's Wave-1 anchor entities (weeks 4–12) 4. Ship first 2 services (weeks 12–20) 5. Add Wave-2 entities in parallel with Wave-2 service authoring</w:t>
      </w:r>
    </w:p>
    <w:p>
      <w:pPr>
        <w:spacing w:after="140"/>
      </w:pPr>
      <w:r>
        <w:rPr>
          <w:b/>
          <w:bCs/>
        </w:rPr>
        <w:t xml:space="preserve">Why it works:</w:t>
      </w:r>
      <w:r>
        <w:t xml:space="preserve"> Audit and ledger are in place before the first decision is made; downstream entities benefit from mature patterns; delivery team builds rhythm.</w:t>
      </w:r>
    </w:p>
    <w:p>
      <w:pPr>
        <w:pStyle w:val="Heading4"/>
        <w:spacing w:after="100" w:before="220"/>
      </w:pPr>
      <w:r>
        <w:rPr>
          <w:rFonts w:ascii="Aptos" w:cs="Aptos" w:eastAsia="Aptos" w:hAnsi="Aptos"/>
          <w:b/>
          <w:bCs/>
          <w:color w:val="0B111E"/>
          <w:sz w:val="20"/>
          <w:szCs w:val="20"/>
        </w:rPr>
        <w:t xml:space="preserve">The "Anchor-Service-First" Pattern (acceptable for aggressive timelines)</w:t>
      </w:r>
    </w:p>
    <w:p>
      <w:pPr>
        <w:spacing w:after="140"/>
      </w:pPr>
      <w:r>
        <w:t xml:space="preserve">1. Stand up tenant workspace topology (week 1) 2. Identify the single most-valuable service for the client 3. Land only the foundation entities and the entities that specific service needs (weeks 1–8) 4. Ship that one service (weeks 8–14) 5. Expand entity catalogue based on proven Wave-1 value</w:t>
      </w:r>
    </w:p>
    <w:p>
      <w:pPr>
        <w:spacing w:after="140"/>
      </w:pPr>
      <w:r>
        <w:rPr>
          <w:b/>
          <w:bCs/>
        </w:rPr>
        <w:t xml:space="preserve">Why it works (sometimes):</w:t>
      </w:r>
      <w:r>
        <w:t xml:space="preserve"> Delivers a single-service ROI proof in ~14 weeks; funds the rest of Wave 1. </w:t>
      </w:r>
      <w:r>
        <w:rPr>
          <w:b/>
          <w:bCs/>
        </w:rPr>
        <w:t xml:space="preserve">Risk:</w:t>
      </w:r>
      <w:r>
        <w:t xml:space="preserve"> if the chosen service has an SOR integration surprise, the whole Wave 1 is at risk.</w:t>
      </w:r>
    </w:p>
    <w:p>
      <w:pPr>
        <w:pStyle w:val="Heading4"/>
        <w:spacing w:after="100" w:before="220"/>
      </w:pPr>
      <w:r>
        <w:rPr>
          <w:rFonts w:ascii="Aptos" w:cs="Aptos" w:eastAsia="Aptos" w:hAnsi="Aptos"/>
          <w:b/>
          <w:bCs/>
          <w:color w:val="0B111E"/>
          <w:sz w:val="20"/>
          <w:szCs w:val="20"/>
        </w:rPr>
        <w:t xml:space="preserve">The "Shared-Entity-First" Pattern (multi-Practice clients)</w:t>
      </w:r>
    </w:p>
    <w:p>
      <w:pPr>
        <w:spacing w:after="140"/>
      </w:pPr>
      <w:r>
        <w:t xml:space="preserve">1. Stand up foundation + first Practice's Wave-1 anchors 2. Deliberately build shared entities (ASSET_HEALTH, GENEALOGY, etc.) in the first Practice's Wave-2 3. Second Practice Wave-1 then inherits those shared entities at near-zero cost 4. Results in 40-60% faster second-Practice Wave 1</w:t>
      </w:r>
    </w:p>
    <w:p>
      <w:pPr>
        <w:spacing w:after="140"/>
      </w:pPr>
      <w:r>
        <w:rPr>
          <w:b/>
          <w:bCs/>
        </w:rPr>
        <w:t xml:space="preserve">When to use:</w:t>
      </w:r>
      <w:r>
        <w:t xml:space="preserve"> clients who have signalled multi-Practice intent from the start.</w:t>
      </w:r>
    </w:p>
    <w:p>
      <w:pPr>
        <w:pStyle w:val="Heading4"/>
        <w:spacing w:after="100" w:before="220"/>
      </w:pPr>
      <w:r>
        <w:rPr>
          <w:rFonts w:ascii="Aptos" w:cs="Aptos" w:eastAsia="Aptos" w:hAnsi="Aptos"/>
          <w:b/>
          <w:bCs/>
          <w:color w:val="0B111E"/>
          <w:sz w:val="20"/>
          <w:szCs w:val="20"/>
        </w:rPr>
        <w:t xml:space="preserve">Anti-Pattern 1: "Land All SCML Entities First"</w:t>
      </w:r>
    </w:p>
    <w:p>
      <w:pPr>
        <w:spacing w:after="140"/>
      </w:pPr>
      <w:r>
        <w:t xml:space="preserve">Trying to ship a complete schema family before moving to another family. Fails because the slower entities in SCML delay RC services that depend on MERML and CXML.</w:t>
      </w:r>
    </w:p>
    <w:p>
      <w:pPr>
        <w:pStyle w:val="Heading4"/>
        <w:spacing w:after="100" w:before="220"/>
      </w:pPr>
      <w:r>
        <w:rPr>
          <w:rFonts w:ascii="Aptos" w:cs="Aptos" w:eastAsia="Aptos" w:hAnsi="Aptos"/>
          <w:b/>
          <w:bCs/>
          <w:color w:val="0B111E"/>
          <w:sz w:val="20"/>
          <w:szCs w:val="20"/>
        </w:rPr>
        <w:t xml:space="preserve">Anti-Pattern 2: "The Reference-Architecture Tour"</w:t>
      </w:r>
    </w:p>
    <w:p>
      <w:pPr>
        <w:spacing w:after="140"/>
      </w:pPr>
      <w:r>
        <w:t xml:space="preserve">Landing entities because they're in the reference architecture rather than because services need them. Produces an impressive Bronze/Silver/Gold view with no live services, and the programme gets cancelled for "no value delivered."</w:t>
      </w:r>
    </w:p>
    <w:p>
      <w:pPr>
        <w:pStyle w:val="Heading3"/>
        <w:spacing w:after="120" w:before="260"/>
      </w:pPr>
      <w:r>
        <w:rPr>
          <w:rFonts w:ascii="Aptos" w:cs="Aptos" w:eastAsia="Aptos" w:hAnsi="Aptos"/>
          <w:b/>
          <w:bCs/>
          <w:color w:val="0B111E"/>
          <w:sz w:val="24"/>
          <w:szCs w:val="24"/>
        </w:rPr>
        <w:t xml:space="preserve">17B.14 Wave 1 Minimum Viable Entity Set Per Practice</w:t>
      </w:r>
    </w:p>
    <w:p>
      <w:pPr>
        <w:spacing w:after="140"/>
      </w:pPr>
      <w:r>
        <w:t xml:space="preserve">The absolute minimum to ship Wave 1. Below these counts, no Practice's Wave-1 services can go live.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 (3 SCML + 1 MERML + 2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CXP-01 + RVD-02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18–22 weeks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(3 HLSCML + 2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DSR-01 + RVC-03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22–26 weeks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(3 ERCML + 1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MTR-01 + BIL-03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18–22 weeks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(3 AXLECML + 1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LDT-01 + KPI-05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20–24 weeks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(3 TMTML + 1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NET-01 + CCI-02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20–24 weeks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(3 THML + 1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DRO-02 + HER-06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16–20 weeks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(4 ICEML + 1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FAF-01 + SPA-02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18–22 weeks</w:t>
            </w:r>
          </w:p>
        </w:tc>
      </w:tr>
    </w:tbl>
    <w:p>
      <w:pPr>
        <w:spacing w:after="120"/>
      </w:pPr>
      <w:r>
        <w:t xml:space="preserve"/>
      </w:r>
    </w:p>
    <w:p>
      <w:pPr>
        <w:spacing w:after="140"/>
      </w:pPr>
      <w:r>
        <w:t xml:space="preserve">Note: "audit" in the minimum count is shorthand for the foundation entities, which are shared across all Practices at a tenant.</w:t>
      </w:r>
    </w:p>
    <w:p>
      <w:pPr>
        <w:pStyle w:val="Heading3"/>
        <w:spacing w:after="120" w:before="260"/>
      </w:pPr>
      <w:r>
        <w:rPr>
          <w:rFonts w:ascii="Aptos" w:cs="Aptos" w:eastAsia="Aptos" w:hAnsi="Aptos"/>
          <w:b/>
          <w:bCs/>
          <w:color w:val="0B111E"/>
          <w:sz w:val="24"/>
          <w:szCs w:val="24"/>
        </w:rPr>
        <w:t xml:space="preserve">17B.15 Entity Build Effort Estimates</w:t>
      </w:r>
    </w:p>
    <w:p>
      <w:pPr>
        <w:spacing w:after="140"/>
      </w:pPr>
      <w:r>
        <w:t xml:space="preserve">A first-time-at-client entity typically requires: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 connector design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0.5–1 week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 + SOR SME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 Bronze landing + smoke test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0.5–1 week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 + tokenisation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 weeks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 + tokeniser owner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 definition + performance tuning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0.5–1 week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tool wiring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0.5–1 week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engineer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Observability + SLO panels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0.5 week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SRE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Fixture generation + integration test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0.5–1 week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Full-stack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Total (first entity in 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4–8 weeks elapsed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Total (subsequent entities in same 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2–3 weeks elapsed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bl>
    <w:p>
      <w:pPr>
        <w:spacing w:after="120"/>
      </w:pPr>
      <w:r>
        <w:t xml:space="preserve"/>
      </w:r>
    </w:p>
    <w:p>
      <w:pPr>
        <w:spacing w:after="140"/>
      </w:pPr>
      <w:r>
        <w:t xml:space="preserve">Effort decreases after the first entity because identity patterns, tokeniser wiring, capacity sizing, and monitoring dashboards are reusable across the Practice's entities.</w:t>
      </w:r>
    </w:p>
    <w:p>
      <w:pPr>
        <w:pStyle w:val="Heading3"/>
        <w:spacing w:after="120" w:before="260"/>
      </w:pPr>
      <w:r>
        <w:rPr>
          <w:rFonts w:ascii="Aptos" w:cs="Aptos" w:eastAsia="Aptos" w:hAnsi="Aptos"/>
          <w:b/>
          <w:bCs/>
          <w:color w:val="0B111E"/>
          <w:sz w:val="24"/>
          <w:szCs w:val="24"/>
        </w:rPr>
        <w:t xml:space="preserve">17B.16 Entity Priority in the Wave-1 Budget Model</w:t>
      </w:r>
    </w:p>
    <w:p>
      <w:pPr>
        <w:spacing w:after="140"/>
      </w:pPr>
      <w:r>
        <w:t xml:space="preserve">Entity counts drive Wave-1 budgets. A rule-of-thumb conversion:</w:t>
      </w:r>
    </w:p>
    <w:p>
      <w:pPr>
        <w:pStyle w:val="ListParagraph"/>
        <w:numPr>
          <w:ilvl w:val="0"/>
          <w:numId w:val="1"/>
        </w:numPr>
        <w:spacing w:after="60"/>
      </w:pPr>
      <w:r>
        <w:rPr>
          <w:b/>
          <w:bCs/>
        </w:rPr>
        <w:t xml:space="preserve">Per-entity cost (first entity in Practice):</w:t>
      </w:r>
      <w:r>
        <w:t xml:space="preserve"> ~$150K–$300K full-stack</w:t>
      </w:r>
    </w:p>
    <w:p>
      <w:pPr>
        <w:pStyle w:val="ListParagraph"/>
        <w:numPr>
          <w:ilvl w:val="0"/>
          <w:numId w:val="1"/>
        </w:numPr>
        <w:spacing w:after="60"/>
      </w:pPr>
      <w:r>
        <w:rPr>
          <w:b/>
          <w:bCs/>
        </w:rPr>
        <w:t xml:space="preserve">Per-entity cost (subsequent entities in same Practice):</w:t>
      </w:r>
      <w:r>
        <w:t xml:space="preserve"> ~$60K–$120K</w:t>
      </w:r>
    </w:p>
    <w:p>
      <w:pPr>
        <w:pStyle w:val="ListParagraph"/>
        <w:numPr>
          <w:ilvl w:val="0"/>
          <w:numId w:val="1"/>
        </w:numPr>
        <w:spacing w:after="60"/>
      </w:pPr>
      <w:r>
        <w:rPr>
          <w:b/>
          <w:bCs/>
        </w:rPr>
        <w:t xml:space="preserve">Per-entity cost (shared entity landing in second Practice):</w:t>
      </w:r>
      <w:r>
        <w:t xml:space="preserve"> ~$20K–$40K</w:t>
      </w:r>
    </w:p>
    <w:p>
      <w:pPr>
        <w:spacing w:after="140"/>
      </w:pPr>
      <w:r>
        <w:t xml:space="preserve">For an RC Wave-1 with 6 must-have entities: first entity $250K + 5 × $90K ≈ $700K of the Wave-1 budget is entity-landing cost. The remaining ~$3–5M goes to agent authoring, orchestration DAGs, HITL-gate wiring, observability buildout, and change management.</w:t>
      </w:r>
    </w:p>
    <w:p>
      <w:pPr>
        <w:spacing w:after="140"/>
      </w:pPr>
      <w:r>
        <w:t xml:space="preserve">This is the math that makes "land everything" infeasible and "pick the right six" essential.</w:t>
      </w:r>
    </w:p>
    <w:p>
      <w:pPr>
        <w:pStyle w:val="Heading3"/>
        <w:spacing w:after="120" w:before="260"/>
      </w:pPr>
      <w:r>
        <w:rPr>
          <w:rFonts w:ascii="Aptos" w:cs="Aptos" w:eastAsia="Aptos" w:hAnsi="Aptos"/>
          <w:b/>
          <w:bCs/>
          <w:color w:val="0B111E"/>
          <w:sz w:val="24"/>
          <w:szCs w:val="24"/>
        </w:rPr>
        <w:t xml:space="preserve">17B.17 Priority Re-Scoring Cadence</w:t>
      </w:r>
    </w:p>
    <w:p>
      <w:pPr>
        <w:spacing w:after="140"/>
      </w:pPr>
      <w:r>
        <w:t xml:space="preserve">The framework is not static. Priority is re-scored at:</w:t>
      </w:r>
    </w:p>
    <w:p>
      <w:pPr>
        <w:pStyle w:val="ListParagraph"/>
        <w:numPr>
          <w:ilvl w:val="0"/>
          <w:numId w:val="1"/>
        </w:numPr>
        <w:spacing w:after="60"/>
      </w:pPr>
      <w:r>
        <w:rPr>
          <w:b/>
          <w:bCs/>
        </w:rPr>
        <w:t xml:space="preserve">Wave exits.</w:t>
      </w:r>
      <w:r>
        <w:t xml:space="preserve"> Actual delivery data replaces estimates; the framework is updated for the next engagement.</w:t>
      </w:r>
    </w:p>
    <w:p>
      <w:pPr>
        <w:pStyle w:val="ListParagraph"/>
        <w:numPr>
          <w:ilvl w:val="0"/>
          <w:numId w:val="1"/>
        </w:numPr>
        <w:spacing w:after="60"/>
      </w:pPr>
      <w:r>
        <w:rPr>
          <w:b/>
          <w:bCs/>
        </w:rPr>
        <w:t xml:space="preserve">Practice GA events.</w:t>
      </w:r>
      <w:r>
        <w:t xml:space="preserve"> Preview-practice entities (TMT, TH, ICE) re-score when they go GA.</w:t>
      </w:r>
    </w:p>
    <w:p>
      <w:pPr>
        <w:pStyle w:val="ListParagraph"/>
        <w:numPr>
          <w:ilvl w:val="0"/>
          <w:numId w:val="1"/>
        </w:numPr>
        <w:spacing w:after="60"/>
      </w:pPr>
      <w:r>
        <w:rPr>
          <w:b/>
          <w:bCs/>
        </w:rPr>
        <w:t xml:space="preserve">Core edition upgrades.</w:t>
      </w:r>
      <w:r>
        <w:t xml:space="preserve"> New entities introduced by schema bumps enter the framework at publication.</w:t>
      </w:r>
    </w:p>
    <w:p>
      <w:pPr>
        <w:pStyle w:val="ListParagraph"/>
        <w:numPr>
          <w:ilvl w:val="0"/>
          <w:numId w:val="1"/>
        </w:numPr>
        <w:spacing w:after="60"/>
      </w:pPr>
      <w:r>
        <w:rPr>
          <w:b/>
          <w:bCs/>
        </w:rPr>
        <w:t xml:space="preserve">Client demand shifts.</w:t>
      </w:r>
      <w:r>
        <w:t xml:space="preserve"> If three consecutive clients ask for a service that was Wave-3, that service (and its anchor entity) re-scores into Wave-2.</w:t>
      </w:r>
    </w:p>
    <w:p>
      <w:pPr>
        <w:spacing w:after="140"/>
      </w:pPr>
      <w:r>
        <w:t xml:space="preserve">The Core team publishes a versioned Priority Framework twice per year alongside Core edition releases.</w:t>
      </w:r>
    </w:p>
    <w:p>
      <w:pPr>
        <w:pStyle w:val="Heading2"/>
        <w:spacing w:after="140" w:before="300"/>
      </w:pPr>
      <w:r>
        <w:rPr>
          <w:rFonts w:ascii="Aptos Display" w:cs="Aptos Display" w:eastAsia="Aptos Display" w:hAnsi="Aptos Display"/>
          <w:b/>
          <w:bCs/>
          <w:color w:val="0B111E"/>
          <w:sz w:val="30"/>
          <w:szCs w:val="30"/>
        </w:rPr>
        <w:t xml:space="preserve">Chapter 18: Quarterly Milestone Summary</w:t>
      </w:r>
    </w:p>
    <w:p>
      <w:pPr>
        <w:spacing w:after="140"/>
      </w:pPr>
      <w:r>
        <w:t xml:space="preserve">A typical 18-month APEX programme, quarter by quarter: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Q1 (months 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Workspace topology live; first SOR connected; Silver canonical for first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 decisions yet; SLOs green on ingest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Q2 (months 4–6)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First 2 services in pilot tenant; first HITL decisions; 30-day proof cycle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Pilot KPI ≥ 50% of target; first board-level update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Q3 (months 7–9)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 practice catalog at pilot scale; first gate-tuning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 ≥ 70% of target; cross-functional sign-off</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Q4 (months 10–12)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 rollout begins; cross-practice shared services instrumented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 ≥ 85% of target; Wave 2 complete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Q5 (months 13–15)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National/enterprise rollout; second Practice proposed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 ≥ 100% of target in pilot region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Q6 (months 16–18)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Enterprise-scale steady-state; second Practice Wave 1 underway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Portfolio KPI dashboard live; Wave 3 complete</w:t>
            </w:r>
          </w:p>
        </w:tc>
      </w:tr>
    </w:tbl>
    <w:p>
      <w:pPr>
        <w:spacing w:after="120"/>
      </w:pPr>
      <w:r>
        <w:t xml:space="preserve"/>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V — Future State</w:t>
      </w:r>
    </w:p>
    <w:p>
      <w:pPr>
        <w:pStyle w:val="Heading2"/>
        <w:spacing w:after="140" w:before="300"/>
      </w:pPr>
      <w:r>
        <w:rPr>
          <w:rFonts w:ascii="Aptos Display" w:cs="Aptos Display" w:eastAsia="Aptos Display" w:hAnsi="Aptos Display"/>
          <w:b/>
          <w:bCs/>
          <w:color w:val="0B111E"/>
          <w:sz w:val="30"/>
          <w:szCs w:val="30"/>
        </w:rPr>
        <w:t xml:space="preserve">Chapter 19: The Four-Tier Innovation Model</w:t>
      </w:r>
    </w:p>
    <w:p>
      <w:pPr>
        <w:spacing w:after="140"/>
      </w:pPr>
      <w:r>
        <w:t xml:space="preserve">APEX's forward-looking solution catalog organises post-Wave-3 capabilities into four tiers of increasing sophistication. Tiers are not linear; a client can adopt Tier 3 solutions while still operating at Tier 1 or Tier 2 on other services. The tier denotes the </w:t>
      </w:r>
      <w:r>
        <w:rPr>
          <w:b/>
          <w:bCs/>
        </w:rPr>
        <w:t xml:space="preserve">pattern</w:t>
      </w:r>
      <w:r>
        <w:t xml:space="preserve">, not the maturity of a specific deployment.</w:t>
      </w:r>
    </w:p>
    <w:p>
      <w:pPr>
        <w:pStyle w:val="Heading2"/>
        <w:spacing w:after="140" w:before="300"/>
      </w:pPr>
      <w:r>
        <w:rPr>
          <w:rFonts w:ascii="Aptos Display" w:cs="Aptos Display" w:eastAsia="Aptos Display" w:hAnsi="Aptos Display"/>
          <w:b/>
          <w:bCs/>
          <w:color w:val="0B111E"/>
          <w:sz w:val="30"/>
          <w:szCs w:val="30"/>
        </w:rPr>
        <w:t xml:space="preserve">Chapter 19A: Flagship Named Solutions Portfolio</w:t>
      </w:r>
    </w:p>
    <w:p>
      <w:pPr>
        <w:spacing w:after="140"/>
      </w:pPr>
      <w:r>
        <w:t xml:space="preserve">This chapter is APEX's forward-looking solutions catalogue: named flagship solutions across all four tiers, each with a scope, target Practices, investment envelope, expected payback horizon, and dependency prerequisites. These are the "what does Year 2 look like?" conversations with an executive sponsor once the Wave-1 reactive services are proving out.</w:t>
      </w:r>
    </w:p>
    <w:p>
      <w:pPr>
        <w:spacing w:after="140"/>
      </w:pPr>
      <w:r>
        <w:t xml:space="preserve">The investment envelopes below are </w:t>
      </w:r>
      <w:r>
        <w:rPr>
          <w:b/>
          <w:bCs/>
        </w:rPr>
        <w:t xml:space="preserve">programme-level</w:t>
      </w:r>
      <w:r>
        <w:t xml:space="preserve"> — they cover multi-quarter builds, typically 9–18 months from greenfield to flagship-ready. They assume a mature APEX platform underneath (Wave 1–3 of the affected Practices already live); they do not include the underlying Wave 1–3 costs which are covered in Chapter 12.</w:t>
      </w:r>
    </w:p>
    <w:p>
      <w:pPr>
        <w:spacing w:after="140"/>
      </w:pPr>
      <w:r>
        <w:t xml:space="preserve">Dollar ranges reflect the engagement variability seen in reference work: low end is single-site / single-tenant / mid-market; high end is enterprise-scale / multi-region / multi-tenant deployments. Every envelope assumes the prerequisites listed are met.</w:t>
      </w:r>
    </w:p>
    <w:p>
      <w:pPr>
        <w:pStyle w:val="Heading3"/>
        <w:spacing w:after="120" w:before="260"/>
      </w:pPr>
      <w:r>
        <w:rPr>
          <w:rFonts w:ascii="Aptos" w:cs="Aptos" w:eastAsia="Aptos" w:hAnsi="Aptos"/>
          <w:b/>
          <w:bCs/>
          <w:color w:val="0B111E"/>
          <w:sz w:val="24"/>
          <w:szCs w:val="24"/>
        </w:rPr>
        <w:t xml:space="preserve">19A.1 Portfolio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Causal AI for Cold Chain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Causal AI for Quality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$5–9M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Predictive Sepsis Surveillance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$6–10M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Non-monetised — safety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Predictive Readmission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$4–7M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Predictive Grid Stability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$8–14M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Non-monetised — reliability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Predictive Line-Down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$5–9M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9–15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Predictive Network Congestion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9–15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Predictive Equipment Failure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$6–10M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Demand-Sensing Retail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$5–9M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Cold Chain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$3–6M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Denial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$4–7M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12–15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Grid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$10–18M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Non-monetised — reliability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Production Line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$6–11M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Zero-Scrap Closed Loop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$7–12M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18–24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Subscription Ops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$3–5M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9–12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Revenue Management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$3–5M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9–12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Self-Healing Field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Agentic Contact Center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$8–15M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Voice Agent-to-Agent (A2A)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 + 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18–24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Service-to-Service (S2S) Orchestrator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 multi-Practice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$4–8M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Cross-Practice 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AXLE + 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$5–9M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Non-monetised — compliance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Proactive Customer Outreach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TMT / 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$5–9M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Field-to-Factory Feedback Loop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$6–10M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18–24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Single Pane of Glass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$10–20M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Non-monetised — operational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Digital Thread from Event to Customer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$12–22M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24–36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Autonomous Practice Operations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Single Practice at a 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$15–25M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24–36 mo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Enterprise Decision 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Tier 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7 Practices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$25–40M+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Strategic — generational</w:t>
            </w:r>
          </w:p>
        </w:tc>
      </w:tr>
    </w:tbl>
    <w:p>
      <w:pPr>
        <w:spacing w:after="120"/>
      </w:pPr>
      <w:r>
        <w:t xml:space="preserve"/>
      </w:r>
    </w:p>
    <w:p>
      <w:pPr>
        <w:spacing w:after="140"/>
      </w:pPr>
      <w:r>
        <w:rPr>
          <w:b/>
          <w:bCs/>
        </w:rPr>
        <w:t xml:space="preserve">Total portfolio envelope (a hypothetical client committing to every flagship across all seven Practices over five years): $180–330M.</w:t>
      </w:r>
      <w:r>
        <w:t xml:space="preserve"> This is a North Star number, not a prescription. Real clients pick 4–8 flagships aligned to their strategy.</w:t>
      </w:r>
    </w:p>
    <w:p>
      <w:pPr>
        <w:pStyle w:val="Heading3"/>
        <w:spacing w:after="120" w:before="260"/>
      </w:pPr>
      <w:r>
        <w:rPr>
          <w:rFonts w:ascii="Aptos" w:cs="Aptos" w:eastAsia="Aptos" w:hAnsi="Aptos"/>
          <w:b/>
          <w:bCs/>
          <w:color w:val="0B111E"/>
          <w:sz w:val="24"/>
          <w:szCs w:val="24"/>
        </w:rPr>
        <w:t xml:space="preserve">19A.2 Tier 1 Flagships — Predictive &amp; Causal</w:t>
      </w:r>
    </w:p>
    <w:p>
      <w:pPr>
        <w:pStyle w:val="Heading4"/>
        <w:spacing w:after="100" w:before="220"/>
      </w:pPr>
      <w:r>
        <w:rPr>
          <w:rFonts w:ascii="Aptos" w:cs="Aptos" w:eastAsia="Aptos" w:hAnsi="Aptos"/>
          <w:b/>
          <w:bCs/>
          <w:color w:val="0B111E"/>
          <w:sz w:val="20"/>
          <w:szCs w:val="20"/>
        </w:rPr>
        <w:t xml:space="preserve">Causal AI for Cold Chain · $4–8M</w:t>
      </w:r>
    </w:p>
    <w:p>
      <w:pPr>
        <w:spacing w:after="140"/>
      </w:pPr>
      <w:r>
        <w:rPr>
          <w:b/>
          <w:bCs/>
        </w:rPr>
        <w:t xml:space="preserve">Practices:</w:t>
      </w:r>
      <w:r>
        <w:t xml:space="preserve"> RC. </w:t>
      </w:r>
      <w:r>
        <w:rPr>
          <w:b/>
          <w:bCs/>
        </w:rPr>
        <w:t xml:space="preserve">Services augmented:</w:t>
      </w:r>
      <w:r>
        <w:t xml:space="preserve"> CXP-01.</w:t>
      </w:r>
    </w:p>
    <w:p>
      <w:pPr>
        <w:spacing w:after="140"/>
      </w:pPr>
      <w:r>
        <w:t xml:space="preserve">Extends </w:t>
      </w:r>
      <w:r>
        <w:rPr>
          <w:rFonts w:ascii="Cascadia Mono" w:cs="Cascadia Mono" w:eastAsia="Cascadia Mono" w:hAnsi="Cascadia Mono"/>
          <w:color w:val="2B2B2B"/>
          <w:sz w:val="18"/>
          <w:szCs w:val="18"/>
        </w:rPr>
        <w:t xml:space="preserve">CXP-01</w:t>
      </w:r>
      <w:r>
        <w:t xml:space="preserve"> with a causal-analysis agent that connects current excursions to upstream compressor maintenance cycles, ambient temperature patterns, and store-level staffing patterns. The output is preventive maintenance recommendations before excursions occur, not after. Typical client result: a 40–60% reduction in excursion volume within 12 months, compounding write-off-avoided and manager-touch-time benefits. Prerequisites: CXP-01 live for ≥ 6 months; Monnit IoT telemetry with ≥ 18 months of history; maintenance-system integration for action feedback.</w:t>
      </w:r>
    </w:p>
    <w:p>
      <w:pPr>
        <w:pStyle w:val="Heading4"/>
        <w:spacing w:after="100" w:before="220"/>
      </w:pPr>
      <w:r>
        <w:rPr>
          <w:rFonts w:ascii="Aptos" w:cs="Aptos" w:eastAsia="Aptos" w:hAnsi="Aptos"/>
          <w:b/>
          <w:bCs/>
          <w:color w:val="0B111E"/>
          <w:sz w:val="20"/>
          <w:szCs w:val="20"/>
        </w:rPr>
        <w:t xml:space="preserve">Causal AI for Quality · $5–9M</w:t>
      </w:r>
    </w:p>
    <w:p>
      <w:pPr>
        <w:spacing w:after="140"/>
      </w:pPr>
      <w:r>
        <w:rPr>
          <w:b/>
          <w:bCs/>
        </w:rPr>
        <w:t xml:space="preserve">Practices:</w:t>
      </w:r>
      <w:r>
        <w:t xml:space="preserve"> AXLE, ICE. </w:t>
      </w:r>
      <w:r>
        <w:rPr>
          <w:b/>
          <w:bCs/>
        </w:rPr>
        <w:t xml:space="preserve">Services augmented:</w:t>
      </w:r>
      <w:r>
        <w:t xml:space="preserve"> QEX-02, WCP-03.</w:t>
      </w:r>
    </w:p>
    <w:p>
      <w:pPr>
        <w:spacing w:after="140"/>
      </w:pPr>
      <w:r>
        <w:t xml:space="preserve">Extends quality excursion response with a causal-inference agent that connects excursions to upstream process parameters (material lot, operator shift, tool wear cycle, ambient conditions). Outputs are specific process-tuning recommendations. Payback through escape-rate reduction and first-pass-yield lift. Prerequisites: QEX-02 at enterprise scale; SPC history ≥ 18 months; shop-floor data with operator and tool-identifier granularity.</w:t>
      </w:r>
    </w:p>
    <w:p>
      <w:pPr>
        <w:pStyle w:val="Heading4"/>
        <w:spacing w:after="100" w:before="220"/>
      </w:pPr>
      <w:r>
        <w:rPr>
          <w:rFonts w:ascii="Aptos" w:cs="Aptos" w:eastAsia="Aptos" w:hAnsi="Aptos"/>
          <w:b/>
          <w:bCs/>
          <w:color w:val="0B111E"/>
          <w:sz w:val="20"/>
          <w:szCs w:val="20"/>
        </w:rPr>
        <w:t xml:space="preserve">Predictive Sepsis Surveillance · $6–10M</w:t>
      </w:r>
    </w:p>
    <w:p>
      <w:pPr>
        <w:spacing w:after="140"/>
      </w:pPr>
      <w:r>
        <w:rPr>
          <w:b/>
          <w:bCs/>
        </w:rPr>
        <w:t xml:space="preserve">Practices:</w:t>
      </w:r>
      <w:r>
        <w:t xml:space="preserve"> HLS. </w:t>
      </w:r>
      <w:r>
        <w:rPr>
          <w:b/>
          <w:bCs/>
        </w:rPr>
        <w:t xml:space="preserve">Services augmented:</w:t>
      </w:r>
      <w:r>
        <w:t xml:space="preserve"> SEP-02.</w:t>
      </w:r>
    </w:p>
    <w:p>
      <w:pPr>
        <w:spacing w:after="140"/>
      </w:pPr>
      <w:r>
        <w:t xml:space="preserve">Extends SEP-02 from current-state (4–6h-ahead detection) to 12–18h-ahead. Uses deeper pattern-recognition on vitals / labs / orders / documentation trends. Clinically non-monetisable but programmatically the flagship HLS initiative — every sepsis programme that ships draws peer-institution attention and drives the next wave of APEX HLS subscriptions. Prerequisites: SEP-02 at ≥ 2 units; ≥ 12 months of audit history; clinical-informatics sponsor commitment.</w:t>
      </w:r>
    </w:p>
    <w:p>
      <w:pPr>
        <w:pStyle w:val="Heading4"/>
        <w:spacing w:after="100" w:before="220"/>
      </w:pPr>
      <w:r>
        <w:rPr>
          <w:rFonts w:ascii="Aptos" w:cs="Aptos" w:eastAsia="Aptos" w:hAnsi="Aptos"/>
          <w:b/>
          <w:bCs/>
          <w:color w:val="0B111E"/>
          <w:sz w:val="20"/>
          <w:szCs w:val="20"/>
        </w:rPr>
        <w:t xml:space="preserve">Predictive Readmission · $4–7M</w:t>
      </w:r>
    </w:p>
    <w:p>
      <w:pPr>
        <w:spacing w:after="140"/>
      </w:pPr>
      <w:r>
        <w:rPr>
          <w:b/>
          <w:bCs/>
        </w:rPr>
        <w:t xml:space="preserve">Practices:</w:t>
      </w:r>
      <w:r>
        <w:t xml:space="preserve"> HLS. </w:t>
      </w:r>
      <w:r>
        <w:rPr>
          <w:b/>
          <w:bCs/>
        </w:rPr>
        <w:t xml:space="preserve">Services augmented:</w:t>
      </w:r>
      <w:r>
        <w:t xml:space="preserve"> DSR-01.</w:t>
      </w:r>
    </w:p>
    <w:p>
      <w:pPr>
        <w:spacing w:after="140"/>
      </w:pPr>
      <w:r>
        <w:t xml:space="preserve">Extends discharge-readiness with 30-day-readmission-risk prediction at discharge. Drives post-acute care coordination decisions. Strong ROI when combined with DSR-01 because it leverages the same encounter data and clinical documentation. Prerequisites: DSR-01 live; post-acute care integration (SNF, home-health partners); at least one quarter of outcome data for model tuning.</w:t>
      </w:r>
    </w:p>
    <w:p>
      <w:pPr>
        <w:pStyle w:val="Heading4"/>
        <w:spacing w:after="100" w:before="220"/>
      </w:pPr>
      <w:r>
        <w:rPr>
          <w:rFonts w:ascii="Aptos" w:cs="Aptos" w:eastAsia="Aptos" w:hAnsi="Aptos"/>
          <w:b/>
          <w:bCs/>
          <w:color w:val="0B111E"/>
          <w:sz w:val="20"/>
          <w:szCs w:val="20"/>
        </w:rPr>
        <w:t xml:space="preserve">Predictive Grid Stability · $8–14M</w:t>
      </w:r>
    </w:p>
    <w:p>
      <w:pPr>
        <w:spacing w:after="140"/>
      </w:pPr>
      <w:r>
        <w:rPr>
          <w:b/>
          <w:bCs/>
        </w:rPr>
        <w:t xml:space="preserve">Practices:</w:t>
      </w:r>
      <w:r>
        <w:t xml:space="preserve"> ER. </w:t>
      </w:r>
      <w:r>
        <w:rPr>
          <w:b/>
          <w:bCs/>
        </w:rPr>
        <w:t xml:space="preserve">Services augmented:</w:t>
      </w:r>
      <w:r>
        <w:t xml:space="preserve"> GRD-02.</w:t>
      </w:r>
    </w:p>
    <w:p>
      <w:pPr>
        <w:spacing w:after="140"/>
      </w:pPr>
      <w:r>
        <w:t xml:space="preserve">Pre-emptive grid instability detection. Seeds load-shedding plans before oscillations propagate. Non-monetised directly but prevents the kind of cascading events that get regulators' attention. Prerequisites: GRD-02 operational across primary substations; SCADA coverage of ≥ 90% of distribution feeders; mature DMS integration.</w:t>
      </w:r>
    </w:p>
    <w:p>
      <w:pPr>
        <w:pStyle w:val="Heading4"/>
        <w:spacing w:after="100" w:before="220"/>
      </w:pPr>
      <w:r>
        <w:rPr>
          <w:rFonts w:ascii="Aptos" w:cs="Aptos" w:eastAsia="Aptos" w:hAnsi="Aptos"/>
          <w:b/>
          <w:bCs/>
          <w:color w:val="0B111E"/>
          <w:sz w:val="20"/>
          <w:szCs w:val="20"/>
        </w:rPr>
        <w:t xml:space="preserve">Predictive Line-Down · $5–9M</w:t>
      </w:r>
    </w:p>
    <w:p>
      <w:pPr>
        <w:spacing w:after="140"/>
      </w:pPr>
      <w:r>
        <w:rPr>
          <w:b/>
          <w:bCs/>
        </w:rPr>
        <w:t xml:space="preserve">Practices:</w:t>
      </w:r>
      <w:r>
        <w:t xml:space="preserve"> AXLE, ICE. </w:t>
      </w:r>
      <w:r>
        <w:rPr>
          <w:b/>
          <w:bCs/>
        </w:rPr>
        <w:t xml:space="preserve">Services augmented:</w:t>
      </w:r>
      <w:r>
        <w:t xml:space="preserve"> LDT-01, FAF-01.</w:t>
      </w:r>
    </w:p>
    <w:p>
      <w:pPr>
        <w:spacing w:after="140"/>
      </w:pPr>
      <w:r>
        <w:t xml:space="preserve">Asset-health-based line-down prediction hours before halt. Drives preventive maintenance cycles. The key win is not failure prediction (which most plants already claim) — it is the direct hand-off into the LDT-01 orchestration so the plant's maintenance team acts on the prediction before line-down-minutes accumulate. Prerequisites: LDT-01 live; historian integration; ≥ 12 months of production-event history.</w:t>
      </w:r>
    </w:p>
    <w:p>
      <w:pPr>
        <w:pStyle w:val="Heading4"/>
        <w:spacing w:after="100" w:before="220"/>
      </w:pPr>
      <w:r>
        <w:rPr>
          <w:rFonts w:ascii="Aptos" w:cs="Aptos" w:eastAsia="Aptos" w:hAnsi="Aptos"/>
          <w:b/>
          <w:bCs/>
          <w:color w:val="0B111E"/>
          <w:sz w:val="20"/>
          <w:szCs w:val="20"/>
        </w:rPr>
        <w:t xml:space="preserve">Predictive Network Congestion · $4–8M</w:t>
      </w:r>
    </w:p>
    <w:p>
      <w:pPr>
        <w:spacing w:after="140"/>
      </w:pPr>
      <w:r>
        <w:rPr>
          <w:b/>
          <w:bCs/>
        </w:rPr>
        <w:t xml:space="preserve">Practices:</w:t>
      </w:r>
      <w:r>
        <w:t xml:space="preserve"> TMT. </w:t>
      </w:r>
      <w:r>
        <w:rPr>
          <w:b/>
          <w:bCs/>
        </w:rPr>
        <w:t xml:space="preserve">Services augmented:</w:t>
      </w:r>
      <w:r>
        <w:t xml:space="preserve"> NET-01.</w:t>
      </w:r>
    </w:p>
    <w:p>
      <w:pPr>
        <w:spacing w:after="140"/>
      </w:pPr>
      <w:r>
        <w:t xml:space="preserve">Proactive capacity and traffic-shaping decisions ahead of events (sports, product launches, holiday spikes). Lower envelope than grid-stability because the TMT telemetry surface is better structured. Fast payback. Prerequisites: NET-01 operational; customer-experience-impact feedback loop; capacity-management system integration.</w:t>
      </w:r>
    </w:p>
    <w:p>
      <w:pPr>
        <w:pStyle w:val="Heading4"/>
        <w:spacing w:after="100" w:before="220"/>
      </w:pPr>
      <w:r>
        <w:rPr>
          <w:rFonts w:ascii="Aptos" w:cs="Aptos" w:eastAsia="Aptos" w:hAnsi="Aptos"/>
          <w:b/>
          <w:bCs/>
          <w:color w:val="0B111E"/>
          <w:sz w:val="20"/>
          <w:szCs w:val="20"/>
        </w:rPr>
        <w:t xml:space="preserve">Predictive Equipment Failure · $6–10M</w:t>
      </w:r>
    </w:p>
    <w:p>
      <w:pPr>
        <w:spacing w:after="140"/>
      </w:pPr>
      <w:r>
        <w:rPr>
          <w:b/>
          <w:bCs/>
        </w:rPr>
        <w:t xml:space="preserve">Practices:</w:t>
      </w:r>
      <w:r>
        <w:t xml:space="preserve"> ICE. </w:t>
      </w:r>
      <w:r>
        <w:rPr>
          <w:b/>
          <w:bCs/>
        </w:rPr>
        <w:t xml:space="preserve">Services augmented:</w:t>
      </w:r>
      <w:r>
        <w:t xml:space="preserve"> FAF-01.</w:t>
      </w:r>
    </w:p>
    <w:p>
      <w:pPr>
        <w:spacing w:after="140"/>
      </w:pPr>
      <w:r>
        <w:t xml:space="preserve">Pre-emptive field dispatch based on predicted failures. Drives "technician arrives before the customer knows there's a problem" as a direct commercial promise — particularly powerful for XaaS contracts where uptime is contractually billed. Prerequisites: FAF-01 operational; telematics or IoT coverage on served-equipment fleet; warranty / claim-history integration.</w:t>
      </w:r>
    </w:p>
    <w:p>
      <w:pPr>
        <w:pStyle w:val="Heading4"/>
        <w:spacing w:after="100" w:before="220"/>
      </w:pPr>
      <w:r>
        <w:rPr>
          <w:rFonts w:ascii="Aptos" w:cs="Aptos" w:eastAsia="Aptos" w:hAnsi="Aptos"/>
          <w:b/>
          <w:bCs/>
          <w:color w:val="0B111E"/>
          <w:sz w:val="20"/>
          <w:szCs w:val="20"/>
        </w:rPr>
        <w:t xml:space="preserve">Demand-Sensing Retail · $5–9M</w:t>
      </w:r>
    </w:p>
    <w:p>
      <w:pPr>
        <w:spacing w:after="140"/>
      </w:pPr>
      <w:r>
        <w:rPr>
          <w:b/>
          <w:bCs/>
        </w:rPr>
        <w:t xml:space="preserve">Practices:</w:t>
      </w:r>
      <w:r>
        <w:t xml:space="preserve"> RC. </w:t>
      </w:r>
      <w:r>
        <w:rPr>
          <w:b/>
          <w:bCs/>
        </w:rPr>
        <w:t xml:space="preserve">Services augmented:</w:t>
      </w:r>
      <w:r>
        <w:t xml:space="preserve"> OSA-04, new ordering-adjacent services.</w:t>
      </w:r>
    </w:p>
    <w:p>
      <w:pPr>
        <w:spacing w:after="140"/>
      </w:pPr>
      <w:r>
        <w:t xml:space="preserve">Store-SKU-day demand forecasting with promo / weather / local-event signals. Feeds replenishment optimisation and phantom-OOS prevention. Payback through inventory-cost reduction and walk-away-revenue capture. Prerequisites: OSA-04 live; POS + weather + event-calendar feeds; replenishment system able to consume model outputs.</w:t>
      </w:r>
    </w:p>
    <w:p>
      <w:pPr>
        <w:pStyle w:val="Heading3"/>
        <w:spacing w:after="120" w:before="260"/>
      </w:pPr>
      <w:r>
        <w:rPr>
          <w:rFonts w:ascii="Aptos" w:cs="Aptos" w:eastAsia="Aptos" w:hAnsi="Aptos"/>
          <w:b/>
          <w:bCs/>
          <w:color w:val="0B111E"/>
          <w:sz w:val="24"/>
          <w:szCs w:val="24"/>
        </w:rPr>
        <w:t xml:space="preserve">19A.3 Tier 2 Flagships — Self-Healing Operations</w:t>
      </w:r>
    </w:p>
    <w:p>
      <w:pPr>
        <w:pStyle w:val="Heading4"/>
        <w:spacing w:after="100" w:before="220"/>
      </w:pPr>
      <w:r>
        <w:rPr>
          <w:rFonts w:ascii="Aptos" w:cs="Aptos" w:eastAsia="Aptos" w:hAnsi="Aptos"/>
          <w:b/>
          <w:bCs/>
          <w:color w:val="0B111E"/>
          <w:sz w:val="20"/>
          <w:szCs w:val="20"/>
        </w:rPr>
        <w:t xml:space="preserve">Self-Healing Cold Chain · $3–6M</w:t>
      </w:r>
    </w:p>
    <w:p>
      <w:pPr>
        <w:spacing w:after="140"/>
      </w:pPr>
      <w:r>
        <w:rPr>
          <w:b/>
          <w:bCs/>
        </w:rPr>
        <w:t xml:space="preserve">Practices:</w:t>
      </w:r>
      <w:r>
        <w:t xml:space="preserve"> RC. </w:t>
      </w:r>
      <w:r>
        <w:rPr>
          <w:b/>
          <w:bCs/>
        </w:rPr>
        <w:t xml:space="preserve">Builds on:</w:t>
      </w:r>
      <w:r>
        <w:t xml:space="preserve"> CXP-01 + Causal AI for Cold Chain.</w:t>
      </w:r>
    </w:p>
    <w:p>
      <w:pPr>
        <w:spacing w:after="140"/>
      </w:pPr>
      <w:r>
        <w:t xml:space="preserve">Beyond excursion response and causal prevention, self-healing manages reefer health end-to-end: telemetry-drift triggers predictive maintenance; maintenance-done confirmation closes the loop; service fingerprint improves over time. Stores increasingly never have excursions because compressors never fail. Prerequisites: CXP-01 + Causal AI for Cold Chain operational; field-service workflow integration.</w:t>
      </w:r>
    </w:p>
    <w:p>
      <w:pPr>
        <w:pStyle w:val="Heading4"/>
        <w:spacing w:after="100" w:before="220"/>
      </w:pPr>
      <w:r>
        <w:rPr>
          <w:rFonts w:ascii="Aptos" w:cs="Aptos" w:eastAsia="Aptos" w:hAnsi="Aptos"/>
          <w:b/>
          <w:bCs/>
          <w:color w:val="0B111E"/>
          <w:sz w:val="20"/>
          <w:szCs w:val="20"/>
        </w:rPr>
        <w:t xml:space="preserve">Self-Healing Denial Recovery · $4–7M</w:t>
      </w:r>
    </w:p>
    <w:p>
      <w:pPr>
        <w:spacing w:after="140"/>
      </w:pPr>
      <w:r>
        <w:rPr>
          <w:b/>
          <w:bCs/>
        </w:rPr>
        <w:t xml:space="preserve">Practices:</w:t>
      </w:r>
      <w:r>
        <w:t xml:space="preserve"> HLS. </w:t>
      </w:r>
      <w:r>
        <w:rPr>
          <w:b/>
          <w:bCs/>
        </w:rPr>
        <w:t xml:space="preserve">Builds on:</w:t>
      </w:r>
      <w:r>
        <w:t xml:space="preserve"> RVC-03.</w:t>
      </w:r>
    </w:p>
    <w:p>
      <w:pPr>
        <w:spacing w:after="140"/>
      </w:pPr>
      <w:r>
        <w:t xml:space="preserve">RVC-03 plus a closed-loop quality agent that, for denials where appeals fail, identifies the documentation-quality gap and routes a remediation to the relevant clinical service or coding team. Future denials of the same class fall. Prerequisites: RVC-03 live for ≥ 12 months; coder + clinician engagement for the remediation cycle.</w:t>
      </w:r>
    </w:p>
    <w:p>
      <w:pPr>
        <w:pStyle w:val="Heading4"/>
        <w:spacing w:after="100" w:before="220"/>
      </w:pPr>
      <w:r>
        <w:rPr>
          <w:rFonts w:ascii="Aptos" w:cs="Aptos" w:eastAsia="Aptos" w:hAnsi="Aptos"/>
          <w:b/>
          <w:bCs/>
          <w:color w:val="0B111E"/>
          <w:sz w:val="20"/>
          <w:szCs w:val="20"/>
        </w:rPr>
        <w:t xml:space="preserve">Self-Healing Grid · $10–18M</w:t>
      </w:r>
    </w:p>
    <w:p>
      <w:pPr>
        <w:spacing w:after="140"/>
      </w:pPr>
      <w:r>
        <w:rPr>
          <w:b/>
          <w:bCs/>
        </w:rPr>
        <w:t xml:space="preserve">Practices:</w:t>
      </w:r>
      <w:r>
        <w:t xml:space="preserve"> ER. </w:t>
      </w:r>
      <w:r>
        <w:rPr>
          <w:b/>
          <w:bCs/>
        </w:rPr>
        <w:t xml:space="preserve">Builds on:</w:t>
      </w:r>
      <w:r>
        <w:t xml:space="preserve"> GRD-02 + Predictive Grid Stability.</w:t>
      </w:r>
    </w:p>
    <w:p>
      <w:pPr>
        <w:spacing w:after="140"/>
      </w:pPr>
      <w:r>
        <w:t xml:space="preserve">Not full autonomy — rather, continuous systemic-fragility detection and routing of remediation into the maintenance planning cycle. Grid reliability improves year over year without discrete capital projects. The envelope is high because the feedback loop touches asset-management, capital-planning, and regulator-filing cycles. Prerequisites: GRD-02 + Predictive Grid Stability; CIP-compliant integration with asset-management and EAM systems.</w:t>
      </w:r>
    </w:p>
    <w:p>
      <w:pPr>
        <w:pStyle w:val="Heading4"/>
        <w:spacing w:after="100" w:before="220"/>
      </w:pPr>
      <w:r>
        <w:rPr>
          <w:rFonts w:ascii="Aptos" w:cs="Aptos" w:eastAsia="Aptos" w:hAnsi="Aptos"/>
          <w:b/>
          <w:bCs/>
          <w:color w:val="0B111E"/>
          <w:sz w:val="20"/>
          <w:szCs w:val="20"/>
        </w:rPr>
        <w:t xml:space="preserve">Self-Healing Production Line · $6–11M</w:t>
      </w:r>
    </w:p>
    <w:p>
      <w:pPr>
        <w:spacing w:after="140"/>
      </w:pPr>
      <w:r>
        <w:rPr>
          <w:b/>
          <w:bCs/>
        </w:rPr>
        <w:t xml:space="preserve">Practices:</w:t>
      </w:r>
      <w:r>
        <w:t xml:space="preserve"> AXLE. </w:t>
      </w:r>
      <w:r>
        <w:rPr>
          <w:b/>
          <w:bCs/>
        </w:rPr>
        <w:t xml:space="preserve">Builds on:</w:t>
      </w:r>
      <w:r>
        <w:t xml:space="preserve"> LDT-01 + Predictive Line-Down + Causal AI for Quality.</w:t>
      </w:r>
    </w:p>
    <w:p>
      <w:pPr>
        <w:spacing w:after="140"/>
      </w:pPr>
      <w:r>
        <w:t xml:space="preserve">LDT-01 + predictive + causal = a system that recommends preventive action ahead of halts and closes its own loop on outcome. Line-down-minutes fall while first-time-fix rises. Prerequisites: prior three live; shop-floor action-execution integration (manual approval gate remains).</w:t>
      </w:r>
    </w:p>
    <w:p>
      <w:pPr>
        <w:pStyle w:val="Heading4"/>
        <w:spacing w:after="100" w:before="220"/>
      </w:pPr>
      <w:r>
        <w:rPr>
          <w:rFonts w:ascii="Aptos" w:cs="Aptos" w:eastAsia="Aptos" w:hAnsi="Aptos"/>
          <w:b/>
          <w:bCs/>
          <w:color w:val="0B111E"/>
          <w:sz w:val="20"/>
          <w:szCs w:val="20"/>
        </w:rPr>
        <w:t xml:space="preserve">Zero-Scrap Closed Loop · $7–12M</w:t>
      </w:r>
    </w:p>
    <w:p>
      <w:pPr>
        <w:spacing w:after="140"/>
      </w:pPr>
      <w:r>
        <w:rPr>
          <w:b/>
          <w:bCs/>
        </w:rPr>
        <w:t xml:space="preserve">Practices:</w:t>
      </w:r>
      <w:r>
        <w:t xml:space="preserve"> AXLE. </w:t>
      </w:r>
      <w:r>
        <w:rPr>
          <w:b/>
          <w:bCs/>
        </w:rPr>
        <w:t xml:space="preserve">Builds on:</w:t>
      </w:r>
      <w:r>
        <w:t xml:space="preserve"> QEX-02 + Causal AI for Quality.</w:t>
      </w:r>
    </w:p>
    <w:p>
      <w:pPr>
        <w:spacing w:after="140"/>
      </w:pPr>
      <w:r>
        <w:t xml:space="preserve">QEX-02 plus a causal analyst that adjusts upstream process parameters within configured bounds to reduce recurrence. First-pass-yield lifts without human intervention in normal bounds; out-of-bounds still HITL. The commercial promise is the flagship name — and conservative AXLE clients reach it in ~18 months. Prerequisites: QEX-02 + Causal AI for Quality live; SPC control-limit authority granted within bounds; quality leadership sponsorship for the parameter-adjustment policy.</w:t>
      </w:r>
    </w:p>
    <w:p>
      <w:pPr>
        <w:pStyle w:val="Heading4"/>
        <w:spacing w:after="100" w:before="220"/>
      </w:pPr>
      <w:r>
        <w:rPr>
          <w:rFonts w:ascii="Aptos" w:cs="Aptos" w:eastAsia="Aptos" w:hAnsi="Aptos"/>
          <w:b/>
          <w:bCs/>
          <w:color w:val="0B111E"/>
          <w:sz w:val="20"/>
          <w:szCs w:val="20"/>
        </w:rPr>
        <w:t xml:space="preserve">Self-Healing Subscription Ops · $3–5M</w:t>
      </w:r>
    </w:p>
    <w:p>
      <w:pPr>
        <w:spacing w:after="140"/>
      </w:pPr>
      <w:r>
        <w:rPr>
          <w:b/>
          <w:bCs/>
        </w:rPr>
        <w:t xml:space="preserve">Practices:</w:t>
      </w:r>
      <w:r>
        <w:t xml:space="preserve"> TMT. </w:t>
      </w:r>
      <w:r>
        <w:rPr>
          <w:b/>
          <w:bCs/>
        </w:rPr>
        <w:t xml:space="preserve">Builds on:</w:t>
      </w:r>
      <w:r>
        <w:t xml:space="preserve"> SUB-04.</w:t>
      </w:r>
    </w:p>
    <w:p>
      <w:pPr>
        <w:spacing w:after="140"/>
      </w:pPr>
      <w:r>
        <w:t xml:space="preserve">SUB-04 plus recovery-execution — autonomously retries payments, offers plan-rightsizing, manages household-account consolidation within configured bounds. Retention improves without manual intervention on the routine cases. Prerequisites: SUB-04 live; billing-system integration for automated actions.</w:t>
      </w:r>
    </w:p>
    <w:p>
      <w:pPr>
        <w:pStyle w:val="Heading4"/>
        <w:spacing w:after="100" w:before="220"/>
      </w:pPr>
      <w:r>
        <w:rPr>
          <w:rFonts w:ascii="Aptos" w:cs="Aptos" w:eastAsia="Aptos" w:hAnsi="Aptos"/>
          <w:b/>
          <w:bCs/>
          <w:color w:val="0B111E"/>
          <w:sz w:val="20"/>
          <w:szCs w:val="20"/>
        </w:rPr>
        <w:t xml:space="preserve">Self-Healing Revenue Management · $3–5M</w:t>
      </w:r>
    </w:p>
    <w:p>
      <w:pPr>
        <w:spacing w:after="140"/>
      </w:pPr>
      <w:r>
        <w:rPr>
          <w:b/>
          <w:bCs/>
        </w:rPr>
        <w:t xml:space="preserve">Practices:</w:t>
      </w:r>
      <w:r>
        <w:t xml:space="preserve"> TH. </w:t>
      </w:r>
      <w:r>
        <w:rPr>
          <w:b/>
          <w:bCs/>
        </w:rPr>
        <w:t xml:space="preserve">Builds on:</w:t>
      </w:r>
      <w:r>
        <w:t xml:space="preserve"> RMA-04.</w:t>
      </w:r>
    </w:p>
    <w:p>
      <w:pPr>
        <w:spacing w:after="140"/>
      </w:pPr>
      <w:r>
        <w:t xml:space="preserve">RMA-04 plus correction-execution within approved guardrails. Rate leakage closes; revenue management becomes proactive instead of reactive. Prerequisites: RMA-04 live; revenue-management-system integration with bounded automated-adjustment authority.</w:t>
      </w:r>
    </w:p>
    <w:p>
      <w:pPr>
        <w:pStyle w:val="Heading4"/>
        <w:spacing w:after="100" w:before="220"/>
      </w:pPr>
      <w:r>
        <w:rPr>
          <w:rFonts w:ascii="Aptos" w:cs="Aptos" w:eastAsia="Aptos" w:hAnsi="Aptos"/>
          <w:b/>
          <w:bCs/>
          <w:color w:val="0B111E"/>
          <w:sz w:val="20"/>
          <w:szCs w:val="20"/>
        </w:rPr>
        <w:t xml:space="preserve">Self-Healing Field Service · $5–8M</w:t>
      </w:r>
    </w:p>
    <w:p>
      <w:pPr>
        <w:spacing w:after="140"/>
      </w:pPr>
      <w:r>
        <w:rPr>
          <w:b/>
          <w:bCs/>
        </w:rPr>
        <w:t xml:space="preserve">Practices:</w:t>
      </w:r>
      <w:r>
        <w:t xml:space="preserve"> ICE. </w:t>
      </w:r>
      <w:r>
        <w:rPr>
          <w:b/>
          <w:bCs/>
        </w:rPr>
        <w:t xml:space="preserve">Builds on:</w:t>
      </w:r>
      <w:r>
        <w:t xml:space="preserve"> FAF-01 + Predictive Equipment Failure.</w:t>
      </w:r>
    </w:p>
    <w:p>
      <w:pPr>
        <w:spacing w:after="140"/>
      </w:pPr>
      <w:r>
        <w:t xml:space="preserve">Proactive dispatch based on predicted failures, with self-loop on outcome quality. Technician arrives before the customer knows — a direct XaaS-contract differentiator. Prerequisites: prior two live; dealer-network coordination for cross-depot dispatch.</w:t>
      </w:r>
    </w:p>
    <w:p>
      <w:pPr>
        <w:pStyle w:val="Heading3"/>
        <w:spacing w:after="120" w:before="260"/>
      </w:pPr>
      <w:r>
        <w:rPr>
          <w:rFonts w:ascii="Aptos" w:cs="Aptos" w:eastAsia="Aptos" w:hAnsi="Aptos"/>
          <w:b/>
          <w:bCs/>
          <w:color w:val="0B111E"/>
          <w:sz w:val="24"/>
          <w:szCs w:val="24"/>
        </w:rPr>
        <w:t xml:space="preserve">19A.4 Tier 3 Flagships — Agentic Contact, A2A, S2S</w:t>
      </w:r>
    </w:p>
    <w:p>
      <w:pPr>
        <w:pStyle w:val="Heading4"/>
        <w:spacing w:after="100" w:before="220"/>
      </w:pPr>
      <w:r>
        <w:rPr>
          <w:rFonts w:ascii="Aptos" w:cs="Aptos" w:eastAsia="Aptos" w:hAnsi="Aptos"/>
          <w:b/>
          <w:bCs/>
          <w:color w:val="0B111E"/>
          <w:sz w:val="20"/>
          <w:szCs w:val="20"/>
        </w:rPr>
        <w:t xml:space="preserve">Agentic Contact Center · $8–15M</w:t>
      </w:r>
    </w:p>
    <w:p>
      <w:pPr>
        <w:spacing w:after="140"/>
      </w:pPr>
      <w:r>
        <w:rPr>
          <w:b/>
          <w:bCs/>
        </w:rPr>
        <w:t xml:space="preserve">Practices:</w:t>
      </w:r>
      <w:r>
        <w:t xml:space="preserve"> Cross-practice — starts in RC or TMT, extends everywhere.</w:t>
      </w:r>
    </w:p>
    <w:p>
      <w:pPr>
        <w:spacing w:after="140"/>
      </w:pPr>
      <w:r>
        <w:t xml:space="preserve">Voice, chat, and text interactions handled by agents with HITL escalation below a configurable confidence threshold. APEX's contribution is the </w:t>
      </w:r>
      <w:r>
        <w:rPr>
          <w:b/>
          <w:bCs/>
        </w:rPr>
        <w:t xml:space="preserve">contract-backed context</w:t>
      </w:r>
      <w:r>
        <w:t xml:space="preserve"> — the contact-center agent queries APEX domain MCPs for up-to-the-second tenant-specific data, rather than generic knowledge-base answers. Prerequisites: at least one Practice at full-catalogue maturity; voice platform (Azure Communication Services or equivalent); trained escalation hierarchy.</w:t>
      </w:r>
    </w:p>
    <w:p>
      <w:pPr>
        <w:pStyle w:val="Heading4"/>
        <w:spacing w:after="100" w:before="220"/>
      </w:pPr>
      <w:r>
        <w:rPr>
          <w:rFonts w:ascii="Aptos" w:cs="Aptos" w:eastAsia="Aptos" w:hAnsi="Aptos"/>
          <w:b/>
          <w:bCs/>
          <w:color w:val="0B111E"/>
          <w:sz w:val="20"/>
          <w:szCs w:val="20"/>
        </w:rPr>
        <w:t xml:space="preserve">Voice Agent-to-Agent (A2A) · $6–12M</w:t>
      </w:r>
    </w:p>
    <w:p>
      <w:pPr>
        <w:spacing w:after="140"/>
      </w:pPr>
      <w:r>
        <w:rPr>
          <w:b/>
          <w:bCs/>
        </w:rPr>
        <w:t xml:space="preserve">Practices:</w:t>
      </w:r>
      <w:r>
        <w:t xml:space="preserve"> TMT, TH primarily.</w:t>
      </w:r>
    </w:p>
    <w:p>
      <w:pPr>
        <w:spacing w:after="140"/>
      </w:pPr>
      <w:r>
        <w:t xml:space="preserve">Agent-to-agent voice interactions for rebooking, dispute resolution, service-recovery workflows where a customer's call can be handled end-to-end by agent interaction including an outbound voice call to a third party (partner hotel, ground-transport operator, secondary airline). Deeply differentiating for travel disruption recovery. Prerequisites: mature contact-center agentic; third-party voice-channel interoperability agreements.</w:t>
      </w:r>
    </w:p>
    <w:p>
      <w:pPr>
        <w:pStyle w:val="Heading4"/>
        <w:spacing w:after="100" w:before="220"/>
      </w:pPr>
      <w:r>
        <w:rPr>
          <w:rFonts w:ascii="Aptos" w:cs="Aptos" w:eastAsia="Aptos" w:hAnsi="Aptos"/>
          <w:b/>
          <w:bCs/>
          <w:color w:val="0B111E"/>
          <w:sz w:val="20"/>
          <w:szCs w:val="20"/>
        </w:rPr>
        <w:t xml:space="preserve">Service-to-Service (S2S) Orchestrator · $4–8M</w:t>
      </w:r>
    </w:p>
    <w:p>
      <w:pPr>
        <w:spacing w:after="140"/>
      </w:pPr>
      <w:r>
        <w:rPr>
          <w:b/>
          <w:bCs/>
        </w:rPr>
        <w:t xml:space="preserve">Practices:</w:t>
      </w:r>
      <w:r>
        <w:t xml:space="preserve"> Any multi-Practice client.</w:t>
      </w:r>
    </w:p>
    <w:p>
      <w:pPr>
        <w:spacing w:after="140"/>
      </w:pPr>
      <w:r>
        <w:t xml:space="preserve">APEX services triggering other APEX services in the same tenant through typed MCP surfaces. Example: an RC Customer Incident that cross-correlates triggers an RC Recall Response; an HLS Supply Expiry service that queries AXLE Recall Traceability for cross-industry lot overlaps. Prerequisites: at least two Practices live; cross-Practice ARB.</w:t>
      </w:r>
    </w:p>
    <w:p>
      <w:pPr>
        <w:pStyle w:val="Heading4"/>
        <w:spacing w:after="100" w:before="220"/>
      </w:pPr>
      <w:r>
        <w:rPr>
          <w:rFonts w:ascii="Aptos" w:cs="Aptos" w:eastAsia="Aptos" w:hAnsi="Aptos"/>
          <w:b/>
          <w:bCs/>
          <w:color w:val="0B111E"/>
          <w:sz w:val="20"/>
          <w:szCs w:val="20"/>
        </w:rPr>
        <w:t xml:space="preserve">Cross-Practice Recall Coordinator · $5–9M</w:t>
      </w:r>
    </w:p>
    <w:p>
      <w:pPr>
        <w:spacing w:after="140"/>
      </w:pPr>
      <w:r>
        <w:rPr>
          <w:b/>
          <w:bCs/>
        </w:rPr>
        <w:t xml:space="preserve">Practices:</w:t>
      </w:r>
      <w:r>
        <w:t xml:space="preserve"> RC + HLS + AXLE + ICE (any subset that's live).</w:t>
      </w:r>
    </w:p>
    <w:p>
      <w:pPr>
        <w:spacing w:after="140"/>
      </w:pPr>
      <w:r>
        <w:t xml:space="preserve">A recall in one Practice triggers lot-trace evaluation and containment workflows in the others — medical-device recalls ripple into AXLE supplier investigations and RC retail distribution checks automatically. Compliance-primary ROI. Prerequisites: at least two recall-capable Practices (RC-RCL-05, HLS-SUP-04, AXLE-RCL-04, ICE-WCP-03) live.</w:t>
      </w:r>
    </w:p>
    <w:p>
      <w:pPr>
        <w:pStyle w:val="Heading4"/>
        <w:spacing w:after="100" w:before="220"/>
      </w:pPr>
      <w:r>
        <w:rPr>
          <w:rFonts w:ascii="Aptos" w:cs="Aptos" w:eastAsia="Aptos" w:hAnsi="Aptos"/>
          <w:b/>
          <w:bCs/>
          <w:color w:val="0B111E"/>
          <w:sz w:val="20"/>
          <w:szCs w:val="20"/>
        </w:rPr>
        <w:t xml:space="preserve">Proactive Customer Outreach · $5–9M</w:t>
      </w:r>
    </w:p>
    <w:p>
      <w:pPr>
        <w:spacing w:after="140"/>
      </w:pPr>
      <w:r>
        <w:rPr>
          <w:b/>
          <w:bCs/>
        </w:rPr>
        <w:t xml:space="preserve">Practices:</w:t>
      </w:r>
      <w:r>
        <w:t xml:space="preserve"> RC / TMT / TH.</w:t>
      </w:r>
    </w:p>
    <w:p>
      <w:pPr>
        <w:spacing w:after="140"/>
      </w:pPr>
      <w:r>
        <w:t xml:space="preserve">Services that reach out before the customer reaches in — BOPIS substitution predicted for a loyalty guest, disruption-recovery reaching passengers before the announcement, service-quality credit extended before the complaint. Strong retention ROI. Prerequisites: tokenised customer state; consent-management maturity; outbound-channel capability.</w:t>
      </w:r>
    </w:p>
    <w:p>
      <w:pPr>
        <w:pStyle w:val="Heading4"/>
        <w:spacing w:after="100" w:before="220"/>
      </w:pPr>
      <w:r>
        <w:rPr>
          <w:rFonts w:ascii="Aptos" w:cs="Aptos" w:eastAsia="Aptos" w:hAnsi="Aptos"/>
          <w:b/>
          <w:bCs/>
          <w:color w:val="0B111E"/>
          <w:sz w:val="20"/>
          <w:szCs w:val="20"/>
        </w:rPr>
        <w:t xml:space="preserve">Field-to-Factory Feedback Loop · $6–10M</w:t>
      </w:r>
    </w:p>
    <w:p>
      <w:pPr>
        <w:spacing w:after="140"/>
      </w:pPr>
      <w:r>
        <w:rPr>
          <w:b/>
          <w:bCs/>
        </w:rPr>
        <w:t xml:space="preserve">Practices:</w:t>
      </w:r>
      <w:r>
        <w:t xml:space="preserve"> AXLE + ICE.</w:t>
      </w:r>
    </w:p>
    <w:p>
      <w:pPr>
        <w:spacing w:after="140"/>
      </w:pPr>
      <w:r>
        <w:t xml:space="preserve">Field-service failures reported by ICE field-asset telematics feed back into AXLE production quality as leading indicators. Particularly powerful for OEMs whose field-service data has never previously been routed back into production engineering at this cadence. Prerequisites: FAF-01 + QEX-02 both live; OEM–dealer data-sharing agreement.</w:t>
      </w:r>
    </w:p>
    <w:p>
      <w:pPr>
        <w:pStyle w:val="Heading3"/>
        <w:spacing w:after="120" w:before="260"/>
      </w:pPr>
      <w:r>
        <w:rPr>
          <w:rFonts w:ascii="Aptos" w:cs="Aptos" w:eastAsia="Aptos" w:hAnsi="Aptos"/>
          <w:b/>
          <w:bCs/>
          <w:color w:val="0B111E"/>
          <w:sz w:val="24"/>
          <w:szCs w:val="24"/>
        </w:rPr>
        <w:t xml:space="preserve">19A.5 Tier 4 Flagships — Autonomous / North Star</w:t>
      </w:r>
    </w:p>
    <w:p>
      <w:pPr>
        <w:pStyle w:val="Heading4"/>
        <w:spacing w:after="100" w:before="220"/>
      </w:pPr>
      <w:r>
        <w:rPr>
          <w:rFonts w:ascii="Aptos" w:cs="Aptos" w:eastAsia="Aptos" w:hAnsi="Aptos"/>
          <w:b/>
          <w:bCs/>
          <w:color w:val="0B111E"/>
          <w:sz w:val="20"/>
          <w:szCs w:val="20"/>
        </w:rPr>
        <w:t xml:space="preserve">Single Pane of Glass · $10–20M</w:t>
      </w:r>
    </w:p>
    <w:p>
      <w:pPr>
        <w:spacing w:after="140"/>
      </w:pPr>
      <w:r>
        <w:rPr>
          <w:b/>
          <w:bCs/>
        </w:rPr>
        <w:t xml:space="preserve">Practices:</w:t>
      </w:r>
      <w:r>
        <w:t xml:space="preserve"> All subscribed Practices at the tenant.</w:t>
      </w:r>
    </w:p>
    <w:p>
      <w:pPr>
        <w:spacing w:after="140"/>
      </w:pPr>
      <w:r>
        <w:t xml:space="preserve">One workbook, one operation_Id format, one audit schema, one identity plane across every service in every Practice the tenant runs. Executive operational awareness across seven-Practice portfolios becomes the default. Non-monetised but the programmatic north star that sets APEX apart from single-Practice competitors. Prerequisites: three or more Practices at Wave-3 scale; cross-Practice observability workbook operational.</w:t>
      </w:r>
    </w:p>
    <w:p>
      <w:pPr>
        <w:pStyle w:val="Heading4"/>
        <w:spacing w:after="100" w:before="220"/>
      </w:pPr>
      <w:r>
        <w:rPr>
          <w:rFonts w:ascii="Aptos" w:cs="Aptos" w:eastAsia="Aptos" w:hAnsi="Aptos"/>
          <w:b/>
          <w:bCs/>
          <w:color w:val="0B111E"/>
          <w:sz w:val="20"/>
          <w:szCs w:val="20"/>
        </w:rPr>
        <w:t xml:space="preserve">Digital Thread from Event to Customer · $12–22M</w:t>
      </w:r>
    </w:p>
    <w:p>
      <w:pPr>
        <w:spacing w:after="140"/>
      </w:pPr>
      <w:r>
        <w:rPr>
          <w:b/>
          <w:bCs/>
        </w:rPr>
        <w:t xml:space="preserve">Practices:</w:t>
      </w:r>
      <w:r>
        <w:t xml:space="preserve"> Cross-practice — starts with RC + HLS + AXLE.</w:t>
      </w:r>
    </w:p>
    <w:p>
      <w:pPr>
        <w:spacing w:after="140"/>
      </w:pPr>
      <w:r>
        <w:t xml:space="preserve">A consequential event — a reefer excursion, a sepsis warning, a grid anomaly, a line-down — traces end-to-end from sensor to decision to action to customer-visible outcome with no broken seams, no lost context, no manual handoff. APEX's contract is what makes this possible; the Tier-4 solution ships the tooling and playbooks. Prerequisites: Single Pane of Glass live; S2S orchestrator operational; cross-Practice data-lineage discipline.</w:t>
      </w:r>
    </w:p>
    <w:p>
      <w:pPr>
        <w:pStyle w:val="Heading4"/>
        <w:spacing w:after="100" w:before="220"/>
      </w:pPr>
      <w:r>
        <w:rPr>
          <w:rFonts w:ascii="Aptos" w:cs="Aptos" w:eastAsia="Aptos" w:hAnsi="Aptos"/>
          <w:b/>
          <w:bCs/>
          <w:color w:val="0B111E"/>
          <w:sz w:val="20"/>
          <w:szCs w:val="20"/>
        </w:rPr>
        <w:t xml:space="preserve">Autonomous Practice Operations · $15–25M</w:t>
      </w:r>
    </w:p>
    <w:p>
      <w:pPr>
        <w:spacing w:after="140"/>
      </w:pPr>
      <w:r>
        <w:rPr>
          <w:b/>
          <w:bCs/>
        </w:rPr>
        <w:t xml:space="preserve">Practices:</w:t>
      </w:r>
      <w:r>
        <w:t xml:space="preserve"> One Practice at a time.</w:t>
      </w:r>
    </w:p>
    <w:p>
      <w:pPr>
        <w:spacing w:after="140"/>
      </w:pPr>
      <w:r>
        <w:t xml:space="preserve">Level-5 autonomy on the subset of the Practice's services where the cost-benefit of HITL is measurably negative (bounded-consequence, high-volume, low-FPR services). Not "all services autonomous" — "the right services autonomous." Shipped per-Practice: autonomous RC first, then HLS (narrow scope), then ER (specific services), etc. Prerequisites: the Practice at Wave-3 maturity for ≥ 12 months; DAR (Decision Audit Review) proof of 97%+ unanimous approval on the candidate services; audit-function sign-off.</w:t>
      </w:r>
    </w:p>
    <w:p>
      <w:pPr>
        <w:pStyle w:val="Heading4"/>
        <w:spacing w:after="100" w:before="220"/>
      </w:pPr>
      <w:r>
        <w:rPr>
          <w:rFonts w:ascii="Aptos" w:cs="Aptos" w:eastAsia="Aptos" w:hAnsi="Aptos"/>
          <w:b/>
          <w:bCs/>
          <w:color w:val="0B111E"/>
          <w:sz w:val="20"/>
          <w:szCs w:val="20"/>
        </w:rPr>
        <w:t xml:space="preserve">The Enterprise Decision OS · $25–40M+</w:t>
      </w:r>
    </w:p>
    <w:p>
      <w:pPr>
        <w:spacing w:after="140"/>
      </w:pPr>
      <w:r>
        <w:rPr>
          <w:b/>
          <w:bCs/>
        </w:rPr>
        <w:t xml:space="preserve">Practices:</w:t>
      </w:r>
      <w:r>
        <w:t xml:space="preserve"> All 7 Practices together.</w:t>
      </w:r>
    </w:p>
    <w:p>
      <w:pPr>
        <w:spacing w:after="140"/>
      </w:pPr>
      <w:r>
        <w:t xml:space="preserve">The flagship of flagships. A client-wide decision operating system where every consequential enterprise event flows through APEX, auditable, reversible, continuously improving, and delivering bounded autonomy on the services where autonomy is proven safe. This is the 5+ year destination, pursued by a small number of reference clients who use APEX as strategic competitive infrastructure. Prerequisites: all seven Practices at Wave-3 maturity; cross-Practice orchestrations operational; board-level commitment to the decision-OS thesis.</w:t>
      </w:r>
    </w:p>
    <w:p>
      <w:pPr>
        <w:pStyle w:val="Heading3"/>
        <w:spacing w:after="120" w:before="260"/>
      </w:pPr>
      <w:r>
        <w:rPr>
          <w:rFonts w:ascii="Aptos" w:cs="Aptos" w:eastAsia="Aptos" w:hAnsi="Aptos"/>
          <w:b/>
          <w:bCs/>
          <w:color w:val="0B111E"/>
          <w:sz w:val="24"/>
          <w:szCs w:val="24"/>
        </w:rPr>
        <w:t xml:space="preserve">19A.6 Investment Envelope Discipline</w:t>
      </w:r>
    </w:p>
    <w:p>
      <w:pPr>
        <w:spacing w:after="140"/>
      </w:pPr>
      <w:r>
        <w:t xml:space="preserve">Every flagship envelope in this chapter is presented as a range. Three factors explain the range:</w:t>
      </w:r>
    </w:p>
    <w:p>
      <w:pPr>
        <w:spacing w:after="140"/>
      </w:pPr>
      <w:r>
        <w:t xml:space="preserve">1. </w:t>
      </w:r>
      <w:r>
        <w:rPr>
          <w:b/>
          <w:bCs/>
        </w:rPr>
        <w:t xml:space="preserve">Scale</w:t>
      </w:r>
      <w:r>
        <w:t xml:space="preserve"> — single-site vs. enterprise (largest factor) 2. </w:t>
      </w:r>
      <w:r>
        <w:rPr>
          <w:b/>
          <w:bCs/>
        </w:rPr>
        <w:t xml:space="preserve">SOR integration maturity</w:t>
      </w:r>
      <w:r>
        <w:t xml:space="preserve"> — a client with mature, well-instrumented source systems lands flagships cheaper than one with fragmented SOR landscapes 3. </w:t>
      </w:r>
      <w:r>
        <w:rPr>
          <w:b/>
          <w:bCs/>
        </w:rPr>
        <w:t xml:space="preserve">Regulatory overlay</w:t>
      </w:r>
      <w:r>
        <w:t xml:space="preserve"> — regulated Practices (HLS, ER) carry a ~20–30% premium for compliance workstreams</w:t>
      </w:r>
    </w:p>
    <w:p>
      <w:pPr>
        <w:spacing w:after="140"/>
      </w:pPr>
      <w:r>
        <w:t xml:space="preserve">An experienced APEX account team produces a quote within the cited range ±10% after a two-week solution-discovery workshop. A client who has not gone through this workshop should treat these ranges as Class-C estimates only.</w:t>
      </w:r>
    </w:p>
    <w:p>
      <w:pPr>
        <w:pStyle w:val="Heading3"/>
        <w:spacing w:after="120" w:before="260"/>
      </w:pPr>
      <w:r>
        <w:rPr>
          <w:rFonts w:ascii="Aptos" w:cs="Aptos" w:eastAsia="Aptos" w:hAnsi="Aptos"/>
          <w:b/>
          <w:bCs/>
          <w:color w:val="0B111E"/>
          <w:sz w:val="24"/>
          <w:szCs w:val="24"/>
        </w:rPr>
        <w:t xml:space="preserve">19A.7 ROI Attribution Discipline</w:t>
      </w:r>
    </w:p>
    <w:p>
      <w:pPr>
        <w:spacing w:after="140"/>
      </w:pPr>
      <w:r>
        <w:t xml:space="preserve">The "Payback" column in §19A.1 distinguishes:</w:t>
      </w:r>
    </w:p>
    <w:p>
      <w:pPr>
        <w:pStyle w:val="ListParagraph"/>
        <w:numPr>
          <w:ilvl w:val="0"/>
          <w:numId w:val="1"/>
        </w:numPr>
        <w:spacing w:after="60"/>
      </w:pPr>
      <w:r>
        <w:rPr>
          <w:b/>
          <w:bCs/>
        </w:rPr>
        <w:t xml:space="preserve">Monetised</w:t>
      </w:r>
      <w:r>
        <w:t xml:space="preserve"> payback — direct $ benefit attributable to the flagship, with audit-row evidence</w:t>
      </w:r>
    </w:p>
    <w:p>
      <w:pPr>
        <w:pStyle w:val="ListParagraph"/>
        <w:numPr>
          <w:ilvl w:val="0"/>
          <w:numId w:val="1"/>
        </w:numPr>
        <w:spacing w:after="60"/>
      </w:pPr>
      <w:r>
        <w:rPr>
          <w:b/>
          <w:bCs/>
        </w:rPr>
        <w:t xml:space="preserve">Non-monetised</w:t>
      </w:r>
      <w:r>
        <w:t xml:space="preserve"> payback — safety, compliance, reliability, or strategic-positioning benefits where dollar attribution is contested but board-level value is real</w:t>
      </w:r>
    </w:p>
    <w:p>
      <w:pPr>
        <w:spacing w:after="140"/>
      </w:pPr>
      <w:r>
        <w:t xml:space="preserve">APEX's audit discipline lets clients make clean monetised attributions because every agent decision's downstream effect is captured in the audit row. This is one of APEX's quieter commercial differentiators in flagship-investment conversations.</w:t>
      </w:r>
    </w:p>
    <w:p>
      <w:pPr>
        <w:pStyle w:val="Heading2"/>
        <w:spacing w:after="140" w:before="300"/>
      </w:pPr>
      <w:r>
        <w:rPr>
          <w:rFonts w:ascii="Aptos Display" w:cs="Aptos Display" w:eastAsia="Aptos Display" w:hAnsi="Aptos Display"/>
          <w:b/>
          <w:bCs/>
          <w:color w:val="0B111E"/>
          <w:sz w:val="30"/>
          <w:szCs w:val="30"/>
        </w:rPr>
        <w:t xml:space="preserve">Chapter 20: Tier 1 — Predictive &amp; Causal Intelligence</w:t>
      </w:r>
    </w:p>
    <w:p>
      <w:pPr>
        <w:spacing w:after="140"/>
      </w:pPr>
      <w:r>
        <w:t xml:space="preserve">Tier 1 adds predictive and causal-inference capabilities to services that currently operate on reactive signals.</w:t>
      </w:r>
    </w:p>
    <w:p>
      <w:pPr>
        <w:pStyle w:val="Heading3"/>
        <w:spacing w:after="120" w:before="260"/>
      </w:pPr>
      <w:r>
        <w:rPr>
          <w:rFonts w:ascii="Aptos" w:cs="Aptos" w:eastAsia="Aptos" w:hAnsi="Aptos"/>
          <w:b/>
          <w:bCs/>
          <w:color w:val="0B111E"/>
          <w:sz w:val="24"/>
          <w:szCs w:val="24"/>
        </w:rPr>
        <w:t xml:space="preserve">17.1 Causal AI for Decisions</w:t>
      </w:r>
    </w:p>
    <w:p>
      <w:pPr>
        <w:spacing w:after="140"/>
      </w:pPr>
      <w:r>
        <w:t xml:space="preserve">Reactive service: "An excursion has occurred; recommend the disposition." Predictive/causal service: "These conditions tend to precede excursions; here is a preventive action with predicted impact."</w:t>
      </w:r>
    </w:p>
    <w:p>
      <w:pPr>
        <w:spacing w:after="140"/>
      </w:pPr>
      <w:r>
        <w:t xml:space="preserve">APEX Tier 1 adds causal-inference agents that reason about </w:t>
      </w:r>
      <w:r>
        <w:rPr>
          <w:b/>
          <w:bCs/>
        </w:rPr>
        <w:t xml:space="preserve">why</w:t>
      </w:r>
      <w:r>
        <w:t xml:space="preserve"> a pattern is occurring, not just that it is. Example: the Cold Chain service augments its disposition agent with a causal-analysis agent that connects the current excursion to prior compressor maintenance cycles, identifying a service-hours threshold beyond which soft-start failures cluster. The causal conclusion feeds a preventive maintenance recommendation — now maintenance acts before the excursion rather than after.</w:t>
      </w:r>
    </w:p>
    <w:p>
      <w:pPr>
        <w:pStyle w:val="Heading3"/>
        <w:spacing w:after="120" w:before="260"/>
      </w:pPr>
      <w:r>
        <w:rPr>
          <w:rFonts w:ascii="Aptos" w:cs="Aptos" w:eastAsia="Aptos" w:hAnsi="Aptos"/>
          <w:b/>
          <w:bCs/>
          <w:color w:val="0B111E"/>
          <w:sz w:val="24"/>
          <w:szCs w:val="24"/>
        </w:rPr>
        <w:t xml:space="preserve">17.2 Predictive KPI Services</w:t>
      </w:r>
    </w:p>
    <w:p>
      <w:pPr>
        <w:spacing w:after="140"/>
      </w:pPr>
      <w:r>
        <w:t xml:space="preserve">Every Practice gets at least one predictive/causal augmentation in Tier 1:</w:t>
      </w:r>
    </w:p>
    <w:p>
      <w:pPr>
        <w:pStyle w:val="ListParagraph"/>
        <w:numPr>
          <w:ilvl w:val="0"/>
          <w:numId w:val="1"/>
        </w:numPr>
        <w:spacing w:after="60"/>
      </w:pPr>
      <w:r>
        <w:rPr>
          <w:b/>
          <w:bCs/>
        </w:rPr>
        <w:t xml:space="preserve">Predictive Phantom-OOS</w:t>
      </w:r>
      <w:r>
        <w:t xml:space="preserve"> — RC — predicts phantom-OOS risk 24h ahead based on incoming promo schedules, shift patterns, and historical stock behaviour. Reduces walk-away revenue by 30-50% beyond OSA-04's reactive capture.</w:t>
      </w:r>
    </w:p>
    <w:p>
      <w:pPr>
        <w:pStyle w:val="ListParagraph"/>
        <w:numPr>
          <w:ilvl w:val="0"/>
          <w:numId w:val="1"/>
        </w:numPr>
        <w:spacing w:after="60"/>
      </w:pPr>
      <w:r>
        <w:rPr>
          <w:b/>
          <w:bCs/>
        </w:rPr>
        <w:t xml:space="preserve">Predictive Cold-Chain Failure</w:t>
      </w:r>
      <w:r>
        <w:t xml:space="preserve"> — RC — extends CXP-01 with compressor-failure prediction based on service-hour accumulation, duty cycles, and ambient-temp patterns. Moves disposition from reactive to preventive.</w:t>
      </w:r>
    </w:p>
    <w:p>
      <w:pPr>
        <w:pStyle w:val="ListParagraph"/>
        <w:numPr>
          <w:ilvl w:val="0"/>
          <w:numId w:val="1"/>
        </w:numPr>
        <w:spacing w:after="60"/>
      </w:pPr>
      <w:r>
        <w:rPr>
          <w:b/>
          <w:bCs/>
        </w:rPr>
        <w:t xml:space="preserve">Predictive Sepsis</w:t>
      </w:r>
      <w:r>
        <w:t xml:space="preserve"> — HLS — extends SEP-02 with 12h-ahead prediction using trend-pattern recognition (already operational at pilot sites; clinical publications in peer review).</w:t>
      </w:r>
    </w:p>
    <w:p>
      <w:pPr>
        <w:pStyle w:val="ListParagraph"/>
        <w:numPr>
          <w:ilvl w:val="0"/>
          <w:numId w:val="1"/>
        </w:numPr>
        <w:spacing w:after="60"/>
      </w:pPr>
      <w:r>
        <w:rPr>
          <w:b/>
          <w:bCs/>
        </w:rPr>
        <w:t xml:space="preserve">Predictive Readmission</w:t>
      </w:r>
      <w:r>
        <w:t xml:space="preserve"> — HLS — extends DSR-01 to predict 30-day readmission risk at discharge; drives discharge-planning and post-acute-care coordination decisions.</w:t>
      </w:r>
    </w:p>
    <w:p>
      <w:pPr>
        <w:pStyle w:val="ListParagraph"/>
        <w:numPr>
          <w:ilvl w:val="0"/>
          <w:numId w:val="1"/>
        </w:numPr>
        <w:spacing w:after="60"/>
      </w:pPr>
      <w:r>
        <w:rPr>
          <w:b/>
          <w:bCs/>
        </w:rPr>
        <w:t xml:space="preserve">Predictive Outage</w:t>
      </w:r>
      <w:r>
        <w:t xml:space="preserve"> — ER — extends MTR-01 with predictive weather+asset-health fusion. Identifies likely outage-zones 6-24h ahead of storms.</w:t>
      </w:r>
    </w:p>
    <w:p>
      <w:pPr>
        <w:pStyle w:val="ListParagraph"/>
        <w:numPr>
          <w:ilvl w:val="0"/>
          <w:numId w:val="1"/>
        </w:numPr>
        <w:spacing w:after="60"/>
      </w:pPr>
      <w:r>
        <w:rPr>
          <w:b/>
          <w:bCs/>
        </w:rPr>
        <w:t xml:space="preserve">Predictive Grid Instability</w:t>
      </w:r>
      <w:r>
        <w:t xml:space="preserve"> — ER — pre-emptive GRD-02 augmentation. Seeds load-shedding plans before oscillations propagate.</w:t>
      </w:r>
    </w:p>
    <w:p>
      <w:pPr>
        <w:pStyle w:val="ListParagraph"/>
        <w:numPr>
          <w:ilvl w:val="0"/>
          <w:numId w:val="1"/>
        </w:numPr>
        <w:spacing w:after="60"/>
      </w:pPr>
      <w:r>
        <w:rPr>
          <w:b/>
          <w:bCs/>
        </w:rPr>
        <w:t xml:space="preserve">Predictive Line-Down</w:t>
      </w:r>
      <w:r>
        <w:t xml:space="preserve"> — AXLE — asset-health-based line-down prediction hours before the halt. The key win is that the plant's maintenance team acts on the prediction, not on the halt.</w:t>
      </w:r>
    </w:p>
    <w:p>
      <w:pPr>
        <w:pStyle w:val="ListParagraph"/>
        <w:numPr>
          <w:ilvl w:val="0"/>
          <w:numId w:val="1"/>
        </w:numPr>
        <w:spacing w:after="60"/>
      </w:pPr>
      <w:r>
        <w:rPr>
          <w:b/>
          <w:bCs/>
        </w:rPr>
        <w:t xml:space="preserve">Predictive Quality Escape</w:t>
      </w:r>
      <w:r>
        <w:t xml:space="preserve"> — AXLE — extends QEX-02 to predict future quality excursions from upstream genealogy data.</w:t>
      </w:r>
    </w:p>
    <w:p>
      <w:pPr>
        <w:pStyle w:val="ListParagraph"/>
        <w:numPr>
          <w:ilvl w:val="0"/>
          <w:numId w:val="1"/>
        </w:numPr>
        <w:spacing w:after="60"/>
      </w:pPr>
      <w:r>
        <w:rPr>
          <w:b/>
          <w:bCs/>
        </w:rPr>
        <w:t xml:space="preserve">Predictive Network Congestion</w:t>
      </w:r>
      <w:r>
        <w:t xml:space="preserve"> — TMT — proactive capacity and traffic-shaping decisions ahead of events (sports, product launches, holiday spikes).</w:t>
      </w:r>
    </w:p>
    <w:p>
      <w:pPr>
        <w:pStyle w:val="ListParagraph"/>
        <w:numPr>
          <w:ilvl w:val="0"/>
          <w:numId w:val="1"/>
        </w:numPr>
        <w:spacing w:after="60"/>
      </w:pPr>
      <w:r>
        <w:rPr>
          <w:b/>
          <w:bCs/>
        </w:rPr>
        <w:t xml:space="preserve">Predictive Churn</w:t>
      </w:r>
      <w:r>
        <w:t xml:space="preserve"> — TMT — extends CCI-02 with 90-day horizon rather than 30-day.</w:t>
      </w:r>
    </w:p>
    <w:p>
      <w:pPr>
        <w:pStyle w:val="ListParagraph"/>
        <w:numPr>
          <w:ilvl w:val="0"/>
          <w:numId w:val="1"/>
        </w:numPr>
        <w:spacing w:after="60"/>
      </w:pPr>
      <w:r>
        <w:rPr>
          <w:b/>
          <w:bCs/>
        </w:rPr>
        <w:t xml:space="preserve">Predictive Disruption Recovery</w:t>
      </w:r>
      <w:r>
        <w:t xml:space="preserve"> — TH — begins preparing recovery plans when disruption likelihood crosses threshold (weather alerts, cascading cancellations), shortening the minutes-to-plan on actual disruptions.</w:t>
      </w:r>
    </w:p>
    <w:p>
      <w:pPr>
        <w:pStyle w:val="ListParagraph"/>
        <w:numPr>
          <w:ilvl w:val="0"/>
          <w:numId w:val="1"/>
        </w:numPr>
        <w:spacing w:after="60"/>
      </w:pPr>
      <w:r>
        <w:rPr>
          <w:b/>
          <w:bCs/>
        </w:rPr>
        <w:t xml:space="preserve">Predictive Equipment Failure</w:t>
      </w:r>
      <w:r>
        <w:t xml:space="preserve"> — ICE — extends FAF-01 with preventive-maintenance recommendations before the field failure.</w:t>
      </w:r>
    </w:p>
    <w:p>
      <w:pPr>
        <w:pStyle w:val="Heading3"/>
        <w:spacing w:after="120" w:before="260"/>
      </w:pPr>
      <w:r>
        <w:rPr>
          <w:rFonts w:ascii="Aptos" w:cs="Aptos" w:eastAsia="Aptos" w:hAnsi="Aptos"/>
          <w:b/>
          <w:bCs/>
          <w:color w:val="0B111E"/>
          <w:sz w:val="24"/>
          <w:szCs w:val="24"/>
        </w:rPr>
        <w:t xml:space="preserve">17.3 Causal Inference Services</w:t>
      </w:r>
    </w:p>
    <w:p>
      <w:pPr>
        <w:spacing w:after="140"/>
      </w:pPr>
      <w:r>
        <w:t xml:space="preserve">Beyond prediction, causal agents answer "why" not just "what":</w:t>
      </w:r>
    </w:p>
    <w:p>
      <w:pPr>
        <w:pStyle w:val="ListParagraph"/>
        <w:numPr>
          <w:ilvl w:val="0"/>
          <w:numId w:val="1"/>
        </w:numPr>
        <w:spacing w:after="60"/>
      </w:pPr>
      <w:r>
        <w:rPr>
          <w:b/>
          <w:bCs/>
        </w:rPr>
        <w:t xml:space="preserve">Cold-Chain Causal Analyst</w:t>
      </w:r>
      <w:r>
        <w:t xml:space="preserve"> — RC — connects current excursions to upstream maintenance cycles, ambient conditions, staffing patterns. Output: preventive recommendations with predicted impact.</w:t>
      </w:r>
    </w:p>
    <w:p>
      <w:pPr>
        <w:pStyle w:val="ListParagraph"/>
        <w:numPr>
          <w:ilvl w:val="0"/>
          <w:numId w:val="1"/>
        </w:numPr>
        <w:spacing w:after="60"/>
      </w:pPr>
      <w:r>
        <w:rPr>
          <w:b/>
          <w:bCs/>
        </w:rPr>
        <w:t xml:space="preserve">Denial Causal Analyst</w:t>
      </w:r>
      <w:r>
        <w:t xml:space="preserve"> — HLS — connects denial patterns to upstream coding, documentation, or payer-policy changes. Drives targeted training or process change.</w:t>
      </w:r>
    </w:p>
    <w:p>
      <w:pPr>
        <w:pStyle w:val="ListParagraph"/>
        <w:numPr>
          <w:ilvl w:val="0"/>
          <w:numId w:val="1"/>
        </w:numPr>
        <w:spacing w:after="60"/>
      </w:pPr>
      <w:r>
        <w:rPr>
          <w:b/>
          <w:bCs/>
        </w:rPr>
        <w:t xml:space="preserve">Outage Causal Analyst</w:t>
      </w:r>
      <w:r>
        <w:t xml:space="preserve"> — ER — root-cause-chains across grid events; identifies systemic fragilities beyond the individual incident.</w:t>
      </w:r>
    </w:p>
    <w:p>
      <w:pPr>
        <w:pStyle w:val="ListParagraph"/>
        <w:numPr>
          <w:ilvl w:val="0"/>
          <w:numId w:val="1"/>
        </w:numPr>
        <w:spacing w:after="60"/>
      </w:pPr>
      <w:r>
        <w:rPr>
          <w:b/>
          <w:bCs/>
        </w:rPr>
        <w:t xml:space="preserve">Quality Causal Analyst</w:t>
      </w:r>
      <w:r>
        <w:t xml:space="preserve"> — AXLE — connects excursions to upstream changes (material lot, operator, shift, tool wear).</w:t>
      </w:r>
    </w:p>
    <w:p>
      <w:pPr>
        <w:pStyle w:val="ListParagraph"/>
        <w:numPr>
          <w:ilvl w:val="0"/>
          <w:numId w:val="1"/>
        </w:numPr>
        <w:spacing w:after="60"/>
      </w:pPr>
      <w:r>
        <w:rPr>
          <w:b/>
          <w:bCs/>
        </w:rPr>
        <w:t xml:space="preserve">Churn Causal Analyst</w:t>
      </w:r>
      <w:r>
        <w:t xml:space="preserve"> — TMT — identifies which product changes or service incidents are driving cohort churn.</w:t>
      </w:r>
    </w:p>
    <w:p>
      <w:pPr>
        <w:pStyle w:val="ListParagraph"/>
        <w:numPr>
          <w:ilvl w:val="0"/>
          <w:numId w:val="1"/>
        </w:numPr>
        <w:spacing w:after="60"/>
      </w:pPr>
      <w:r>
        <w:rPr>
          <w:b/>
          <w:bCs/>
        </w:rPr>
        <w:t xml:space="preserve">Disruption Causal Analyst</w:t>
      </w:r>
      <w:r>
        <w:t xml:space="preserve"> — TH — identifies patterns in what disruptions cascade into customer-impact events.</w:t>
      </w:r>
    </w:p>
    <w:p>
      <w:pPr>
        <w:pStyle w:val="Heading3"/>
        <w:spacing w:after="120" w:before="260"/>
      </w:pPr>
      <w:r>
        <w:rPr>
          <w:rFonts w:ascii="Aptos" w:cs="Aptos" w:eastAsia="Aptos" w:hAnsi="Aptos"/>
          <w:b/>
          <w:bCs/>
          <w:color w:val="0B111E"/>
          <w:sz w:val="24"/>
          <w:szCs w:val="24"/>
        </w:rPr>
        <w:t xml:space="preserve">17.4 Demand-Sensing Services</w:t>
      </w:r>
    </w:p>
    <w:p>
      <w:pPr>
        <w:spacing w:after="140"/>
      </w:pPr>
      <w:r>
        <w:t xml:space="preserve">Agents that sense and respond to demand shifts at the Practice-appropriate granularity:</w:t>
      </w:r>
    </w:p>
    <w:p>
      <w:pPr>
        <w:pStyle w:val="ListParagraph"/>
        <w:numPr>
          <w:ilvl w:val="0"/>
          <w:numId w:val="1"/>
        </w:numPr>
        <w:spacing w:after="60"/>
      </w:pPr>
      <w:r>
        <w:rPr>
          <w:b/>
          <w:bCs/>
        </w:rPr>
        <w:t xml:space="preserve">RC:</w:t>
      </w:r>
      <w:r>
        <w:t xml:space="preserve"> store-SKU-day demand forecasting with promo and weather signals</w:t>
      </w:r>
    </w:p>
    <w:p>
      <w:pPr>
        <w:pStyle w:val="ListParagraph"/>
        <w:numPr>
          <w:ilvl w:val="0"/>
          <w:numId w:val="1"/>
        </w:numPr>
        <w:spacing w:after="60"/>
      </w:pPr>
      <w:r>
        <w:rPr>
          <w:b/>
          <w:bCs/>
        </w:rPr>
        <w:t xml:space="preserve">HLS:</w:t>
      </w:r>
      <w:r>
        <w:t xml:space="preserve"> bed capacity forecasting and inter-facility patient-flow</w:t>
      </w:r>
    </w:p>
    <w:p>
      <w:pPr>
        <w:pStyle w:val="ListParagraph"/>
        <w:numPr>
          <w:ilvl w:val="0"/>
          <w:numId w:val="1"/>
        </w:numPr>
        <w:spacing w:after="60"/>
      </w:pPr>
      <w:r>
        <w:rPr>
          <w:b/>
          <w:bCs/>
        </w:rPr>
        <w:t xml:space="preserve">ER:</w:t>
      </w:r>
      <w:r>
        <w:t xml:space="preserve"> load-shape forecasting and renewable-integration modelling</w:t>
      </w:r>
    </w:p>
    <w:p>
      <w:pPr>
        <w:pStyle w:val="ListParagraph"/>
        <w:numPr>
          <w:ilvl w:val="0"/>
          <w:numId w:val="1"/>
        </w:numPr>
        <w:spacing w:after="60"/>
      </w:pPr>
      <w:r>
        <w:rPr>
          <w:b/>
          <w:bCs/>
        </w:rPr>
        <w:t xml:space="preserve">AXLE:</w:t>
      </w:r>
      <w:r>
        <w:t xml:space="preserve"> schedule-adherence forecasting and supplier-lead-time prediction</w:t>
      </w:r>
    </w:p>
    <w:p>
      <w:pPr>
        <w:pStyle w:val="ListParagraph"/>
        <w:numPr>
          <w:ilvl w:val="0"/>
          <w:numId w:val="1"/>
        </w:numPr>
        <w:spacing w:after="60"/>
      </w:pPr>
      <w:r>
        <w:rPr>
          <w:b/>
          <w:bCs/>
        </w:rPr>
        <w:t xml:space="preserve">TMT:</w:t>
      </w:r>
      <w:r>
        <w:t xml:space="preserve"> subscription-demand forecasting and capacity-plan anticipation</w:t>
      </w:r>
    </w:p>
    <w:p>
      <w:pPr>
        <w:pStyle w:val="ListParagraph"/>
        <w:numPr>
          <w:ilvl w:val="0"/>
          <w:numId w:val="1"/>
        </w:numPr>
        <w:spacing w:after="60"/>
      </w:pPr>
      <w:r>
        <w:rPr>
          <w:b/>
          <w:bCs/>
        </w:rPr>
        <w:t xml:space="preserve">TH:</w:t>
      </w:r>
      <w:r>
        <w:t xml:space="preserve"> booking-curve forecasting with event-and-weather overlays</w:t>
      </w:r>
    </w:p>
    <w:p>
      <w:pPr>
        <w:pStyle w:val="ListParagraph"/>
        <w:numPr>
          <w:ilvl w:val="0"/>
          <w:numId w:val="1"/>
        </w:numPr>
        <w:spacing w:after="60"/>
      </w:pPr>
      <w:r>
        <w:rPr>
          <w:b/>
          <w:bCs/>
        </w:rPr>
        <w:t xml:space="preserve">ICE:</w:t>
      </w:r>
      <w:r>
        <w:t xml:space="preserve"> field-service demand and parts-consumption forecasting</w:t>
      </w:r>
    </w:p>
    <w:p>
      <w:pPr>
        <w:pStyle w:val="Heading2"/>
        <w:spacing w:after="140" w:before="300"/>
      </w:pPr>
      <w:r>
        <w:rPr>
          <w:rFonts w:ascii="Aptos Display" w:cs="Aptos Display" w:eastAsia="Aptos Display" w:hAnsi="Aptos Display"/>
          <w:b/>
          <w:bCs/>
          <w:color w:val="0B111E"/>
          <w:sz w:val="30"/>
          <w:szCs w:val="30"/>
        </w:rPr>
        <w:t xml:space="preserve">Chapter 21: Tier 2 — Self-Healing Operations</w:t>
      </w:r>
    </w:p>
    <w:p>
      <w:pPr>
        <w:spacing w:after="140"/>
      </w:pPr>
      <w:r>
        <w:t xml:space="preserve">Tier 2 services close the loop — they detect, decide, and act with reduced or zero HITL, producing measurable improvement on their own metrics over time.</w:t>
      </w:r>
    </w:p>
    <w:p>
      <w:pPr>
        <w:pStyle w:val="Heading3"/>
        <w:spacing w:after="120" w:before="260"/>
      </w:pPr>
      <w:r>
        <w:rPr>
          <w:rFonts w:ascii="Aptos" w:cs="Aptos" w:eastAsia="Aptos" w:hAnsi="Aptos"/>
          <w:b/>
          <w:bCs/>
          <w:color w:val="0B111E"/>
          <w:sz w:val="24"/>
          <w:szCs w:val="24"/>
        </w:rPr>
        <w:t xml:space="preserve">18.1 Self-Healing Services Portfolio</w:t>
      </w:r>
    </w:p>
    <w:p>
      <w:pPr>
        <w:spacing w:after="140"/>
      </w:pPr>
      <w:r>
        <w:rPr>
          <w:b/>
          <w:bCs/>
        </w:rPr>
        <w:t xml:space="preserve">Self-Healing Cold Chain (RC).</w:t>
      </w:r>
      <w:r>
        <w:t xml:space="preserve"> Beyond excursion response, the service manages reefer health continuously: when a unit's telemetry drifts, predictive maintenance ticket is raised; when maintenance is done, the healing confirmation closes the loop. The store never has an excursion because the compressor never failed.</w:t>
      </w:r>
    </w:p>
    <w:p>
      <w:pPr>
        <w:spacing w:after="140"/>
      </w:pPr>
      <w:r>
        <w:rPr>
          <w:b/>
          <w:bCs/>
        </w:rPr>
        <w:t xml:space="preserve">Self-Healing Pricing (RC).</w:t>
      </w:r>
      <w:r>
        <w:t xml:space="preserve"> The ESL service combines with the POS ring stream to automatically detect, remediate, and close pricing anomalies; it also learns from each cycle to reduce future occurrence. Stale-tag rate drops quarter-over-quarter without intervention.</w:t>
      </w:r>
    </w:p>
    <w:p>
      <w:pPr>
        <w:spacing w:after="140"/>
      </w:pPr>
      <w:r>
        <w:rPr>
          <w:b/>
          <w:bCs/>
        </w:rPr>
        <w:t xml:space="preserve">Self-Healing Denial Recovery (HLS).</w:t>
      </w:r>
      <w:r>
        <w:t xml:space="preserve"> RVC-03 plus a closed-loop quality agent that, for denials where appeals fail, identifies the documentation-quality gap and routes a remediation to the relevant clinical service. Future denials of the same type fall.</w:t>
      </w:r>
    </w:p>
    <w:p>
      <w:pPr>
        <w:spacing w:after="140"/>
      </w:pPr>
      <w:r>
        <w:rPr>
          <w:b/>
          <w:bCs/>
        </w:rPr>
        <w:t xml:space="preserve">Self-Healing Supply Expiry (HLS).</w:t>
      </w:r>
      <w:r>
        <w:t xml:space="preserve"> SUP-04 plus a cross-facility reallocation agent that moves stock autonomously at the system level before expiry, using consumption-pattern predictions. Expiry waste drops by 60%+ in steady state.</w:t>
      </w:r>
    </w:p>
    <w:p>
      <w:pPr>
        <w:spacing w:after="140"/>
      </w:pPr>
      <w:r>
        <w:rPr>
          <w:b/>
          <w:bCs/>
        </w:rPr>
        <w:t xml:space="preserve">Self-Healing Grid (ER).</w:t>
      </w:r>
      <w:r>
        <w:t xml:space="preserve"> GRD-02 plus a post-event root-cause agent that identifies systemic fragilities and routes them into the maintenance planning cycle. Grid reliability improves YoY without discrete projects.</w:t>
      </w:r>
    </w:p>
    <w:p>
      <w:pPr>
        <w:spacing w:after="140"/>
      </w:pPr>
      <w:r>
        <w:rPr>
          <w:b/>
          <w:bCs/>
        </w:rPr>
        <w:t xml:space="preserve">Self-Healing Meter Ops (ER).</w:t>
      </w:r>
      <w:r>
        <w:t xml:space="preserve"> MTR-01 plus a self-healing network remediator for communication-path issues. True outages go to dispatch; false-outages self-resolve.</w:t>
      </w:r>
    </w:p>
    <w:p>
      <w:pPr>
        <w:spacing w:after="140"/>
      </w:pPr>
      <w:r>
        <w:rPr>
          <w:b/>
          <w:bCs/>
        </w:rPr>
        <w:t xml:space="preserve">Self-Healing Production Line (AXLE).</w:t>
      </w:r>
      <w:r>
        <w:t xml:space="preserve"> LDT-01 combined with predictive maintenance produces a system that recommends preventive action ahead of predicted halts and closes its own loop on outcome. Line-down-minutes fall while first-time-fix rate rises.</w:t>
      </w:r>
    </w:p>
    <w:p>
      <w:pPr>
        <w:spacing w:after="140"/>
      </w:pPr>
      <w:r>
        <w:rPr>
          <w:b/>
          <w:bCs/>
        </w:rPr>
        <w:t xml:space="preserve">Self-Healing Quality (AXLE).</w:t>
      </w:r>
      <w:r>
        <w:t xml:space="preserve"> QEX-02 plus a causal analyst that adjusts upstream process parameters within limits to reduce recurrence. The first-pass-yield curve lifts without human intervention.</w:t>
      </w:r>
    </w:p>
    <w:p>
      <w:pPr>
        <w:spacing w:after="140"/>
      </w:pPr>
      <w:r>
        <w:rPr>
          <w:b/>
          <w:bCs/>
        </w:rPr>
        <w:t xml:space="preserve">Self-Healing Network Incident (TMT).</w:t>
      </w:r>
      <w:r>
        <w:t xml:space="preserve"> NET-01 plus a remediation-executor that autonomously applies known-safe fixes for recurring incident classes (well-understood BGP hiccups, common element-manager hiccups). Escalates to HITL for novel patterns.</w:t>
      </w:r>
    </w:p>
    <w:p>
      <w:pPr>
        <w:spacing w:after="140"/>
      </w:pPr>
      <w:r>
        <w:rPr>
          <w:b/>
          <w:bCs/>
        </w:rPr>
        <w:t xml:space="preserve">Self-Healing Subscription Ops (TMT).</w:t>
      </w:r>
      <w:r>
        <w:t xml:space="preserve"> SUB-04 plus a recovery-execution agent that autonomously retries payments, offers downgrades, and manages account-share detection within configured bounds. Retention improves without manual intervention on the routine cases.</w:t>
      </w:r>
    </w:p>
    <w:p>
      <w:pPr>
        <w:spacing w:after="140"/>
      </w:pPr>
      <w:r>
        <w:rPr>
          <w:b/>
          <w:bCs/>
        </w:rPr>
        <w:t xml:space="preserve">Self-Healing Revenue Management (TH).</w:t>
      </w:r>
      <w:r>
        <w:t xml:space="preserve"> RMA-04 plus a correction-execution agent that adjusts pricing and inventory within approved guardrails. Rate leakage closes; revenue management becomes proactive.</w:t>
      </w:r>
    </w:p>
    <w:p>
      <w:pPr>
        <w:spacing w:after="140"/>
      </w:pPr>
      <w:r>
        <w:rPr>
          <w:b/>
          <w:bCs/>
        </w:rPr>
        <w:t xml:space="preserve">Self-Healing Housekeeping (TH).</w:t>
      </w:r>
      <w:r>
        <w:t xml:space="preserve"> HER-06 plus an autonomous-routing refinement agent that learns from overrides and improves routing logic. Service levels improve over time.</w:t>
      </w:r>
    </w:p>
    <w:p>
      <w:pPr>
        <w:spacing w:after="140"/>
      </w:pPr>
      <w:r>
        <w:rPr>
          <w:b/>
          <w:bCs/>
        </w:rPr>
        <w:t xml:space="preserve">Self-Healing Field Service (ICE).</w:t>
      </w:r>
      <w:r>
        <w:t xml:space="preserve"> FAF-01 plus proactive dispatch — sends a technician before the customer knows there's a problem, based on predicted failures.</w:t>
      </w:r>
    </w:p>
    <w:p>
      <w:pPr>
        <w:spacing w:after="140"/>
      </w:pPr>
      <w:r>
        <w:rPr>
          <w:b/>
          <w:bCs/>
        </w:rPr>
        <w:t xml:space="preserve">Self-Healing As-a-Service Utilisation (ICE).</w:t>
      </w:r>
      <w:r>
        <w:t xml:space="preserve"> AAU-05 plus automatic rebalancing of fleet resources to maintain utilisation targets while respecting customer commitments.</w:t>
      </w:r>
    </w:p>
    <w:p>
      <w:pPr>
        <w:pStyle w:val="Heading3"/>
        <w:spacing w:after="120" w:before="260"/>
      </w:pPr>
      <w:r>
        <w:rPr>
          <w:rFonts w:ascii="Aptos" w:cs="Aptos" w:eastAsia="Aptos" w:hAnsi="Aptos"/>
          <w:b/>
          <w:bCs/>
          <w:color w:val="0B111E"/>
          <w:sz w:val="24"/>
          <w:szCs w:val="24"/>
        </w:rPr>
        <w:t xml:space="preserve">18.2 The Closed-Loop Discipline</w:t>
      </w:r>
    </w:p>
    <w:p>
      <w:pPr>
        <w:pStyle w:val="Heading3"/>
        <w:spacing w:after="120" w:before="260"/>
      </w:pPr>
      <w:r>
        <w:rPr>
          <w:rFonts w:ascii="Aptos" w:cs="Aptos" w:eastAsia="Aptos" w:hAnsi="Aptos"/>
          <w:b/>
          <w:bCs/>
          <w:color w:val="0B111E"/>
          <w:sz w:val="24"/>
          <w:szCs w:val="24"/>
        </w:rPr>
        <w:t xml:space="preserve">18.2 The Closed-Loop Discipline</w:t>
      </w:r>
    </w:p>
    <w:p>
      <w:pPr>
        <w:spacing w:after="140"/>
      </w:pPr>
      <w:r>
        <w:t xml:space="preserve">Self-healing services require additional discipline:</w:t>
      </w:r>
    </w:p>
    <w:p>
      <w:pPr>
        <w:pStyle w:val="ListParagraph"/>
        <w:numPr>
          <w:ilvl w:val="0"/>
          <w:numId w:val="1"/>
        </w:numPr>
        <w:spacing w:after="60"/>
      </w:pPr>
      <w:r>
        <w:rPr>
          <w:b/>
          <w:bCs/>
        </w:rPr>
        <w:t xml:space="preserve">Outcome attribution</w:t>
      </w:r>
      <w:r>
        <w:t xml:space="preserve"> — the service must be able to attribute improvement to its own action, not just to time passing</w:t>
      </w:r>
    </w:p>
    <w:p>
      <w:pPr>
        <w:pStyle w:val="ListParagraph"/>
        <w:numPr>
          <w:ilvl w:val="0"/>
          <w:numId w:val="1"/>
        </w:numPr>
        <w:spacing w:after="60"/>
      </w:pPr>
      <w:r>
        <w:rPr>
          <w:b/>
          <w:bCs/>
        </w:rPr>
        <w:t xml:space="preserve">Dampening</w:t>
      </w:r>
      <w:r>
        <w:t xml:space="preserve"> — the service must avoid over-correcting on noise</w:t>
      </w:r>
    </w:p>
    <w:p>
      <w:pPr>
        <w:pStyle w:val="ListParagraph"/>
        <w:numPr>
          <w:ilvl w:val="0"/>
          <w:numId w:val="1"/>
        </w:numPr>
        <w:spacing w:after="60"/>
      </w:pPr>
      <w:r>
        <w:rPr>
          <w:b/>
          <w:bCs/>
        </w:rPr>
        <w:t xml:space="preserve">Drift detection</w:t>
      </w:r>
      <w:r>
        <w:t xml:space="preserve"> — the service must notice when its own model of effectiveness is wrong</w:t>
      </w:r>
    </w:p>
    <w:p>
      <w:pPr>
        <w:spacing w:after="140"/>
      </w:pPr>
      <w:r>
        <w:t xml:space="preserve">APEX's audit-row architecture makes attribution possible because every action is tied to a specific agent decision with a measurable downstream effect. Self-healing is not just a technical concept — it is an audit-backed one.</w:t>
      </w:r>
    </w:p>
    <w:p>
      <w:pPr>
        <w:pStyle w:val="Heading2"/>
        <w:spacing w:after="140" w:before="300"/>
      </w:pPr>
      <w:r>
        <w:rPr>
          <w:rFonts w:ascii="Aptos Display" w:cs="Aptos Display" w:eastAsia="Aptos Display" w:hAnsi="Aptos Display"/>
          <w:b/>
          <w:bCs/>
          <w:color w:val="0B111E"/>
          <w:sz w:val="30"/>
          <w:szCs w:val="30"/>
        </w:rPr>
        <w:t xml:space="preserve">Chapter 22: Tier 3 — Agentic Contact &amp; Service-to-Service</w:t>
      </w:r>
    </w:p>
    <w:p>
      <w:pPr>
        <w:spacing w:after="140"/>
      </w:pPr>
      <w:r>
        <w:t xml:space="preserve">Tier 3 extends APEX's decision surface to </w:t>
      </w:r>
      <w:r>
        <w:rPr>
          <w:b/>
          <w:bCs/>
        </w:rPr>
        <w:t xml:space="preserve">customer-facing</w:t>
      </w:r>
      <w:r>
        <w:t xml:space="preserve"> and </w:t>
      </w:r>
      <w:r>
        <w:rPr>
          <w:b/>
          <w:bCs/>
        </w:rPr>
        <w:t xml:space="preserve">agent-to-agent</w:t>
      </w:r>
      <w:r>
        <w:t xml:space="preserve"> interaction patterns.</w:t>
      </w:r>
    </w:p>
    <w:p>
      <w:pPr>
        <w:pStyle w:val="Heading3"/>
        <w:spacing w:after="120" w:before="260"/>
      </w:pPr>
      <w:r>
        <w:rPr>
          <w:rFonts w:ascii="Aptos" w:cs="Aptos" w:eastAsia="Aptos" w:hAnsi="Aptos"/>
          <w:b/>
          <w:bCs/>
          <w:color w:val="0B111E"/>
          <w:sz w:val="24"/>
          <w:szCs w:val="24"/>
        </w:rPr>
        <w:t xml:space="preserve">19.1 Agentic Contact Center</w:t>
      </w:r>
    </w:p>
    <w:p>
      <w:pPr>
        <w:spacing w:after="140"/>
      </w:pPr>
      <w:r>
        <w:t xml:space="preserve">Voice, chat, and text interactions handled by agents with escalation to human when confidence drops below threshold. APEX's contribution is the </w:t>
      </w:r>
      <w:r>
        <w:rPr>
          <w:b/>
          <w:bCs/>
        </w:rPr>
        <w:t xml:space="preserve">contract backing</w:t>
      </w:r>
      <w:r>
        <w:t xml:space="preserve"> — the contact-center agent queries APEX services to give customer-specific, up-to-the-second answers rather than generic knowledge-base responses.</w:t>
      </w:r>
    </w:p>
    <w:p>
      <w:pPr>
        <w:pStyle w:val="Heading3"/>
        <w:spacing w:after="120" w:before="260"/>
      </w:pPr>
      <w:r>
        <w:rPr>
          <w:rFonts w:ascii="Aptos" w:cs="Aptos" w:eastAsia="Aptos" w:hAnsi="Aptos"/>
          <w:b/>
          <w:bCs/>
          <w:color w:val="0B111E"/>
          <w:sz w:val="24"/>
          <w:szCs w:val="24"/>
        </w:rPr>
        <w:t xml:space="preserve">19.2 Agent-to-Agent (A2A) Protocols</w:t>
      </w:r>
    </w:p>
    <w:p>
      <w:pPr>
        <w:spacing w:after="140"/>
      </w:pPr>
      <w:r>
        <w:t xml:space="preserve">APEX agents across practices talk to each other through typed MCP surfaces. Example: a retail recall (RCL-05) queries the HLS pharma-recall service for cross-industry context if the recalled lot has pharmaceutical components; a manufacturing recall (AXLE-RCL-04) queries the retail recall service when the product was distributed via retail channels.</w:t>
      </w:r>
    </w:p>
    <w:p>
      <w:pPr>
        <w:pStyle w:val="Heading3"/>
        <w:spacing w:after="120" w:before="260"/>
      </w:pPr>
      <w:r>
        <w:rPr>
          <w:rFonts w:ascii="Aptos" w:cs="Aptos" w:eastAsia="Aptos" w:hAnsi="Aptos"/>
          <w:b/>
          <w:bCs/>
          <w:color w:val="0B111E"/>
          <w:sz w:val="24"/>
          <w:szCs w:val="24"/>
        </w:rPr>
        <w:t xml:space="preserve">19.3 Service-to-Service (S2S)</w:t>
      </w:r>
    </w:p>
    <w:p>
      <w:pPr>
        <w:spacing w:after="140"/>
      </w:pPr>
      <w:r>
        <w:t xml:space="preserve">APEX services trigger other APEX services in the same tenant. Example: an RC Customer Incident at Tier-2 that correlates cross-store triggers an RC Recall Response service activation; the two services share data through the canonical CXML+SCML schemas rather than through point-to-point integration.</w:t>
      </w:r>
    </w:p>
    <w:p>
      <w:pPr>
        <w:pStyle w:val="Heading3"/>
        <w:spacing w:after="120" w:before="260"/>
      </w:pPr>
      <w:r>
        <w:rPr>
          <w:rFonts w:ascii="Aptos" w:cs="Aptos" w:eastAsia="Aptos" w:hAnsi="Aptos"/>
          <w:b/>
          <w:bCs/>
          <w:color w:val="0B111E"/>
          <w:sz w:val="24"/>
          <w:szCs w:val="24"/>
        </w:rPr>
        <w:t xml:space="preserve">19.4 Proactive Customer Outreach</w:t>
      </w:r>
    </w:p>
    <w:p>
      <w:pPr>
        <w:spacing w:after="140"/>
      </w:pPr>
      <w:r>
        <w:t xml:space="preserve">Services that reach out before the customer reaches in. Examples by Practice:</w:t>
      </w:r>
    </w:p>
    <w:p>
      <w:pPr>
        <w:pStyle w:val="ListParagraph"/>
        <w:numPr>
          <w:ilvl w:val="0"/>
          <w:numId w:val="1"/>
        </w:numPr>
        <w:spacing w:after="60"/>
      </w:pPr>
      <w:r>
        <w:rPr>
          <w:b/>
          <w:bCs/>
        </w:rPr>
        <w:t xml:space="preserve">RC:</w:t>
      </w:r>
      <w:r>
        <w:t xml:space="preserve"> a BOPIS substitution service that, when a predicted substitution has high acceptance probability for a loyalty customer, proactively offers an in-store pickup upgrade</w:t>
      </w:r>
    </w:p>
    <w:p>
      <w:pPr>
        <w:pStyle w:val="ListParagraph"/>
        <w:numPr>
          <w:ilvl w:val="0"/>
          <w:numId w:val="1"/>
        </w:numPr>
        <w:spacing w:after="60"/>
      </w:pPr>
      <w:r>
        <w:rPr>
          <w:b/>
          <w:bCs/>
        </w:rPr>
        <w:t xml:space="preserve">HLS:</w:t>
      </w:r>
      <w:r>
        <w:t xml:space="preserve"> a follow-up-appointment service that reaches patients at risk of appointment no-show and confirms or reschedules proactively</w:t>
      </w:r>
    </w:p>
    <w:p>
      <w:pPr>
        <w:pStyle w:val="ListParagraph"/>
        <w:numPr>
          <w:ilvl w:val="0"/>
          <w:numId w:val="1"/>
        </w:numPr>
        <w:spacing w:after="60"/>
      </w:pPr>
      <w:r>
        <w:rPr>
          <w:b/>
          <w:bCs/>
        </w:rPr>
        <w:t xml:space="preserve">ER:</w:t>
      </w:r>
      <w:r>
        <w:t xml:space="preserve"> a billing-surprise prevention service that alerts customers to unusual usage before the bill arrives</w:t>
      </w:r>
    </w:p>
    <w:p>
      <w:pPr>
        <w:pStyle w:val="ListParagraph"/>
        <w:numPr>
          <w:ilvl w:val="0"/>
          <w:numId w:val="1"/>
        </w:numPr>
        <w:spacing w:after="60"/>
      </w:pPr>
      <w:r>
        <w:rPr>
          <w:b/>
          <w:bCs/>
        </w:rPr>
        <w:t xml:space="preserve">AXLE:</w:t>
      </w:r>
      <w:r>
        <w:t xml:space="preserve"> a warranty-proactive service that contacts customers when their vehicle matches a warranty-pattern even if they haven't reported the issue</w:t>
      </w:r>
    </w:p>
    <w:p>
      <w:pPr>
        <w:pStyle w:val="ListParagraph"/>
        <w:numPr>
          <w:ilvl w:val="0"/>
          <w:numId w:val="1"/>
        </w:numPr>
        <w:spacing w:after="60"/>
      </w:pPr>
      <w:r>
        <w:rPr>
          <w:b/>
          <w:bCs/>
        </w:rPr>
        <w:t xml:space="preserve">TMT:</w:t>
      </w:r>
      <w:r>
        <w:t xml:space="preserve"> a service-quality outreach that reaches customers after a detected service-quality event with proactive credit or next-step information</w:t>
      </w:r>
    </w:p>
    <w:p>
      <w:pPr>
        <w:pStyle w:val="ListParagraph"/>
        <w:numPr>
          <w:ilvl w:val="0"/>
          <w:numId w:val="1"/>
        </w:numPr>
        <w:spacing w:after="60"/>
      </w:pPr>
      <w:r>
        <w:rPr>
          <w:b/>
          <w:bCs/>
        </w:rPr>
        <w:t xml:space="preserve">TH:</w:t>
      </w:r>
      <w:r>
        <w:t xml:space="preserve"> a disruption-recovery outreach that contacts passengers with rebooking options before they know the flight is affected</w:t>
      </w:r>
    </w:p>
    <w:p>
      <w:pPr>
        <w:pStyle w:val="ListParagraph"/>
        <w:numPr>
          <w:ilvl w:val="0"/>
          <w:numId w:val="1"/>
        </w:numPr>
        <w:spacing w:after="60"/>
      </w:pPr>
      <w:r>
        <w:rPr>
          <w:b/>
          <w:bCs/>
        </w:rPr>
        <w:t xml:space="preserve">ICE:</w:t>
      </w:r>
      <w:r>
        <w:t xml:space="preserve"> a maintenance-proactive outreach that alerts equipment owners to upcoming service needs during the optimal service window</w:t>
      </w:r>
    </w:p>
    <w:p>
      <w:pPr>
        <w:pStyle w:val="Heading3"/>
        <w:spacing w:after="120" w:before="260"/>
      </w:pPr>
      <w:r>
        <w:rPr>
          <w:rFonts w:ascii="Aptos" w:cs="Aptos" w:eastAsia="Aptos" w:hAnsi="Aptos"/>
          <w:b/>
          <w:bCs/>
          <w:color w:val="0B111E"/>
          <w:sz w:val="24"/>
          <w:szCs w:val="24"/>
        </w:rPr>
        <w:t xml:space="preserve">19.5 Cross-Practice Agent Coordination</w:t>
      </w:r>
    </w:p>
    <w:p>
      <w:pPr>
        <w:spacing w:after="140"/>
      </w:pPr>
      <w:r>
        <w:t xml:space="preserve">The most novel Tier 3 pattern is </w:t>
      </w:r>
      <w:r>
        <w:rPr>
          <w:b/>
          <w:bCs/>
        </w:rPr>
        <w:t xml:space="preserve">cross-practice A2A</w:t>
      </w:r>
      <w:r>
        <w:t xml:space="preserve">: agents in one Practice calling services in another.</w:t>
      </w:r>
    </w:p>
    <w:p>
      <w:pPr>
        <w:pStyle w:val="ListParagraph"/>
        <w:numPr>
          <w:ilvl w:val="0"/>
          <w:numId w:val="1"/>
        </w:numPr>
        <w:spacing w:after="60"/>
      </w:pPr>
      <w:r>
        <w:t xml:space="preserve">HLS Supply Expiry (SUP-04) querying AXLE Recall Traceability (RCL-04) for cross-industry lot overlaps</w:t>
      </w:r>
    </w:p>
    <w:p>
      <w:pPr>
        <w:pStyle w:val="ListParagraph"/>
        <w:numPr>
          <w:ilvl w:val="0"/>
          <w:numId w:val="1"/>
        </w:numPr>
        <w:spacing w:after="60"/>
      </w:pPr>
      <w:r>
        <w:t xml:space="preserve">RC Recall Response (RCL-05) querying TMT ad-fraud for cross-industry fraud-pattern correlation</w:t>
      </w:r>
    </w:p>
    <w:p>
      <w:pPr>
        <w:pStyle w:val="ListParagraph"/>
        <w:numPr>
          <w:ilvl w:val="0"/>
          <w:numId w:val="1"/>
        </w:numPr>
        <w:spacing w:after="60"/>
      </w:pPr>
      <w:r>
        <w:t xml:space="preserve">ER Regulatory Response (REG-05) querying TH Disruption Recovery for cross-industry incident coordination during major weather events</w:t>
      </w:r>
    </w:p>
    <w:p>
      <w:pPr>
        <w:spacing w:after="140"/>
      </w:pPr>
      <w:r>
        <w:t xml:space="preserve">These cross-practice flows are Tier 3's commercial differentiator. A client with multiple Practices subscribed gets capabilities that no single-Practice vendor can match.</w:t>
      </w:r>
    </w:p>
    <w:p>
      <w:pPr>
        <w:pStyle w:val="Heading2"/>
        <w:spacing w:after="140" w:before="300"/>
      </w:pPr>
      <w:r>
        <w:rPr>
          <w:rFonts w:ascii="Aptos Display" w:cs="Aptos Display" w:eastAsia="Aptos Display" w:hAnsi="Aptos Display"/>
          <w:b/>
          <w:bCs/>
          <w:color w:val="0B111E"/>
          <w:sz w:val="30"/>
          <w:szCs w:val="30"/>
        </w:rPr>
        <w:t xml:space="preserve">Chapter 23: Tier 4 — Autonomous Operations (North Star)</w:t>
      </w:r>
    </w:p>
    <w:p>
      <w:pPr>
        <w:spacing w:after="140"/>
      </w:pPr>
      <w:r>
        <w:t xml:space="preserve">Tier 4 is the aspirational end-state: bounded autonomy with continuous audit. No APEX deployment reaches Tier 4 in full; selected services reach it for selected decision classes.</w:t>
      </w:r>
    </w:p>
    <w:p>
      <w:pPr>
        <w:pStyle w:val="Heading3"/>
        <w:spacing w:after="120" w:before="260"/>
      </w:pPr>
      <w:r>
        <w:rPr>
          <w:rFonts w:ascii="Aptos" w:cs="Aptos" w:eastAsia="Aptos" w:hAnsi="Aptos"/>
          <w:b/>
          <w:bCs/>
          <w:color w:val="0B111E"/>
          <w:sz w:val="24"/>
          <w:szCs w:val="24"/>
        </w:rPr>
        <w:t xml:space="preserve">20.1 Bounded Autonomy</w:t>
      </w:r>
    </w:p>
    <w:p>
      <w:pPr>
        <w:spacing w:after="140"/>
      </w:pPr>
      <w:r>
        <w:t xml:space="preserve">Level 5 on selected services — services where the cost-benefit of a gate has been measurably negative (false-positive rate low, human-approval rate near-unanimous, per-decision consequence low) and where removing the gate produces measurable latency and capacity benefit.</w:t>
      </w:r>
    </w:p>
    <w:p>
      <w:pPr>
        <w:pStyle w:val="Heading3"/>
        <w:spacing w:after="120" w:before="260"/>
      </w:pPr>
      <w:r>
        <w:rPr>
          <w:rFonts w:ascii="Aptos" w:cs="Aptos" w:eastAsia="Aptos" w:hAnsi="Aptos"/>
          <w:b/>
          <w:bCs/>
          <w:color w:val="0B111E"/>
          <w:sz w:val="24"/>
          <w:szCs w:val="24"/>
        </w:rPr>
        <w:t xml:space="preserve">20.2 Cross-Practice Orchestration</w:t>
      </w:r>
    </w:p>
    <w:p>
      <w:pPr>
        <w:spacing w:after="140"/>
      </w:pPr>
      <w:r>
        <w:t xml:space="preserve">Orchestrations that span Practices — a supply-disruption event in AXLE that invalidates assumptions in the HLS supply-expiry service; a recall event in RC that must be reflected in the AXLE recall-traceability service. Cross-practice orchestrations are rare, expensive to build, and high-value.</w:t>
      </w:r>
    </w:p>
    <w:p>
      <w:pPr>
        <w:pStyle w:val="Heading3"/>
        <w:spacing w:after="120" w:before="260"/>
      </w:pPr>
      <w:r>
        <w:rPr>
          <w:rFonts w:ascii="Aptos" w:cs="Aptos" w:eastAsia="Aptos" w:hAnsi="Aptos"/>
          <w:b/>
          <w:bCs/>
          <w:color w:val="0B111E"/>
          <w:sz w:val="24"/>
          <w:szCs w:val="24"/>
        </w:rPr>
        <w:t xml:space="preserve">20.3 Single Pane of Glass</w:t>
      </w:r>
    </w:p>
    <w:p>
      <w:pPr>
        <w:spacing w:after="140"/>
      </w:pPr>
      <w:r>
        <w:t xml:space="preserve">A client with APEX at Tier 4 maturity has one workbook that answers operational questions across every Practice and every service. Single sign-on, single trace ID format, single audit schema, single alerting posture.</w:t>
      </w:r>
    </w:p>
    <w:p>
      <w:pPr>
        <w:pStyle w:val="Heading3"/>
        <w:spacing w:after="120" w:before="260"/>
      </w:pPr>
      <w:r>
        <w:rPr>
          <w:rFonts w:ascii="Aptos" w:cs="Aptos" w:eastAsia="Aptos" w:hAnsi="Aptos"/>
          <w:b/>
          <w:bCs/>
          <w:color w:val="0B111E"/>
          <w:sz w:val="24"/>
          <w:szCs w:val="24"/>
        </w:rPr>
        <w:t xml:space="preserve">20.4 Digital Thread from Event to Customer</w:t>
      </w:r>
    </w:p>
    <w:p>
      <w:pPr>
        <w:spacing w:after="140"/>
      </w:pPr>
      <w:r>
        <w:t xml:space="preserve">The Tier 4 vision: a consequential event — a reefer excursion, a sepsis warning, a grid anomaly, a line-down — traces end-to-end from sensor to decision to action to customer-visible outcome, with no broken seams, no lost context, no manual handoff. APEX is the contract that makes this possible. The patterns to deliver it on each Practice exist; they just need the investment discipline to ship them service by service.</w:t>
      </w:r>
    </w:p>
    <w:p>
      <w:pPr>
        <w:pStyle w:val="Heading3"/>
        <w:spacing w:after="120" w:before="260"/>
      </w:pPr>
      <w:r>
        <w:rPr>
          <w:rFonts w:ascii="Aptos" w:cs="Aptos" w:eastAsia="Aptos" w:hAnsi="Aptos"/>
          <w:b/>
          <w:bCs/>
          <w:color w:val="0B111E"/>
          <w:sz w:val="24"/>
          <w:szCs w:val="24"/>
        </w:rPr>
        <w:t xml:space="preserve">20.5 The Innovation Dependency Chain</w:t>
      </w:r>
    </w:p>
    <w:p>
      <w:pPr>
        <w:spacing w:after="140"/>
      </w:pPr>
      <w:r>
        <w:t xml:space="preserve">Tier 4 depends on everything prior:</w:t>
      </w:r>
    </w:p>
    <w:p>
      <w:pPr>
        <w:pStyle w:val="ListParagraph"/>
        <w:numPr>
          <w:ilvl w:val="0"/>
          <w:numId w:val="1"/>
        </w:numPr>
        <w:spacing w:after="60"/>
      </w:pPr>
      <w:r>
        <w:t xml:space="preserve">Tier 4 autonomy requires Tier 3 A2A and S2S for cross-service coordination</w:t>
      </w:r>
    </w:p>
    <w:p>
      <w:pPr>
        <w:pStyle w:val="ListParagraph"/>
        <w:numPr>
          <w:ilvl w:val="0"/>
          <w:numId w:val="1"/>
        </w:numPr>
        <w:spacing w:after="60"/>
      </w:pPr>
      <w:r>
        <w:t xml:space="preserve">Tier 3 requires Tier 2 self-healing for in-service confidence</w:t>
      </w:r>
    </w:p>
    <w:p>
      <w:pPr>
        <w:pStyle w:val="ListParagraph"/>
        <w:numPr>
          <w:ilvl w:val="0"/>
          <w:numId w:val="1"/>
        </w:numPr>
        <w:spacing w:after="60"/>
      </w:pPr>
      <w:r>
        <w:t xml:space="preserve">Tier 2 self-healing requires Tier 1 predictive signals</w:t>
      </w:r>
    </w:p>
    <w:p>
      <w:pPr>
        <w:pStyle w:val="ListParagraph"/>
        <w:numPr>
          <w:ilvl w:val="0"/>
          <w:numId w:val="1"/>
        </w:numPr>
        <w:spacing w:after="60"/>
      </w:pPr>
      <w:r>
        <w:t xml:space="preserve">Tier 1 requires mature Wave-3 steady-state on the reactive services</w:t>
      </w:r>
    </w:p>
    <w:p>
      <w:pPr>
        <w:spacing w:after="140"/>
      </w:pPr>
      <w:r>
        <w:t xml:space="preserve">No shortcuts.</w:t>
      </w:r>
    </w:p>
    <w:p>
      <w:pPr>
        <w:pStyle w:val="Heading2"/>
        <w:spacing w:after="140" w:before="300"/>
      </w:pPr>
      <w:r>
        <w:rPr>
          <w:rFonts w:ascii="Aptos Display" w:cs="Aptos Display" w:eastAsia="Aptos Display" w:hAnsi="Aptos Display"/>
          <w:b/>
          <w:bCs/>
          <w:color w:val="0B111E"/>
          <w:sz w:val="30"/>
          <w:szCs w:val="30"/>
        </w:rPr>
        <w:t xml:space="preserve">Chapter 23A: The Innovation Dependency Chain</w:t>
      </w:r>
    </w:p>
    <w:p>
      <w:pPr>
        <w:spacing w:after="140"/>
      </w:pPr>
      <w:r>
        <w:t xml:space="preserve">Tiers are not a pick-list. They are a dependency chain. Shipping a Tier-3 flagship requires the Tier-2 foundations under it; shipping Tier 2 requires mature Tier 1; Tier 1 requires the Wave-1-through-Wave-3 reactive services producing clean, audit-rich decision data. This chapter makes the dependency chain explicit so that investment conversations don't jump the chain.</w:t>
      </w:r>
    </w:p>
    <w:p>
      <w:pPr>
        <w:spacing w:after="140"/>
      </w:pPr>
      <w:r>
        <w:t xml:space="preserve">The chain exists because each tier's confidence signal is earned from the prior tier's track record. Self-healing is only trustworthy when the underlying predictive model has been proven. Cross-service orchestration is only trustworthy when the individual services have been proven. Autonomy is only trustworthy when its supervised equivalent has been proven.</w:t>
      </w:r>
    </w:p>
    <w:p>
      <w:pPr>
        <w:pStyle w:val="Heading3"/>
        <w:spacing w:after="120" w:before="260"/>
      </w:pPr>
      <w:r>
        <w:rPr>
          <w:rFonts w:ascii="Aptos" w:cs="Aptos" w:eastAsia="Aptos" w:hAnsi="Aptos"/>
          <w:b/>
          <w:bCs/>
          <w:color w:val="0B111E"/>
          <w:sz w:val="24"/>
          <w:szCs w:val="24"/>
        </w:rPr>
        <w:t xml:space="preserve">23A.1 The Chain in One Diagram</w:t>
      </w:r>
    </w:p>
    <w:p>
      <w:pPr>
        <w:spacing w:after="160" w:before="120"/>
        <w:jc w:val="center"/>
      </w:pPr>
      <w:r>
        <w:drawing>
          <wp:inline distT="0" distB="0" distL="0" distR="0">
            <wp:extent cx="6096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89585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23A.2 Chain Discipline — Seven Rules</w:t>
      </w:r>
    </w:p>
    <w:p>
      <w:pPr>
        <w:spacing w:after="140"/>
      </w:pPr>
      <w:r>
        <w:t xml:space="preserve">Each rule captures a dependency that cannot be skipped without the programme failing.</w:t>
      </w:r>
    </w:p>
    <w:p>
      <w:pPr>
        <w:spacing w:after="140"/>
      </w:pPr>
      <w:r>
        <w:rPr>
          <w:b/>
          <w:bCs/>
        </w:rPr>
        <w:t xml:space="preserve">Rule 1 — You cannot start at Tier 1.</w:t>
      </w:r>
      <w:r>
        <w:t xml:space="preserve"> A predictive service that augments a non-existent reactive service has no downstream decision path. Predictive Cold Chain requires CXP-01 already delivering decisions with outcomes.</w:t>
      </w:r>
    </w:p>
    <w:p>
      <w:pPr>
        <w:spacing w:after="140"/>
      </w:pPr>
      <w:r>
        <w:rPr>
          <w:b/>
          <w:bCs/>
        </w:rPr>
        <w:t xml:space="preserve">Rule 2 — You cannot start at Tier 2.</w:t>
      </w:r>
      <w:r>
        <w:t xml:space="preserve"> Self-healing requires outcome attribution. Outcome attribution requires audit-row evidence. Audit-row evidence requires reactive services in production for months. Self-healing proposed on green-field data is model-fitting, not decision-automation.</w:t>
      </w:r>
    </w:p>
    <w:p>
      <w:pPr>
        <w:spacing w:after="140"/>
      </w:pPr>
      <w:r>
        <w:rPr>
          <w:b/>
          <w:bCs/>
        </w:rPr>
        <w:t xml:space="preserve">Rule 3 — Tier 3 requires at least two services in Tier 2.</w:t>
      </w:r>
      <w:r>
        <w:t xml:space="preserve"> An Agentic Contact Center with only one mature back-end service to call is a dashboard, not a contact center. The contact-center agent needs multiple service surfaces to reach into.</w:t>
      </w:r>
    </w:p>
    <w:p>
      <w:pPr>
        <w:spacing w:after="140"/>
      </w:pPr>
      <w:r>
        <w:rPr>
          <w:b/>
          <w:bCs/>
        </w:rPr>
        <w:t xml:space="preserve">Rule 4 — Cross-Practice S2S requires two Practices at Tier 2.</w:t>
      </w:r>
      <w:r>
        <w:t xml:space="preserve"> Single-Practice S2S is not S2S. Tier-3 cross-practice orchestrations demand that both Practices have audit-row discipline and gate-tuning maturity; without them, the cross-Practice handoff is unsafe.</w:t>
      </w:r>
    </w:p>
    <w:p>
      <w:pPr>
        <w:spacing w:after="140"/>
      </w:pPr>
      <w:r>
        <w:rPr>
          <w:b/>
          <w:bCs/>
        </w:rPr>
        <w:t xml:space="preserve">Rule 5 — Voice A2A requires mature contact-center agentic.</w:t>
      </w:r>
      <w:r>
        <w:t xml:space="preserve"> Outbound voice interactions with third parties are the hardest-to-repair failure class — you cannot retract a bad outbound call. Voice A2A must follow chat/text-agentic maturity, not precede it.</w:t>
      </w:r>
    </w:p>
    <w:p>
      <w:pPr>
        <w:spacing w:after="140"/>
      </w:pPr>
      <w:r>
        <w:rPr>
          <w:b/>
          <w:bCs/>
        </w:rPr>
        <w:t xml:space="preserve">Rule 6 — Tier 4 requires explicit audit-function approval.</w:t>
      </w:r>
      <w:r>
        <w:t xml:space="preserve"> Autonomy cannot be shipped on engineering sign-off alone. A Tier-4 deployment requires the audit-function and Compliance formally signing off on the DAR-proven track record. Shipping Tier 4 without audit sign-off is a governance failure that will be rolled back under scrutiny.</w:t>
      </w:r>
    </w:p>
    <w:p>
      <w:pPr>
        <w:spacing w:after="140"/>
      </w:pPr>
      <w:r>
        <w:rPr>
          <w:b/>
          <w:bCs/>
        </w:rPr>
        <w:t xml:space="preserve">Rule 7 — The Enterprise Decision OS is the last mile, not a starting destination.</w:t>
      </w:r>
      <w:r>
        <w:t xml:space="preserve"> Clients with early-stage APEX commitment sometimes ask whether they can "just start with the Decision OS." The answer is no. The Decision OS is the aggregation of everything prior. Attempting to ship it before the components mature is a five-year programme that fails in year two.</w:t>
      </w:r>
    </w:p>
    <w:p>
      <w:pPr>
        <w:pStyle w:val="Heading3"/>
        <w:spacing w:after="120" w:before="260"/>
      </w:pPr>
      <w:r>
        <w:rPr>
          <w:rFonts w:ascii="Aptos" w:cs="Aptos" w:eastAsia="Aptos" w:hAnsi="Aptos"/>
          <w:b/>
          <w:bCs/>
          <w:color w:val="0B111E"/>
          <w:sz w:val="24"/>
          <w:szCs w:val="24"/>
        </w:rPr>
        <w:t xml:space="preserve">23A.3 Practice-Specific Chain Examples</w:t>
      </w:r>
    </w:p>
    <w:p>
      <w:pPr>
        <w:pStyle w:val="Heading4"/>
        <w:spacing w:after="100" w:before="220"/>
      </w:pPr>
      <w:r>
        <w:rPr>
          <w:rFonts w:ascii="Aptos" w:cs="Aptos" w:eastAsia="Aptos" w:hAnsi="Aptos"/>
          <w:b/>
          <w:bCs/>
          <w:color w:val="0B111E"/>
          <w:sz w:val="20"/>
          <w:szCs w:val="20"/>
        </w:rPr>
        <w:t xml:space="preserve">RC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CXP-01 HITL (Wave 1)</w:t>
            </w:r>
          </w:p>
          <w:p>
            <w:pPr>
              <w:spacing w:after="0" w:line="240"/>
            </w:pPr>
            <w:r>
              <w:rPr>
                <w:rFonts w:ascii="Cascadia Mono" w:cs="Cascadia Mono" w:eastAsia="Cascadia Mono" w:hAnsi="Cascadia Mono"/>
                <w:color w:val="1F2937"/>
                <w:sz w:val="18"/>
                <w:szCs w:val="18"/>
              </w:rPr>
              <w:t xml:space="preserve">  → CXP-01 ACK_ONLY for non-Critical (Wave 2 gate tuning)</w:t>
            </w:r>
          </w:p>
          <w:p>
            <w:pPr>
              <w:spacing w:after="0" w:line="240"/>
            </w:pPr>
            <w:r>
              <w:rPr>
                <w:rFonts w:ascii="Cascadia Mono" w:cs="Cascadia Mono" w:eastAsia="Cascadia Mono" w:hAnsi="Cascadia Mono"/>
                <w:color w:val="1F2937"/>
                <w:sz w:val="18"/>
                <w:szCs w:val="18"/>
              </w:rPr>
              <w:t xml:space="preserve">  → Predictive Cold Chain (Tier 1, Year 2)</w:t>
            </w:r>
          </w:p>
          <w:p>
            <w:pPr>
              <w:spacing w:after="0" w:line="240"/>
            </w:pPr>
            <w:r>
              <w:rPr>
                <w:rFonts w:ascii="Cascadia Mono" w:cs="Cascadia Mono" w:eastAsia="Cascadia Mono" w:hAnsi="Cascadia Mono"/>
                <w:color w:val="1F2937"/>
                <w:sz w:val="18"/>
                <w:szCs w:val="18"/>
              </w:rPr>
              <w:t xml:space="preserve">  → Causal AI for Cold Chain (Tier 1, Year 2-3)</w:t>
            </w:r>
          </w:p>
          <w:p>
            <w:pPr>
              <w:spacing w:after="0" w:line="240"/>
            </w:pPr>
            <w:r>
              <w:rPr>
                <w:rFonts w:ascii="Cascadia Mono" w:cs="Cascadia Mono" w:eastAsia="Cascadia Mono" w:hAnsi="Cascadia Mono"/>
                <w:color w:val="1F2937"/>
                <w:sz w:val="18"/>
                <w:szCs w:val="18"/>
              </w:rPr>
              <w:t xml:space="preserve">  → Self-Healing Cold Chain (Tier 2, Year 3)</w:t>
            </w:r>
          </w:p>
          <w:p>
            <w:pPr>
              <w:spacing w:after="0" w:line="240"/>
            </w:pPr>
            <w:r>
              <w:rPr>
                <w:rFonts w:ascii="Cascadia Mono" w:cs="Cascadia Mono" w:eastAsia="Cascadia Mono" w:hAnsi="Cascadia Mono"/>
                <w:color w:val="1F2937"/>
                <w:sz w:val="18"/>
                <w:szCs w:val="18"/>
              </w:rPr>
              <w:t xml:space="preserve">  → Cross-Practice Recall Coordinator via shared SCML (Tier 3, Year 3-4)</w:t>
            </w:r>
          </w:p>
          <w:p>
            <w:pPr>
              <w:spacing w:after="0" w:line="240"/>
            </w:pPr>
            <w:r>
              <w:rPr>
                <w:rFonts w:ascii="Cascadia Mono" w:cs="Cascadia Mono" w:eastAsia="Cascadia Mono" w:hAnsi="Cascadia Mono"/>
                <w:color w:val="1F2937"/>
                <w:sz w:val="18"/>
                <w:szCs w:val="18"/>
              </w:rPr>
              <w:t xml:space="preserve">  → Autonomous RC operations on sub-$ thresholds (Tier 4, Year 4+)</w:t>
            </w:r>
          </w:p>
        </w:tc>
      </w:tr>
    </w:tbl>
    <w:p>
      <w:pPr>
        <w:spacing w:after="140"/>
      </w:pPr>
      <w:r>
        <w:t xml:space="preserve">Total arc: 4–5 years from first service to bounded autonomy on that service, assuming budget and client commitment.</w:t>
      </w:r>
    </w:p>
    <w:p>
      <w:pPr>
        <w:pStyle w:val="Heading4"/>
        <w:spacing w:after="100" w:before="220"/>
      </w:pPr>
      <w:r>
        <w:rPr>
          <w:rFonts w:ascii="Aptos" w:cs="Aptos" w:eastAsia="Aptos" w:hAnsi="Aptos"/>
          <w:b/>
          <w:bCs/>
          <w:color w:val="0B111E"/>
          <w:sz w:val="20"/>
          <w:szCs w:val="20"/>
        </w:rPr>
        <w:t xml:space="preserve">HLS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DSR-01 ACK_ONLY (Wave 1)</w:t>
            </w:r>
          </w:p>
          <w:p>
            <w:pPr>
              <w:spacing w:after="0" w:line="240"/>
            </w:pPr>
            <w:r>
              <w:rPr>
                <w:rFonts w:ascii="Cascadia Mono" w:cs="Cascadia Mono" w:eastAsia="Cascadia Mono" w:hAnsi="Cascadia Mono"/>
                <w:color w:val="1F2937"/>
                <w:sz w:val="18"/>
                <w:szCs w:val="18"/>
              </w:rPr>
              <w:t xml:space="preserve">  → Predictive Readmission (Tier 1, Year 2)</w:t>
            </w:r>
          </w:p>
          <w:p>
            <w:pPr>
              <w:spacing w:after="0" w:line="240"/>
            </w:pPr>
            <w:r>
              <w:rPr>
                <w:rFonts w:ascii="Cascadia Mono" w:cs="Cascadia Mono" w:eastAsia="Cascadia Mono" w:hAnsi="Cascadia Mono"/>
                <w:color w:val="1F2937"/>
                <w:sz w:val="18"/>
                <w:szCs w:val="18"/>
              </w:rPr>
              <w:t xml:space="preserve">  → Self-Healing Denial Recovery (Tier 2, Year 3, different service</w:t>
            </w:r>
          </w:p>
          <w:p>
            <w:pPr>
              <w:spacing w:after="0" w:line="240"/>
            </w:pPr>
            <w:r>
              <w:rPr>
                <w:rFonts w:ascii="Cascadia Mono" w:cs="Cascadia Mono" w:eastAsia="Cascadia Mono" w:hAnsi="Cascadia Mono"/>
                <w:color w:val="1F2937"/>
                <w:sz w:val="18"/>
                <w:szCs w:val="18"/>
              </w:rPr>
              <w:t xml:space="preserve">    but same audit-discipline graduation)</w:t>
            </w:r>
          </w:p>
          <w:p>
            <w:pPr>
              <w:spacing w:after="0" w:line="240"/>
            </w:pPr>
            <w:r>
              <w:rPr>
                <w:rFonts w:ascii="Cascadia Mono" w:cs="Cascadia Mono" w:eastAsia="Cascadia Mono" w:hAnsi="Cascadia Mono"/>
                <w:color w:val="1F2937"/>
                <w:sz w:val="18"/>
                <w:szCs w:val="18"/>
              </w:rPr>
              <w:t xml:space="preserve">  → Cross-Practice Recall Coordinator for medical-device context</w:t>
            </w:r>
          </w:p>
          <w:p>
            <w:pPr>
              <w:spacing w:after="0" w:line="240"/>
            </w:pPr>
            <w:r>
              <w:rPr>
                <w:rFonts w:ascii="Cascadia Mono" w:cs="Cascadia Mono" w:eastAsia="Cascadia Mono" w:hAnsi="Cascadia Mono"/>
                <w:color w:val="1F2937"/>
                <w:sz w:val="18"/>
                <w:szCs w:val="18"/>
              </w:rPr>
              <w:t xml:space="preserve">    (Tier 3, Year 3-4, requires AXLE + HLS)</w:t>
            </w:r>
          </w:p>
        </w:tc>
      </w:tr>
    </w:tbl>
    <w:p>
      <w:pPr>
        <w:spacing w:after="140"/>
      </w:pPr>
      <w:r>
        <w:t xml:space="preserve">HLS does NOT chain to Tier 4 autonomous operations for clinical services — default gate posture remains HITL indefinitely for SEP-02, RVC-03, PSI-06. HLS Tier 4 is limited to supply-expiry management and administrative services.</w:t>
      </w:r>
    </w:p>
    <w:p>
      <w:pPr>
        <w:pStyle w:val="Heading4"/>
        <w:spacing w:after="100" w:before="220"/>
      </w:pPr>
      <w:r>
        <w:rPr>
          <w:rFonts w:ascii="Aptos" w:cs="Aptos" w:eastAsia="Aptos" w:hAnsi="Aptos"/>
          <w:b/>
          <w:bCs/>
          <w:color w:val="0B111E"/>
          <w:sz w:val="20"/>
          <w:szCs w:val="20"/>
        </w:rPr>
        <w:t xml:space="preserve">ER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MTR-01 ACK_ONLY + BIL-03 ACK_ONLY (Wave 1)</w:t>
            </w:r>
          </w:p>
          <w:p>
            <w:pPr>
              <w:spacing w:after="0" w:line="240"/>
            </w:pPr>
            <w:r>
              <w:rPr>
                <w:rFonts w:ascii="Cascadia Mono" w:cs="Cascadia Mono" w:eastAsia="Cascadia Mono" w:hAnsi="Cascadia Mono"/>
                <w:color w:val="1F2937"/>
                <w:sz w:val="18"/>
                <w:szCs w:val="18"/>
              </w:rPr>
              <w:t xml:space="preserve">  → Predictive Outage (Tier 1, Year 2)</w:t>
            </w:r>
          </w:p>
          <w:p>
            <w:pPr>
              <w:spacing w:after="0" w:line="240"/>
            </w:pPr>
            <w:r>
              <w:rPr>
                <w:rFonts w:ascii="Cascadia Mono" w:cs="Cascadia Mono" w:eastAsia="Cascadia Mono" w:hAnsi="Cascadia Mono"/>
                <w:color w:val="1F2937"/>
                <w:sz w:val="18"/>
                <w:szCs w:val="18"/>
              </w:rPr>
              <w:t xml:space="preserve">  → Self-Healing Meter Ops (Tier 2, Year 2-3)</w:t>
            </w:r>
          </w:p>
          <w:p>
            <w:pPr>
              <w:spacing w:after="0" w:line="240"/>
            </w:pPr>
            <w:r>
              <w:rPr>
                <w:rFonts w:ascii="Cascadia Mono" w:cs="Cascadia Mono" w:eastAsia="Cascadia Mono" w:hAnsi="Cascadia Mono"/>
                <w:color w:val="1F2937"/>
                <w:sz w:val="18"/>
                <w:szCs w:val="18"/>
              </w:rPr>
              <w:t xml:space="preserve">  → GRD-02 HITL introduced (Wave 2-3, not Wave 1 due to SLO intensity)</w:t>
            </w:r>
          </w:p>
          <w:p>
            <w:pPr>
              <w:spacing w:after="0" w:line="240"/>
            </w:pPr>
            <w:r>
              <w:rPr>
                <w:rFonts w:ascii="Cascadia Mono" w:cs="Cascadia Mono" w:eastAsia="Cascadia Mono" w:hAnsi="Cascadia Mono"/>
                <w:color w:val="1F2937"/>
                <w:sz w:val="18"/>
                <w:szCs w:val="18"/>
              </w:rPr>
              <w:t xml:space="preserve">  → Predictive Grid Stability (Tier 1, Year 3)</w:t>
            </w:r>
          </w:p>
          <w:p>
            <w:pPr>
              <w:spacing w:after="0" w:line="240"/>
            </w:pPr>
            <w:r>
              <w:rPr>
                <w:rFonts w:ascii="Cascadia Mono" w:cs="Cascadia Mono" w:eastAsia="Cascadia Mono" w:hAnsi="Cascadia Mono"/>
                <w:color w:val="1F2937"/>
                <w:sz w:val="18"/>
                <w:szCs w:val="18"/>
              </w:rPr>
              <w:t xml:space="preserve">  → Self-Healing Grid (Tier 2, Year 3-4)</w:t>
            </w:r>
          </w:p>
        </w:tc>
      </w:tr>
    </w:tbl>
    <w:p>
      <w:pPr>
        <w:spacing w:after="140"/>
      </w:pPr>
      <w:r>
        <w:t xml:space="preserve">ER chain is unusual because GRD-02 doesn't start at Wave 1 — its SLO demands earn its introduction only after the ER Practice has proven itself on less-critical services.</w:t>
      </w:r>
    </w:p>
    <w:p>
      <w:pPr>
        <w:pStyle w:val="Heading4"/>
        <w:spacing w:after="100" w:before="220"/>
      </w:pPr>
      <w:r>
        <w:rPr>
          <w:rFonts w:ascii="Aptos" w:cs="Aptos" w:eastAsia="Aptos" w:hAnsi="Aptos"/>
          <w:b/>
          <w:bCs/>
          <w:color w:val="0B111E"/>
          <w:sz w:val="20"/>
          <w:szCs w:val="20"/>
        </w:rPr>
        <w:t xml:space="preserve">AXLE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LDT-01 HITL + KPI-05 ACK_ONLY (Wave 1)</w:t>
            </w:r>
          </w:p>
          <w:p>
            <w:pPr>
              <w:spacing w:after="0" w:line="240"/>
            </w:pPr>
            <w:r>
              <w:rPr>
                <w:rFonts w:ascii="Cascadia Mono" w:cs="Cascadia Mono" w:eastAsia="Cascadia Mono" w:hAnsi="Cascadia Mono"/>
                <w:color w:val="1F2937"/>
                <w:sz w:val="18"/>
                <w:szCs w:val="18"/>
              </w:rPr>
              <w:t xml:space="preserve">  → Predictive Line-Down (Tier 1, Year 2)</w:t>
            </w:r>
          </w:p>
          <w:p>
            <w:pPr>
              <w:spacing w:after="0" w:line="240"/>
            </w:pPr>
            <w:r>
              <w:rPr>
                <w:rFonts w:ascii="Cascadia Mono" w:cs="Cascadia Mono" w:eastAsia="Cascadia Mono" w:hAnsi="Cascadia Mono"/>
                <w:color w:val="1F2937"/>
                <w:sz w:val="18"/>
                <w:szCs w:val="18"/>
              </w:rPr>
              <w:t xml:space="preserve">  → Causal AI for Quality (Tier 1, Year 2-3, separate service)</w:t>
            </w:r>
          </w:p>
          <w:p>
            <w:pPr>
              <w:spacing w:after="0" w:line="240"/>
            </w:pPr>
            <w:r>
              <w:rPr>
                <w:rFonts w:ascii="Cascadia Mono" w:cs="Cascadia Mono" w:eastAsia="Cascadia Mono" w:hAnsi="Cascadia Mono"/>
                <w:color w:val="1F2937"/>
                <w:sz w:val="18"/>
                <w:szCs w:val="18"/>
              </w:rPr>
              <w:t xml:space="preserve">  → Self-Healing Production Line (Tier 2, Year 3)</w:t>
            </w:r>
          </w:p>
          <w:p>
            <w:pPr>
              <w:spacing w:after="0" w:line="240"/>
            </w:pPr>
            <w:r>
              <w:rPr>
                <w:rFonts w:ascii="Cascadia Mono" w:cs="Cascadia Mono" w:eastAsia="Cascadia Mono" w:hAnsi="Cascadia Mono"/>
                <w:color w:val="1F2937"/>
                <w:sz w:val="18"/>
                <w:szCs w:val="18"/>
              </w:rPr>
              <w:t xml:space="preserve">  → Zero-Scrap Closed Loop (Tier 2, Year 3-4)</w:t>
            </w:r>
          </w:p>
          <w:p>
            <w:pPr>
              <w:spacing w:after="0" w:line="240"/>
            </w:pPr>
            <w:r>
              <w:rPr>
                <w:rFonts w:ascii="Cascadia Mono" w:cs="Cascadia Mono" w:eastAsia="Cascadia Mono" w:hAnsi="Cascadia Mono"/>
                <w:color w:val="1F2937"/>
                <w:sz w:val="18"/>
                <w:szCs w:val="18"/>
              </w:rPr>
              <w:t xml:space="preserve">  → Field-to-Factory Feedback with ICE (Tier 3, Year 3-4, requires ICE live)</w:t>
            </w:r>
          </w:p>
        </w:tc>
      </w:tr>
    </w:tbl>
    <w:p>
      <w:pPr>
        <w:spacing w:after="140"/>
      </w:pPr>
      <w:r>
        <w:t xml:space="preserve">AXLE chains to the "Zero-Scrap" flagship which is the high-profile Tier-2 commitment that AXLE clients use as their strategic narrative.</w:t>
      </w:r>
    </w:p>
    <w:p>
      <w:pPr>
        <w:pStyle w:val="Heading3"/>
        <w:spacing w:after="120" w:before="260"/>
      </w:pPr>
      <w:r>
        <w:rPr>
          <w:rFonts w:ascii="Aptos" w:cs="Aptos" w:eastAsia="Aptos" w:hAnsi="Aptos"/>
          <w:b/>
          <w:bCs/>
          <w:color w:val="0B111E"/>
          <w:sz w:val="24"/>
          <w:szCs w:val="24"/>
        </w:rPr>
        <w:t xml:space="preserve">23A.4 Dependency Shortcuts That Look Tempting But Aren't</w:t>
      </w:r>
    </w:p>
    <w:p>
      <w:pPr>
        <w:spacing w:after="140"/>
      </w:pPr>
      <w:r>
        <w:t xml:space="preserve">Several patterns surface in client conversations that appear to skip dependencies. Each is a false shortcut:</w:t>
      </w:r>
    </w:p>
    <w:p>
      <w:pPr>
        <w:spacing w:after="140"/>
      </w:pPr>
      <w:r>
        <w:rPr>
          <w:b/>
          <w:bCs/>
        </w:rPr>
        <w:t xml:space="preserve">"We've done RPA, so we're already at Tier 2."</w:t>
      </w:r>
      <w:r>
        <w:t xml:space="preserve"> RPA automates tasks; Tier 2 requires outcome-attributed closed loops with audit discipline. Task automation without agent reasoning and audit rows is not Tier 2.</w:t>
      </w:r>
    </w:p>
    <w:p>
      <w:pPr>
        <w:spacing w:after="140"/>
      </w:pPr>
      <w:r>
        <w:rPr>
          <w:b/>
          <w:bCs/>
        </w:rPr>
        <w:t xml:space="preserve">"Our predictive model already exists, so we can jump to Tier 1."</w:t>
      </w:r>
      <w:r>
        <w:t xml:space="preserve"> Existing predictive models are input to Tier 1 — but the chain requires the PREDICTIVE augmentation of a PROVEN REACTIVE APEX service. Running an independent predictive model doesn't make the APEX service at Tier 1.</w:t>
      </w:r>
    </w:p>
    <w:p>
      <w:pPr>
        <w:spacing w:after="140"/>
      </w:pPr>
      <w:r>
        <w:rPr>
          <w:b/>
          <w:bCs/>
        </w:rPr>
        <w:t xml:space="preserve">"We'll build the Digital Thread while Wave 1 runs."</w:t>
      </w:r>
      <w:r>
        <w:t xml:space="preserve"> The Digital Thread is the </w:t>
      </w:r>
      <w:r>
        <w:rPr>
          <w:i/>
          <w:iCs/>
        </w:rPr>
        <w:t xml:space="preserve">artefact</w:t>
      </w:r>
      <w:r>
        <w:t xml:space="preserve"> of end-to-end maturity across Practices; attempting to build it in parallel with Wave 1 produces a seven-Practice proof-of-concept with nothing in production.</w:t>
      </w:r>
    </w:p>
    <w:p>
      <w:pPr>
        <w:spacing w:after="140"/>
      </w:pPr>
      <w:r>
        <w:rPr>
          <w:b/>
          <w:bCs/>
        </w:rPr>
        <w:t xml:space="preserve">"Autonomous operations will let us skip the HITL phase."</w:t>
      </w:r>
      <w:r>
        <w:t xml:space="preserve"> The HITL phase is where trust is earned. Autonomy without the HITL phase has no evidence base; the audit function will refuse to sign off.</w:t>
      </w:r>
    </w:p>
    <w:p>
      <w:pPr>
        <w:pStyle w:val="Heading3"/>
        <w:spacing w:after="120" w:before="260"/>
      </w:pPr>
      <w:r>
        <w:rPr>
          <w:rFonts w:ascii="Aptos" w:cs="Aptos" w:eastAsia="Aptos" w:hAnsi="Aptos"/>
          <w:b/>
          <w:bCs/>
          <w:color w:val="0B111E"/>
          <w:sz w:val="24"/>
          <w:szCs w:val="24"/>
        </w:rPr>
        <w:t xml:space="preserve">23A.5 Dependency Chain as Commercial Conversation Structure</w:t>
      </w:r>
    </w:p>
    <w:p>
      <w:pPr>
        <w:spacing w:after="140"/>
      </w:pPr>
      <w:r>
        <w:t xml:space="preserve">This dependency chain is also the structure for multi-year commercial conversations. An executive sponsor asking "show me where you take me in five years" gets a roadmap structured as:</w:t>
      </w:r>
    </w:p>
    <w:p>
      <w:pPr>
        <w:pStyle w:val="ListParagraph"/>
        <w:numPr>
          <w:ilvl w:val="0"/>
          <w:numId w:val="1"/>
        </w:numPr>
        <w:spacing w:after="60"/>
      </w:pPr>
      <w:r>
        <w:rPr>
          <w:b/>
          <w:bCs/>
        </w:rPr>
        <w:t xml:space="preserve">Year 1 (Waves 1–2):</w:t>
      </w:r>
      <w:r>
        <w:t xml:space="preserve"> Reactive services across one or two Practices. Earn the audit-discipline track record.</w:t>
      </w:r>
    </w:p>
    <w:p>
      <w:pPr>
        <w:pStyle w:val="ListParagraph"/>
        <w:numPr>
          <w:ilvl w:val="0"/>
          <w:numId w:val="1"/>
        </w:numPr>
        <w:spacing w:after="60"/>
      </w:pPr>
      <w:r>
        <w:rPr>
          <w:b/>
          <w:bCs/>
        </w:rPr>
        <w:t xml:space="preserve">Year 2 (Wave 3 + Tier 1):</w:t>
      </w:r>
      <w:r>
        <w:t xml:space="preserve"> Enterprise scale on first Practice; first Tier-1 predictive/causal flagship.</w:t>
      </w:r>
    </w:p>
    <w:p>
      <w:pPr>
        <w:pStyle w:val="ListParagraph"/>
        <w:numPr>
          <w:ilvl w:val="0"/>
          <w:numId w:val="1"/>
        </w:numPr>
        <w:spacing w:after="60"/>
      </w:pPr>
      <w:r>
        <w:rPr>
          <w:b/>
          <w:bCs/>
        </w:rPr>
        <w:t xml:space="preserve">Year 3 (Tier 1 + Tier 2):</w:t>
      </w:r>
      <w:r>
        <w:t xml:space="preserve"> First Tier-2 self-healing flagship; second Practice entering Waves 2–3.</w:t>
      </w:r>
    </w:p>
    <w:p>
      <w:pPr>
        <w:pStyle w:val="ListParagraph"/>
        <w:numPr>
          <w:ilvl w:val="0"/>
          <w:numId w:val="1"/>
        </w:numPr>
        <w:spacing w:after="60"/>
      </w:pPr>
      <w:r>
        <w:rPr>
          <w:b/>
          <w:bCs/>
        </w:rPr>
        <w:t xml:space="preserve">Year 4 (Tier 2 + Tier 3):</w:t>
      </w:r>
      <w:r>
        <w:t xml:space="preserve"> Self-healing at scale; first Tier-3 cross-service or cross-Practice flagship.</w:t>
      </w:r>
    </w:p>
    <w:p>
      <w:pPr>
        <w:pStyle w:val="ListParagraph"/>
        <w:numPr>
          <w:ilvl w:val="0"/>
          <w:numId w:val="1"/>
        </w:numPr>
        <w:spacing w:after="60"/>
      </w:pPr>
      <w:r>
        <w:rPr>
          <w:b/>
          <w:bCs/>
        </w:rPr>
        <w:t xml:space="preserve">Year 5 (Tier 3 + Tier 4):</w:t>
      </w:r>
      <w:r>
        <w:t xml:space="preserve"> Agentic contact center live; first Tier-4 bounded-autonomy pilot.</w:t>
      </w:r>
    </w:p>
    <w:p>
      <w:pPr>
        <w:pStyle w:val="ListParagraph"/>
        <w:numPr>
          <w:ilvl w:val="0"/>
          <w:numId w:val="1"/>
        </w:numPr>
        <w:spacing w:after="60"/>
      </w:pPr>
      <w:r>
        <w:rPr>
          <w:b/>
          <w:bCs/>
        </w:rPr>
        <w:t xml:space="preserve">Year 6+:</w:t>
      </w:r>
      <w:r>
        <w:t xml:space="preserve"> Enterprise Decision OS territory for reference clients.</w:t>
      </w:r>
    </w:p>
    <w:p>
      <w:pPr>
        <w:spacing w:after="140"/>
      </w:pPr>
      <w:r>
        <w:t xml:space="preserve">Each year's investment is funded by the prior year's payback. No year requires a leap of faith; every year builds on a proven floor.</w:t>
      </w:r>
    </w:p>
    <w:p>
      <w:pPr>
        <w:pStyle w:val="Heading3"/>
        <w:spacing w:after="120" w:before="260"/>
      </w:pPr>
      <w:r>
        <w:rPr>
          <w:rFonts w:ascii="Aptos" w:cs="Aptos" w:eastAsia="Aptos" w:hAnsi="Aptos"/>
          <w:b/>
          <w:bCs/>
          <w:color w:val="0B111E"/>
          <w:sz w:val="24"/>
          <w:szCs w:val="24"/>
        </w:rPr>
        <w:t xml:space="preserve">23A.6 Why Respecting the Chain Is Non-Optional</w:t>
      </w:r>
    </w:p>
    <w:p>
      <w:pPr>
        <w:spacing w:after="140"/>
      </w:pPr>
      <w:r>
        <w:t xml:space="preserve">Clients who respect the dependency chain ship flagships successfully at ~80% on-budget / on-time. Clients who skip links ship at ~20% and usually cancel the programme in year two or three. The difference is not technology; the difference is programmatic discipline.</w:t>
      </w:r>
    </w:p>
    <w:p>
      <w:pPr>
        <w:spacing w:after="140"/>
      </w:pPr>
      <w:r>
        <w:t xml:space="preserve">APEX's commercial posture is to decline flagship engagements that require chain-skipping. Saying no to a misaligned engagement is the most respectful thing the platform's delivery partners can do — for the client, for future clients who will consume the reference work, and for APEX's own credibility.</w:t>
      </w:r>
    </w:p>
    <w:p>
      <w:pPr>
        <w:pStyle w:val="Heading2"/>
        <w:spacing w:after="140" w:before="300"/>
      </w:pPr>
      <w:r>
        <w:rPr>
          <w:rFonts w:ascii="Aptos Display" w:cs="Aptos Display" w:eastAsia="Aptos Display" w:hAnsi="Aptos Display"/>
          <w:b/>
          <w:bCs/>
          <w:color w:val="0B111E"/>
          <w:sz w:val="30"/>
          <w:szCs w:val="30"/>
        </w:rPr>
        <w:t xml:space="preserve">Chapter 24: Innovation Timeline</w:t>
      </w:r>
    </w:p>
    <w:p>
      <w:pPr>
        <w:spacing w:after="140"/>
      </w:pPr>
      <w:r>
        <w:t xml:space="preserve">A realistic trajectory for a client committing to APEX's full arc:</w:t>
      </w:r>
    </w:p>
    <w:p>
      <w:pPr>
        <w:pStyle w:val="ListParagraph"/>
        <w:numPr>
          <w:ilvl w:val="0"/>
          <w:numId w:val="1"/>
        </w:numPr>
        <w:spacing w:after="60"/>
      </w:pPr>
      <w:r>
        <w:rPr>
          <w:b/>
          <w:bCs/>
        </w:rPr>
        <w:t xml:space="preserve">Year 1 (Waves 1–2):</w:t>
      </w:r>
      <w:r>
        <w:t xml:space="preserve"> Reactive services live, Wave 3 complete on first Practice</w:t>
      </w:r>
    </w:p>
    <w:p>
      <w:pPr>
        <w:pStyle w:val="ListParagraph"/>
        <w:numPr>
          <w:ilvl w:val="0"/>
          <w:numId w:val="1"/>
        </w:numPr>
        <w:spacing w:after="60"/>
      </w:pPr>
      <w:r>
        <w:rPr>
          <w:b/>
          <w:bCs/>
        </w:rPr>
        <w:t xml:space="preserve">Year 2:</w:t>
      </w:r>
      <w:r>
        <w:t xml:space="preserve"> Tier 1 predictive services piloted on proven reactive services; second Practice Wave 1</w:t>
      </w:r>
    </w:p>
    <w:p>
      <w:pPr>
        <w:pStyle w:val="ListParagraph"/>
        <w:numPr>
          <w:ilvl w:val="0"/>
          <w:numId w:val="1"/>
        </w:numPr>
        <w:spacing w:after="60"/>
      </w:pPr>
      <w:r>
        <w:rPr>
          <w:b/>
          <w:bCs/>
        </w:rPr>
        <w:t xml:space="preserve">Year 3:</w:t>
      </w:r>
      <w:r>
        <w:t xml:space="preserve"> Tier 2 self-healing services ship on mature Tier 1 services; third Practice considered</w:t>
      </w:r>
    </w:p>
    <w:p>
      <w:pPr>
        <w:pStyle w:val="ListParagraph"/>
        <w:numPr>
          <w:ilvl w:val="0"/>
          <w:numId w:val="1"/>
        </w:numPr>
        <w:spacing w:after="60"/>
      </w:pPr>
      <w:r>
        <w:rPr>
          <w:b/>
          <w:bCs/>
        </w:rPr>
        <w:t xml:space="preserve">Year 4:</w:t>
      </w:r>
      <w:r>
        <w:t xml:space="preserve"> Tier 3 A2A and S2S across multiple Practices; contact center agents in production</w:t>
      </w:r>
    </w:p>
    <w:p>
      <w:pPr>
        <w:pStyle w:val="ListParagraph"/>
        <w:numPr>
          <w:ilvl w:val="0"/>
          <w:numId w:val="1"/>
        </w:numPr>
        <w:spacing w:after="60"/>
      </w:pPr>
      <w:r>
        <w:rPr>
          <w:b/>
          <w:bCs/>
        </w:rPr>
        <w:t xml:space="preserve">Year 5+:</w:t>
      </w:r>
      <w:r>
        <w:t xml:space="preserve"> Tier 4 bounded autonomy on selected services; single-pane-of-glass operational</w:t>
      </w:r>
    </w:p>
    <w:p>
      <w:pPr>
        <w:spacing w:after="140"/>
      </w:pPr>
      <w:r>
        <w:t xml:space="preserve">This is a multi-year commitment. The programme business case is structured so that each wave's ROI funds the next one's investment.</w:t>
      </w:r>
    </w:p>
    <w:p>
      <w:pPr>
        <w:pStyle w:val="Heading2"/>
        <w:spacing w:after="140" w:before="300"/>
      </w:pPr>
      <w:r>
        <w:rPr>
          <w:rFonts w:ascii="Aptos Display" w:cs="Aptos Display" w:eastAsia="Aptos Display" w:hAnsi="Aptos Display"/>
          <w:b/>
          <w:bCs/>
          <w:color w:val="0B111E"/>
          <w:sz w:val="30"/>
          <w:szCs w:val="30"/>
        </w:rPr>
        <w:t xml:space="preserve">Chapter 25: The Autonomous Enterprise</w:t>
      </w:r>
    </w:p>
    <w:p>
      <w:pPr>
        <w:spacing w:after="140"/>
      </w:pPr>
      <w:r>
        <w:t xml:space="preserve">By the end of Wave 3, a client's APEX deployment looks like this:</w:t>
      </w:r>
    </w:p>
    <w:p>
      <w:pPr>
        <w:pStyle w:val="ListParagraph"/>
        <w:numPr>
          <w:ilvl w:val="0"/>
          <w:numId w:val="1"/>
        </w:numPr>
        <w:spacing w:after="60"/>
      </w:pPr>
      <w:r>
        <w:t xml:space="preserve">Two to three Practices live with their full service catalogues</w:t>
      </w:r>
    </w:p>
    <w:p>
      <w:pPr>
        <w:pStyle w:val="ListParagraph"/>
        <w:numPr>
          <w:ilvl w:val="0"/>
          <w:numId w:val="1"/>
        </w:numPr>
        <w:spacing w:after="60"/>
      </w:pPr>
      <w:r>
        <w:t xml:space="preserve">Consistent Level 4 operation on the majority of services; Level 5 pilot on two to four</w:t>
      </w:r>
    </w:p>
    <w:p>
      <w:pPr>
        <w:pStyle w:val="ListParagraph"/>
        <w:numPr>
          <w:ilvl w:val="0"/>
          <w:numId w:val="1"/>
        </w:numPr>
        <w:spacing w:after="60"/>
      </w:pPr>
      <w:r>
        <w:t xml:space="preserve">Manager touch-time 60–80% below baseline across services</w:t>
      </w:r>
    </w:p>
    <w:p>
      <w:pPr>
        <w:pStyle w:val="ListParagraph"/>
        <w:numPr>
          <w:ilvl w:val="0"/>
          <w:numId w:val="1"/>
        </w:numPr>
        <w:spacing w:after="60"/>
      </w:pPr>
      <w:r>
        <w:t xml:space="preserve">Decision audit rows as the single source of truth for compliance reconstruction</w:t>
      </w:r>
    </w:p>
    <w:p>
      <w:pPr>
        <w:pStyle w:val="ListParagraph"/>
        <w:numPr>
          <w:ilvl w:val="0"/>
          <w:numId w:val="1"/>
        </w:numPr>
        <w:spacing w:after="60"/>
      </w:pPr>
      <w:r>
        <w:t xml:space="preserve">Cross-practice orchestrations introducing genuinely novel decision flows (a supply-expiry event in HLS that queries the pharma-recall feed and opens a case in the AXLE recall-traceability service)</w:t>
      </w:r>
    </w:p>
    <w:p>
      <w:pPr>
        <w:spacing w:after="140"/>
      </w:pPr>
      <w:r>
        <w:t xml:space="preserve">What comes next is incremental. Level 5 is not a step-change; it is a graduated trust reallocation where specific services, on the evidence of 6–12 months of Level 4 quality, have their gates removed with audit approval. No dramatic product launch. Just continued, disciplined movement up the maturity ladder.</w:t>
      </w:r>
    </w:p>
    <w:p>
      <w:pPr>
        <w:spacing w:after="140"/>
      </w:pPr>
      <w:r>
        <w:t xml:space="preserve">The autonomous enterprise is not "no humans in the loop." It is </w:t>
      </w:r>
      <w:r>
        <w:rPr>
          <w:b/>
          <w:bCs/>
        </w:rPr>
        <w:t xml:space="preserve">humans in the loop on the decisions that warrant them</w:t>
      </w:r>
      <w:r>
        <w:t xml:space="preserve">, with everything else running silently, audibly, and correctly.</w:t>
      </w:r>
    </w:p>
    <w:p>
      <w:pPr>
        <w:pStyle w:val="Heading2"/>
        <w:spacing w:after="140" w:before="300"/>
      </w:pPr>
      <w:r>
        <w:rPr>
          <w:rFonts w:ascii="Aptos Display" w:cs="Aptos Display" w:eastAsia="Aptos Display" w:hAnsi="Aptos Display"/>
          <w:b/>
          <w:bCs/>
          <w:color w:val="0B111E"/>
          <w:sz w:val="30"/>
          <w:szCs w:val="30"/>
        </w:rPr>
        <w:t xml:space="preserve">Chapter 25: Platform Roadmap (2026–2028)</w:t>
      </w:r>
    </w:p>
    <w:p>
      <w:pPr>
        <w:spacing w:after="140"/>
      </w:pPr>
      <w:r>
        <w:t xml:space="preserve">APEX's multi-year roadmap is published and reviewed quarterly. Key items by year:</w:t>
      </w:r>
    </w:p>
    <w:p>
      <w:pPr>
        <w:pStyle w:val="Heading3"/>
        <w:spacing w:after="120" w:before="260"/>
      </w:pPr>
      <w:r>
        <w:rPr>
          <w:rFonts w:ascii="Aptos" w:cs="Aptos" w:eastAsia="Aptos" w:hAnsi="Aptos"/>
          <w:b/>
          <w:bCs/>
          <w:color w:val="0B111E"/>
          <w:sz w:val="24"/>
          <w:szCs w:val="24"/>
        </w:rPr>
        <w:t xml:space="preserve">25.1 2026 — Completing the Core Seven</w:t>
      </w:r>
    </w:p>
    <w:p>
      <w:pPr>
        <w:pStyle w:val="ListParagraph"/>
        <w:numPr>
          <w:ilvl w:val="0"/>
          <w:numId w:val="1"/>
        </w:numPr>
        <w:spacing w:after="60"/>
      </w:pPr>
      <w:r>
        <w:t xml:space="preserve">Q2: TH Practice GA (6 services), TMT Preview services graduate to GA one by one</w:t>
      </w:r>
    </w:p>
    <w:p>
      <w:pPr>
        <w:pStyle w:val="ListParagraph"/>
        <w:numPr>
          <w:ilvl w:val="0"/>
          <w:numId w:val="1"/>
        </w:numPr>
        <w:spacing w:after="60"/>
      </w:pPr>
      <w:r>
        <w:t xml:space="preserve">Q3: TMT Practice GA (7 services), ICE Practice GA (6 services)</w:t>
      </w:r>
    </w:p>
    <w:p>
      <w:pPr>
        <w:pStyle w:val="ListParagraph"/>
        <w:numPr>
          <w:ilvl w:val="0"/>
          <w:numId w:val="1"/>
        </w:numPr>
        <w:spacing w:after="60"/>
      </w:pPr>
      <w:r>
        <w:t xml:space="preserve">Q4: First cross-practice orchestrations in production</w:t>
      </w:r>
    </w:p>
    <w:p>
      <w:pPr>
        <w:pStyle w:val="ListParagraph"/>
        <w:numPr>
          <w:ilvl w:val="0"/>
          <w:numId w:val="1"/>
        </w:numPr>
        <w:spacing w:after="60"/>
      </w:pPr>
      <w:r>
        <w:t xml:space="preserve">Target: all seven Practices in GA with ≥ 30 clients across them by year-end</w:t>
      </w:r>
    </w:p>
    <w:p>
      <w:pPr>
        <w:pStyle w:val="Heading3"/>
        <w:spacing w:after="120" w:before="260"/>
      </w:pPr>
      <w:r>
        <w:rPr>
          <w:rFonts w:ascii="Aptos" w:cs="Aptos" w:eastAsia="Aptos" w:hAnsi="Aptos"/>
          <w:b/>
          <w:bCs/>
          <w:color w:val="0B111E"/>
          <w:sz w:val="24"/>
          <w:szCs w:val="24"/>
        </w:rPr>
        <w:t xml:space="preserve">25.2 2027 — Platform Deepening</w:t>
      </w:r>
    </w:p>
    <w:p>
      <w:pPr>
        <w:pStyle w:val="ListParagraph"/>
        <w:numPr>
          <w:ilvl w:val="0"/>
          <w:numId w:val="1"/>
        </w:numPr>
        <w:spacing w:after="60"/>
      </w:pPr>
      <w:r>
        <w:t xml:space="preserve">Tier 1 (predictive/causal) services shipped across all Practices</w:t>
      </w:r>
    </w:p>
    <w:p>
      <w:pPr>
        <w:pStyle w:val="ListParagraph"/>
        <w:numPr>
          <w:ilvl w:val="0"/>
          <w:numId w:val="1"/>
        </w:numPr>
        <w:spacing w:after="60"/>
      </w:pPr>
      <w:r>
        <w:t xml:space="preserve">Level-5 autonomous pilots in production on 4–6 services</w:t>
      </w:r>
    </w:p>
    <w:p>
      <w:pPr>
        <w:pStyle w:val="ListParagraph"/>
        <w:numPr>
          <w:ilvl w:val="0"/>
          <w:numId w:val="1"/>
        </w:numPr>
        <w:spacing w:after="60"/>
      </w:pPr>
      <w:r>
        <w:t xml:space="preserve">Multi-industry joint reference architectures published for diversified conglomerates</w:t>
      </w:r>
    </w:p>
    <w:p>
      <w:pPr>
        <w:pStyle w:val="ListParagraph"/>
        <w:numPr>
          <w:ilvl w:val="0"/>
          <w:numId w:val="1"/>
        </w:numPr>
        <w:spacing w:after="60"/>
      </w:pPr>
      <w:r>
        <w:t xml:space="preserve">Cross-practice orchestration patterns library — a codified set of common A2A flows</w:t>
      </w:r>
    </w:p>
    <w:p>
      <w:pPr>
        <w:pStyle w:val="Heading3"/>
        <w:spacing w:after="120" w:before="260"/>
      </w:pPr>
      <w:r>
        <w:rPr>
          <w:rFonts w:ascii="Aptos" w:cs="Aptos" w:eastAsia="Aptos" w:hAnsi="Aptos"/>
          <w:b/>
          <w:bCs/>
          <w:color w:val="0B111E"/>
          <w:sz w:val="24"/>
          <w:szCs w:val="24"/>
        </w:rPr>
        <w:t xml:space="preserve">25.3 2028 — Autonomy at Scale</w:t>
      </w:r>
    </w:p>
    <w:p>
      <w:pPr>
        <w:pStyle w:val="ListParagraph"/>
        <w:numPr>
          <w:ilvl w:val="0"/>
          <w:numId w:val="1"/>
        </w:numPr>
        <w:spacing w:after="60"/>
      </w:pPr>
      <w:r>
        <w:t xml:space="preserve">Tier 2 (self-healing) the default deployment pattern for mature services</w:t>
      </w:r>
    </w:p>
    <w:p>
      <w:pPr>
        <w:pStyle w:val="ListParagraph"/>
        <w:numPr>
          <w:ilvl w:val="0"/>
          <w:numId w:val="1"/>
        </w:numPr>
        <w:spacing w:after="60"/>
      </w:pPr>
      <w:r>
        <w:t xml:space="preserve">Tier 3 (A2A, S2S, Agentic Contact Center) in production for at least 10 named clients</w:t>
      </w:r>
    </w:p>
    <w:p>
      <w:pPr>
        <w:pStyle w:val="ListParagraph"/>
        <w:numPr>
          <w:ilvl w:val="0"/>
          <w:numId w:val="1"/>
        </w:numPr>
        <w:spacing w:after="60"/>
      </w:pPr>
      <w:r>
        <w:t xml:space="preserve">Industry benchmarks published for APEX KPIs versus non-APEX baselines</w:t>
      </w:r>
    </w:p>
    <w:p>
      <w:pPr>
        <w:pStyle w:val="ListParagraph"/>
        <w:numPr>
          <w:ilvl w:val="0"/>
          <w:numId w:val="1"/>
        </w:numPr>
        <w:spacing w:after="60"/>
      </w:pPr>
      <w:r>
        <w:t xml:space="preserve">Next-generation reasoning models integrated as they reach production viability</w:t>
      </w:r>
    </w:p>
    <w:p>
      <w:pPr>
        <w:pStyle w:val="Heading3"/>
        <w:spacing w:after="120" w:before="260"/>
      </w:pPr>
      <w:r>
        <w:rPr>
          <w:rFonts w:ascii="Aptos" w:cs="Aptos" w:eastAsia="Aptos" w:hAnsi="Aptos"/>
          <w:b/>
          <w:bCs/>
          <w:color w:val="0B111E"/>
          <w:sz w:val="24"/>
          <w:szCs w:val="24"/>
        </w:rPr>
        <w:t xml:space="preserve">25.4 Beyond 2028 — The Autonomous Frontier</w:t>
      </w:r>
    </w:p>
    <w:p>
      <w:pPr>
        <w:spacing w:after="140"/>
      </w:pPr>
      <w:r>
        <w:t xml:space="preserve">Tier 4 (autonomous, cross-practice, single-pane-of-glass) reaches flagship-client status. APEX becomes the operational backbone of decision-making for 50+ Fortune-500-class enterprises across every industry the Practices cover. The market question shifts from "why APEX?" to "what's your APEX maturity?"</w:t>
      </w:r>
    </w:p>
    <w:p>
      <w:pPr>
        <w:pStyle w:val="Heading2"/>
        <w:spacing w:after="140" w:before="300"/>
      </w:pPr>
      <w:r>
        <w:rPr>
          <w:rFonts w:ascii="Aptos Display" w:cs="Aptos Display" w:eastAsia="Aptos Display" w:hAnsi="Aptos Display"/>
          <w:b/>
          <w:bCs/>
          <w:color w:val="0B111E"/>
          <w:sz w:val="30"/>
          <w:szCs w:val="30"/>
        </w:rPr>
        <w:t xml:space="preserve">Chapter 26: From One Tenant to Every Tenant</w:t>
      </w:r>
    </w:p>
    <w:p>
      <w:pPr>
        <w:spacing w:after="140"/>
      </w:pPr>
      <w:r>
        <w:t xml:space="preserve">APEX's multi-tenant model is the commercial arc. The first tenant absorbs the programme cost. The second and third tenants' onboarding costs drop 60-80% because the patterns, SOR connectors, and training curriculum are reusable. By the time a client has ten tenants on the same Practice, each new tenant adds less than a week's onboarding effort.</w:t>
      </w:r>
    </w:p>
    <w:p>
      <w:pPr>
        <w:spacing w:after="140"/>
      </w:pPr>
      <w:r>
        <w:t xml:space="preserve">This matters at scale. A retail chain with 400 stores doesn't onboard one store at a time; it onboards one tenant (the chain) and scales services within that tenant. A health system with 15 hospitals onboards one per region initially and propagates learnings laterally.</w:t>
      </w:r>
    </w:p>
    <w:p>
      <w:pPr>
        <w:spacing w:after="140"/>
      </w:pPr>
      <w:r>
        <w:t xml:space="preserve">The platform thesis becomes real when the 20th service at the 3rd tenant ships in a week and produces the same decision-quality as the 1st service at the 1st tenant. APEX's architecture is designed to deliver on that promise.</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A: APEX Schema Reference</w:t>
      </w:r>
    </w:p>
    <w:p>
      <w:pPr>
        <w:spacing w:after="140"/>
      </w:pPr>
      <w:r>
        <w:t xml:space="preserve">Canonical schema families, by Practice. Every entity carries the five-field envelope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 plus </w:t>
      </w:r>
      <w:r>
        <w:rPr>
          <w:rFonts w:ascii="Cascadia Mono" w:cs="Cascadia Mono" w:eastAsia="Cascadia Mono" w:hAnsi="Cascadia Mono"/>
          <w:color w:val="2B2B2B"/>
          <w:sz w:val="18"/>
          <w:szCs w:val="18"/>
        </w:rPr>
        <w:t xml:space="preserve">pii_tokenized</w:t>
      </w:r>
      <w:r>
        <w:t xml:space="preserve"> and, where applicable, </w:t>
      </w:r>
      <w:r>
        <w:rPr>
          <w:rFonts w:ascii="Cascadia Mono" w:cs="Cascadia Mono" w:eastAsia="Cascadia Mono" w:hAnsi="Cascadia Mono"/>
          <w:color w:val="2B2B2B"/>
          <w:sz w:val="18"/>
          <w:szCs w:val="18"/>
        </w:rPr>
        <w:t xml:space="preserve">scd2_current</w:t>
      </w:r>
      <w:r>
        <w:t xml:space="preserve">.</w:t>
      </w:r>
    </w:p>
    <w:p>
      <w:pPr>
        <w:pStyle w:val="Heading2"/>
        <w:spacing w:after="140" w:before="300"/>
      </w:pPr>
      <w:r>
        <w:rPr>
          <w:rFonts w:ascii="Aptos Display" w:cs="Aptos Display" w:eastAsia="Aptos Display" w:hAnsi="Aptos Display"/>
          <w:b/>
          <w:bCs/>
          <w:color w:val="0B111E"/>
          <w:sz w:val="30"/>
          <w:szCs w:val="30"/>
        </w:rPr>
        <w:t xml:space="preserve">SCML — Supply-Chain Markup Language</w:t>
      </w:r>
    </w:p>
    <w:p>
      <w:pPr>
        <w:spacing w:after="140"/>
      </w:pPr>
      <w:r>
        <w:t xml:space="preserve">Used across RC, HLS, and AXLE Practices for supply-chain-adjacent services.</w:t>
      </w:r>
    </w:p>
    <w:p>
      <w:pPr>
        <w:spacing w:after="140"/>
      </w:pPr>
      <w:r>
        <w:rPr>
          <w:b/>
          <w:bCs/>
        </w:rPr>
        <w:t xml:space="preserve">Key entities:</w:t>
      </w:r>
    </w:p>
    <w:p>
      <w:pPr>
        <w:pStyle w:val="ListParagraph"/>
        <w:numPr>
          <w:ilvl w:val="0"/>
          <w:numId w:val="1"/>
        </w:numPr>
        <w:spacing w:after="60"/>
      </w:pPr>
      <w:r>
        <w:rPr>
          <w:rFonts w:ascii="Cascadia Mono" w:cs="Cascadia Mono" w:eastAsia="Cascadia Mono" w:hAnsi="Cascadia Mono"/>
          <w:color w:val="2B2B2B"/>
          <w:sz w:val="18"/>
          <w:szCs w:val="18"/>
        </w:rPr>
        <w:t xml:space="preserve">COLD_CHAIN_TELEMETRY</w:t>
      </w:r>
      <w:r>
        <w:t xml:space="preserve"> — high-frequency telemetry readings from refrigeration units; payload fields for temp_f, humidity, compressor state</w:t>
      </w:r>
    </w:p>
    <w:p>
      <w:pPr>
        <w:pStyle w:val="ListParagraph"/>
        <w:numPr>
          <w:ilvl w:val="0"/>
          <w:numId w:val="1"/>
        </w:numPr>
        <w:spacing w:after="60"/>
      </w:pPr>
      <w:r>
        <w:rPr>
          <w:rFonts w:ascii="Cascadia Mono" w:cs="Cascadia Mono" w:eastAsia="Cascadia Mono" w:hAnsi="Cascadia Mono"/>
          <w:color w:val="2B2B2B"/>
          <w:sz w:val="18"/>
          <w:szCs w:val="18"/>
        </w:rPr>
        <w:t xml:space="preserve">TEMPERATURE_EXCURSION</w:t>
      </w:r>
      <w:r>
        <w:t xml:space="preserve"> — classified excursion events with duration, peak, threshold breach</w:t>
      </w:r>
    </w:p>
    <w:p>
      <w:pPr>
        <w:pStyle w:val="ListParagraph"/>
        <w:numPr>
          <w:ilvl w:val="0"/>
          <w:numId w:val="1"/>
        </w:numPr>
        <w:spacing w:after="60"/>
      </w:pPr>
      <w:r>
        <w:rPr>
          <w:rFonts w:ascii="Cascadia Mono" w:cs="Cascadia Mono" w:eastAsia="Cascadia Mono" w:hAnsi="Cascadia Mono"/>
          <w:color w:val="2B2B2B"/>
          <w:sz w:val="18"/>
          <w:szCs w:val="18"/>
        </w:rPr>
        <w:t xml:space="preserve">ASN</w:t>
      </w:r>
      <w:r>
        <w:t xml:space="preserve"> — Advance Ship Notice records with line-level detail</w:t>
      </w:r>
    </w:p>
    <w:p>
      <w:pPr>
        <w:pStyle w:val="ListParagraph"/>
        <w:numPr>
          <w:ilvl w:val="0"/>
          <w:numId w:val="1"/>
        </w:numPr>
        <w:spacing w:after="60"/>
      </w:pPr>
      <w:r>
        <w:rPr>
          <w:rFonts w:ascii="Cascadia Mono" w:cs="Cascadia Mono" w:eastAsia="Cascadia Mono" w:hAnsi="Cascadia Mono"/>
          <w:color w:val="2B2B2B"/>
          <w:sz w:val="18"/>
          <w:szCs w:val="18"/>
        </w:rPr>
        <w:t xml:space="preserve">STORE_RECEIVING_EVENT</w:t>
      </w:r>
      <w:r>
        <w:t xml:space="preserve"> — actual receipts with RFID/scan metadata</w:t>
      </w:r>
    </w:p>
    <w:p>
      <w:pPr>
        <w:pStyle w:val="ListParagraph"/>
        <w:numPr>
          <w:ilvl w:val="0"/>
          <w:numId w:val="1"/>
        </w:numPr>
        <w:spacing w:after="60"/>
      </w:pPr>
      <w:r>
        <w:rPr>
          <w:rFonts w:ascii="Cascadia Mono" w:cs="Cascadia Mono" w:eastAsia="Cascadia Mono" w:hAnsi="Cascadia Mono"/>
          <w:color w:val="2B2B2B"/>
          <w:sz w:val="18"/>
          <w:szCs w:val="18"/>
        </w:rPr>
        <w:t xml:space="preserve">RECEIVING_DISCREPANCY</w:t>
      </w:r>
      <w:r>
        <w:t xml:space="preserve"> — variance records tied to ASN + receiving event</w:t>
      </w:r>
    </w:p>
    <w:p>
      <w:pPr>
        <w:pStyle w:val="ListParagraph"/>
        <w:numPr>
          <w:ilvl w:val="0"/>
          <w:numId w:val="1"/>
        </w:numPr>
        <w:spacing w:after="60"/>
      </w:pPr>
      <w:r>
        <w:rPr>
          <w:rFonts w:ascii="Cascadia Mono" w:cs="Cascadia Mono" w:eastAsia="Cascadia Mono" w:hAnsi="Cascadia Mono"/>
          <w:color w:val="2B2B2B"/>
          <w:sz w:val="18"/>
          <w:szCs w:val="18"/>
        </w:rPr>
        <w:t xml:space="preserve">DSD_INVOICE</w:t>
      </w:r>
      <w:r>
        <w:t xml:space="preserve"> — Direct Store Delivery invoice records with vendor-pattern history</w:t>
      </w:r>
    </w:p>
    <w:p>
      <w:pPr>
        <w:pStyle w:val="ListParagraph"/>
        <w:numPr>
          <w:ilvl w:val="0"/>
          <w:numId w:val="1"/>
        </w:numPr>
        <w:spacing w:after="60"/>
      </w:pPr>
      <w:r>
        <w:rPr>
          <w:rFonts w:ascii="Cascadia Mono" w:cs="Cascadia Mono" w:eastAsia="Cascadia Mono" w:hAnsi="Cascadia Mono"/>
          <w:color w:val="2B2B2B"/>
          <w:sz w:val="18"/>
          <w:szCs w:val="18"/>
        </w:rPr>
        <w:t xml:space="preserve">RECALL_NOTICE</w:t>
      </w:r>
      <w:r>
        <w:t xml:space="preserve"> — regulatory recall events with class, scope, affected-lot list</w:t>
      </w:r>
    </w:p>
    <w:p>
      <w:pPr>
        <w:pStyle w:val="ListParagraph"/>
        <w:numPr>
          <w:ilvl w:val="0"/>
          <w:numId w:val="1"/>
        </w:numPr>
        <w:spacing w:after="60"/>
      </w:pPr>
      <w:r>
        <w:rPr>
          <w:rFonts w:ascii="Cascadia Mono" w:cs="Cascadia Mono" w:eastAsia="Cascadia Mono" w:hAnsi="Cascadia Mono"/>
          <w:color w:val="2B2B2B"/>
          <w:sz w:val="18"/>
          <w:szCs w:val="18"/>
        </w:rPr>
        <w:t xml:space="preserve">LOT_TRACE</w:t>
      </w:r>
      <w:r>
        <w:t xml:space="preserve"> — forward/backward genealogy records for recall response</w:t>
      </w:r>
    </w:p>
    <w:p>
      <w:pPr>
        <w:pStyle w:val="ListParagraph"/>
        <w:numPr>
          <w:ilvl w:val="0"/>
          <w:numId w:val="1"/>
        </w:numPr>
        <w:spacing w:after="60"/>
      </w:pPr>
      <w:r>
        <w:rPr>
          <w:rFonts w:ascii="Cascadia Mono" w:cs="Cascadia Mono" w:eastAsia="Cascadia Mono" w:hAnsi="Cascadia Mono"/>
          <w:color w:val="2B2B2B"/>
          <w:sz w:val="18"/>
          <w:szCs w:val="18"/>
        </w:rPr>
        <w:t xml:space="preserve">LOT_EXPIRATION_STATE</w:t>
      </w:r>
      <w:r>
        <w:t xml:space="preserve"> — lot-level expiry-date tracking with reallocation candidacy</w:t>
      </w:r>
    </w:p>
    <w:p>
      <w:pPr>
        <w:pStyle w:val="Heading2"/>
        <w:spacing w:after="140" w:before="300"/>
      </w:pPr>
      <w:r>
        <w:rPr>
          <w:rFonts w:ascii="Aptos Display" w:cs="Aptos Display" w:eastAsia="Aptos Display" w:hAnsi="Aptos Display"/>
          <w:b/>
          <w:bCs/>
          <w:color w:val="0B111E"/>
          <w:sz w:val="30"/>
          <w:szCs w:val="30"/>
        </w:rPr>
        <w:t xml:space="preserve">MERML — Merchandising Markup Language</w:t>
      </w:r>
    </w:p>
    <w:p>
      <w:pPr>
        <w:spacing w:after="140"/>
      </w:pPr>
      <w:r>
        <w:t xml:space="preserve">RC Practice primarily (used by TMT for subscription-inventory analogs).</w:t>
      </w:r>
    </w:p>
    <w:p>
      <w:pPr>
        <w:spacing w:after="140"/>
      </w:pPr>
      <w:r>
        <w:rPr>
          <w:b/>
          <w:bCs/>
        </w:rPr>
        <w:t xml:space="preserve">Key entities:</w:t>
      </w:r>
    </w:p>
    <w:p>
      <w:pPr>
        <w:pStyle w:val="ListParagraph"/>
        <w:numPr>
          <w:ilvl w:val="0"/>
          <w:numId w:val="1"/>
        </w:numPr>
        <w:spacing w:after="60"/>
      </w:pPr>
      <w:r>
        <w:rPr>
          <w:rFonts w:ascii="Cascadia Mono" w:cs="Cascadia Mono" w:eastAsia="Cascadia Mono" w:hAnsi="Cascadia Mono"/>
          <w:color w:val="2B2B2B"/>
          <w:sz w:val="18"/>
          <w:szCs w:val="18"/>
        </w:rPr>
        <w:t xml:space="preserve">STORE_INVENTORY_POSITION</w:t>
      </w:r>
      <w:r>
        <w:t xml:space="preserve"> — on-hand / on-shelf / in-backroom / committed counts per store-SKU</w:t>
      </w:r>
    </w:p>
    <w:p>
      <w:pPr>
        <w:pStyle w:val="ListParagraph"/>
        <w:numPr>
          <w:ilvl w:val="0"/>
          <w:numId w:val="1"/>
        </w:numPr>
        <w:spacing w:after="60"/>
      </w:pPr>
      <w:r>
        <w:rPr>
          <w:rFonts w:ascii="Cascadia Mono" w:cs="Cascadia Mono" w:eastAsia="Cascadia Mono" w:hAnsi="Cascadia Mono"/>
          <w:color w:val="2B2B2B"/>
          <w:sz w:val="18"/>
          <w:szCs w:val="18"/>
        </w:rPr>
        <w:t xml:space="preserve">PRICE_RECORD</w:t>
      </w:r>
      <w:r>
        <w:t xml:space="preserve"> — scheduled and effective price states with SCD2 history</w:t>
      </w:r>
    </w:p>
    <w:p>
      <w:pPr>
        <w:pStyle w:val="ListParagraph"/>
        <w:numPr>
          <w:ilvl w:val="0"/>
          <w:numId w:val="1"/>
        </w:numPr>
        <w:spacing w:after="60"/>
      </w:pPr>
      <w:r>
        <w:rPr>
          <w:rFonts w:ascii="Cascadia Mono" w:cs="Cascadia Mono" w:eastAsia="Cascadia Mono" w:hAnsi="Cascadia Mono"/>
          <w:color w:val="2B2B2B"/>
          <w:sz w:val="18"/>
          <w:szCs w:val="18"/>
        </w:rPr>
        <w:t xml:space="preserve">PRICE_TAG_STATUS</w:t>
      </w:r>
      <w:r>
        <w:t xml:space="preserve"> — ESL gateway state with staleness metrics</w:t>
      </w:r>
    </w:p>
    <w:p>
      <w:pPr>
        <w:pStyle w:val="ListParagraph"/>
        <w:numPr>
          <w:ilvl w:val="0"/>
          <w:numId w:val="1"/>
        </w:numPr>
        <w:spacing w:after="60"/>
      </w:pPr>
      <w:r>
        <w:rPr>
          <w:rFonts w:ascii="Cascadia Mono" w:cs="Cascadia Mono" w:eastAsia="Cascadia Mono" w:hAnsi="Cascadia Mono"/>
          <w:color w:val="2B2B2B"/>
          <w:sz w:val="18"/>
          <w:szCs w:val="18"/>
        </w:rPr>
        <w:t xml:space="preserve">PROMOTION_ACTIVATION</w:t>
      </w:r>
      <w:r>
        <w:t xml:space="preserve"> — promo-schedule records with expected vs. observed deltas</w:t>
      </w:r>
    </w:p>
    <w:p>
      <w:pPr>
        <w:pStyle w:val="ListParagraph"/>
        <w:numPr>
          <w:ilvl w:val="0"/>
          <w:numId w:val="1"/>
        </w:numPr>
        <w:spacing w:after="60"/>
      </w:pPr>
      <w:r>
        <w:rPr>
          <w:rFonts w:ascii="Cascadia Mono" w:cs="Cascadia Mono" w:eastAsia="Cascadia Mono" w:hAnsi="Cascadia Mono"/>
          <w:color w:val="2B2B2B"/>
          <w:sz w:val="18"/>
          <w:szCs w:val="18"/>
        </w:rPr>
        <w:t xml:space="preserve">OSA_EVENT</w:t>
      </w:r>
      <w:r>
        <w:t xml:space="preserve"> — On-Shelf Availability events with CV / POS / PI fusion confidence</w:t>
      </w:r>
    </w:p>
    <w:p>
      <w:pPr>
        <w:pStyle w:val="ListParagraph"/>
        <w:numPr>
          <w:ilvl w:val="0"/>
          <w:numId w:val="1"/>
        </w:numPr>
        <w:spacing w:after="60"/>
      </w:pPr>
      <w:r>
        <w:rPr>
          <w:rFonts w:ascii="Cascadia Mono" w:cs="Cascadia Mono" w:eastAsia="Cascadia Mono" w:hAnsi="Cascadia Mono"/>
          <w:color w:val="2B2B2B"/>
          <w:sz w:val="18"/>
          <w:szCs w:val="18"/>
        </w:rPr>
        <w:t xml:space="preserve">POS_VOID</w:t>
      </w:r>
      <w:r>
        <w:t xml:space="preserve"> — transaction-level void records for anomaly detection</w:t>
      </w:r>
    </w:p>
    <w:p>
      <w:pPr>
        <w:pStyle w:val="ListParagraph"/>
        <w:numPr>
          <w:ilvl w:val="0"/>
          <w:numId w:val="1"/>
        </w:numPr>
        <w:spacing w:after="60"/>
      </w:pPr>
      <w:r>
        <w:rPr>
          <w:rFonts w:ascii="Cascadia Mono" w:cs="Cascadia Mono" w:eastAsia="Cascadia Mono" w:hAnsi="Cascadia Mono"/>
          <w:color w:val="2B2B2B"/>
          <w:sz w:val="18"/>
          <w:szCs w:val="18"/>
        </w:rPr>
        <w:t xml:space="preserve">SHRINK_EVENT</w:t>
      </w:r>
      <w:r>
        <w:t xml:space="preserve"> — correlated shrink-pattern records with sigma scoring</w:t>
      </w:r>
    </w:p>
    <w:p>
      <w:pPr>
        <w:pStyle w:val="ListParagraph"/>
        <w:numPr>
          <w:ilvl w:val="0"/>
          <w:numId w:val="1"/>
        </w:numPr>
        <w:spacing w:after="60"/>
      </w:pPr>
      <w:r>
        <w:rPr>
          <w:rFonts w:ascii="Cascadia Mono" w:cs="Cascadia Mono" w:eastAsia="Cascadia Mono" w:hAnsi="Cascadia Mono"/>
          <w:color w:val="2B2B2B"/>
          <w:sz w:val="18"/>
          <w:szCs w:val="18"/>
        </w:rPr>
        <w:t xml:space="preserve">CYCLE_COUNT_VARIANCE</w:t>
      </w:r>
      <w:r>
        <w:t xml:space="preserve"> — cycle-count delta records with category and store scope</w:t>
      </w:r>
    </w:p>
    <w:p>
      <w:pPr>
        <w:pStyle w:val="ListParagraph"/>
        <w:numPr>
          <w:ilvl w:val="0"/>
          <w:numId w:val="1"/>
        </w:numPr>
        <w:spacing w:after="60"/>
      </w:pPr>
      <w:r>
        <w:rPr>
          <w:rFonts w:ascii="Cascadia Mono" w:cs="Cascadia Mono" w:eastAsia="Cascadia Mono" w:hAnsi="Cascadia Mono"/>
          <w:color w:val="2B2B2B"/>
          <w:sz w:val="18"/>
          <w:szCs w:val="18"/>
        </w:rPr>
        <w:t xml:space="preserve">MARKDOWN_EVENT</w:t>
      </w:r>
      <w:r>
        <w:t xml:space="preserve"> — price-reduction records with disposition (save/destroy)</w:t>
      </w:r>
    </w:p>
    <w:p>
      <w:pPr>
        <w:pStyle w:val="ListParagraph"/>
        <w:numPr>
          <w:ilvl w:val="0"/>
          <w:numId w:val="1"/>
        </w:numPr>
        <w:spacing w:after="60"/>
      </w:pPr>
      <w:r>
        <w:rPr>
          <w:rFonts w:ascii="Cascadia Mono" w:cs="Cascadia Mono" w:eastAsia="Cascadia Mono" w:hAnsi="Cascadia Mono"/>
          <w:color w:val="2B2B2B"/>
          <w:sz w:val="18"/>
          <w:szCs w:val="18"/>
        </w:rPr>
        <w:t xml:space="preserve">WASTE_EVENT</w:t>
      </w:r>
      <w:r>
        <w:t xml:space="preserve"> — destroyed-inventory records with reason and cost</w:t>
      </w:r>
    </w:p>
    <w:p>
      <w:pPr>
        <w:pStyle w:val="Heading2"/>
        <w:spacing w:after="140" w:before="300"/>
      </w:pPr>
      <w:r>
        <w:rPr>
          <w:rFonts w:ascii="Aptos Display" w:cs="Aptos Display" w:eastAsia="Aptos Display" w:hAnsi="Aptos Display"/>
          <w:b/>
          <w:bCs/>
          <w:color w:val="0B111E"/>
          <w:sz w:val="30"/>
          <w:szCs w:val="30"/>
        </w:rPr>
        <w:t xml:space="preserve">CXML — Customer Experience Markup Language</w:t>
      </w:r>
    </w:p>
    <w:p>
      <w:pPr>
        <w:spacing w:after="140"/>
      </w:pPr>
      <w:r>
        <w:t xml:space="preserve">RC and HLS Practices (with TMT overlap for subscription experiences).</w:t>
      </w:r>
    </w:p>
    <w:p>
      <w:pPr>
        <w:spacing w:after="140"/>
      </w:pPr>
      <w:r>
        <w:rPr>
          <w:b/>
          <w:bCs/>
        </w:rPr>
        <w:t xml:space="preserve">Key entities:</w:t>
      </w:r>
    </w:p>
    <w:p>
      <w:pPr>
        <w:pStyle w:val="ListParagraph"/>
        <w:numPr>
          <w:ilvl w:val="0"/>
          <w:numId w:val="1"/>
        </w:numPr>
        <w:spacing w:after="60"/>
      </w:pPr>
      <w:r>
        <w:rPr>
          <w:rFonts w:ascii="Cascadia Mono" w:cs="Cascadia Mono" w:eastAsia="Cascadia Mono" w:hAnsi="Cascadia Mono"/>
          <w:color w:val="2B2B2B"/>
          <w:sz w:val="18"/>
          <w:szCs w:val="18"/>
        </w:rPr>
        <w:t xml:space="preserve">FULFILLMENT_ORDER</w:t>
      </w:r>
      <w:r>
        <w:t xml:space="preserve"> — BOPIS and e-commerce order records with state machine</w:t>
      </w:r>
    </w:p>
    <w:p>
      <w:pPr>
        <w:pStyle w:val="ListParagraph"/>
        <w:numPr>
          <w:ilvl w:val="0"/>
          <w:numId w:val="1"/>
        </w:numPr>
        <w:spacing w:after="60"/>
      </w:pPr>
      <w:r>
        <w:rPr>
          <w:rFonts w:ascii="Cascadia Mono" w:cs="Cascadia Mono" w:eastAsia="Cascadia Mono" w:hAnsi="Cascadia Mono"/>
          <w:color w:val="2B2B2B"/>
          <w:sz w:val="18"/>
          <w:szCs w:val="18"/>
        </w:rPr>
        <w:t xml:space="preserve">PICK_EXCEPTION</w:t>
      </w:r>
      <w:r>
        <w:t xml:space="preserve"> — picker-reported exceptions at fulfilment time</w:t>
      </w:r>
    </w:p>
    <w:p>
      <w:pPr>
        <w:pStyle w:val="ListParagraph"/>
        <w:numPr>
          <w:ilvl w:val="0"/>
          <w:numId w:val="1"/>
        </w:numPr>
        <w:spacing w:after="60"/>
      </w:pPr>
      <w:r>
        <w:rPr>
          <w:rFonts w:ascii="Cascadia Mono" w:cs="Cascadia Mono" w:eastAsia="Cascadia Mono" w:hAnsi="Cascadia Mono"/>
          <w:color w:val="2B2B2B"/>
          <w:sz w:val="18"/>
          <w:szCs w:val="18"/>
        </w:rPr>
        <w:t xml:space="preserve">SUBSTITUTION_EVENT</w:t>
      </w:r>
      <w:r>
        <w:t xml:space="preserve"> — substitution candidate scoring and customer decisions</w:t>
      </w:r>
    </w:p>
    <w:p>
      <w:pPr>
        <w:pStyle w:val="ListParagraph"/>
        <w:numPr>
          <w:ilvl w:val="0"/>
          <w:numId w:val="1"/>
        </w:numPr>
        <w:spacing w:after="60"/>
      </w:pPr>
      <w:r>
        <w:rPr>
          <w:rFonts w:ascii="Cascadia Mono" w:cs="Cascadia Mono" w:eastAsia="Cascadia Mono" w:hAnsi="Cascadia Mono"/>
          <w:color w:val="2B2B2B"/>
          <w:sz w:val="18"/>
          <w:szCs w:val="18"/>
        </w:rPr>
        <w:t xml:space="preserve">LOYALTY_STATE</w:t>
      </w:r>
      <w:r>
        <w:t xml:space="preserve"> — tokenised customer loyalty state (tier, LTV, consent flags)</w:t>
      </w:r>
    </w:p>
    <w:p>
      <w:pPr>
        <w:pStyle w:val="ListParagraph"/>
        <w:numPr>
          <w:ilvl w:val="0"/>
          <w:numId w:val="1"/>
        </w:numPr>
        <w:spacing w:after="60"/>
      </w:pPr>
      <w:r>
        <w:rPr>
          <w:rFonts w:ascii="Cascadia Mono" w:cs="Cascadia Mono" w:eastAsia="Cascadia Mono" w:hAnsi="Cascadia Mono"/>
          <w:color w:val="2B2B2B"/>
          <w:sz w:val="18"/>
          <w:szCs w:val="18"/>
        </w:rPr>
        <w:t xml:space="preserve">CUSTOMER_INCIDENT</w:t>
      </w:r>
      <w:r>
        <w:t xml:space="preserve"> — customer-reported incidents with severity tier and lot-code extraction</w:t>
      </w:r>
    </w:p>
    <w:p>
      <w:pPr>
        <w:pStyle w:val="Heading2"/>
        <w:spacing w:after="140" w:before="300"/>
      </w:pPr>
      <w:r>
        <w:rPr>
          <w:rFonts w:ascii="Aptos Display" w:cs="Aptos Display" w:eastAsia="Aptos Display" w:hAnsi="Aptos Display"/>
          <w:b/>
          <w:bCs/>
          <w:color w:val="0B111E"/>
          <w:sz w:val="30"/>
          <w:szCs w:val="30"/>
        </w:rPr>
        <w:t xml:space="preserve">HLSCML — Healthcare &amp; Life Sciences Markup Language</w:t>
      </w:r>
    </w:p>
    <w:p>
      <w:pPr>
        <w:spacing w:after="140"/>
      </w:pPr>
      <w:r>
        <w:t xml:space="preserve">HLS Practice. All entities carry HIPAA-compliant tokenisation.</w:t>
      </w:r>
    </w:p>
    <w:p>
      <w:pPr>
        <w:spacing w:after="140"/>
      </w:pPr>
      <w:r>
        <w:rPr>
          <w:b/>
          <w:bCs/>
        </w:rPr>
        <w:t xml:space="preserve">Key entities:</w:t>
      </w:r>
    </w:p>
    <w:p>
      <w:pPr>
        <w:pStyle w:val="ListParagraph"/>
        <w:numPr>
          <w:ilvl w:val="0"/>
          <w:numId w:val="1"/>
        </w:numPr>
        <w:spacing w:after="60"/>
      </w:pPr>
      <w:r>
        <w:rPr>
          <w:rFonts w:ascii="Cascadia Mono" w:cs="Cascadia Mono" w:eastAsia="Cascadia Mono" w:hAnsi="Cascadia Mono"/>
          <w:color w:val="2B2B2B"/>
          <w:sz w:val="18"/>
          <w:szCs w:val="18"/>
        </w:rPr>
        <w:t xml:space="preserve">PATIENT_ENCOUNTER</w:t>
      </w:r>
      <w:r>
        <w:t xml:space="preserve"> — admission / encounter records with PHI tokens</w:t>
      </w:r>
    </w:p>
    <w:p>
      <w:pPr>
        <w:pStyle w:val="ListParagraph"/>
        <w:numPr>
          <w:ilvl w:val="0"/>
          <w:numId w:val="1"/>
        </w:numPr>
        <w:spacing w:after="60"/>
      </w:pPr>
      <w:r>
        <w:rPr>
          <w:rFonts w:ascii="Cascadia Mono" w:cs="Cascadia Mono" w:eastAsia="Cascadia Mono" w:hAnsi="Cascadia Mono"/>
          <w:color w:val="2B2B2B"/>
          <w:sz w:val="18"/>
          <w:szCs w:val="18"/>
        </w:rPr>
        <w:t xml:space="preserve">CLINICAL_OBSERVATION</w:t>
      </w:r>
      <w:r>
        <w:t xml:space="preserve"> — structured observation records (vitals, assessments)</w:t>
      </w:r>
    </w:p>
    <w:p>
      <w:pPr>
        <w:pStyle w:val="ListParagraph"/>
        <w:numPr>
          <w:ilvl w:val="0"/>
          <w:numId w:val="1"/>
        </w:numPr>
        <w:spacing w:after="60"/>
      </w:pPr>
      <w:r>
        <w:rPr>
          <w:rFonts w:ascii="Cascadia Mono" w:cs="Cascadia Mono" w:eastAsia="Cascadia Mono" w:hAnsi="Cascadia Mono"/>
          <w:color w:val="2B2B2B"/>
          <w:sz w:val="18"/>
          <w:szCs w:val="18"/>
        </w:rPr>
        <w:t xml:space="preserve">CARE_PLAN</w:t>
      </w:r>
      <w:r>
        <w:t xml:space="preserve"> — care-plan milestones and order status</w:t>
      </w:r>
    </w:p>
    <w:p>
      <w:pPr>
        <w:pStyle w:val="ListParagraph"/>
        <w:numPr>
          <w:ilvl w:val="0"/>
          <w:numId w:val="1"/>
        </w:numPr>
        <w:spacing w:after="60"/>
      </w:pPr>
      <w:r>
        <w:rPr>
          <w:rFonts w:ascii="Cascadia Mono" w:cs="Cascadia Mono" w:eastAsia="Cascadia Mono" w:hAnsi="Cascadia Mono"/>
          <w:color w:val="2B2B2B"/>
          <w:sz w:val="18"/>
          <w:szCs w:val="18"/>
        </w:rPr>
        <w:t xml:space="preserve">VITALS</w:t>
      </w:r>
      <w:r>
        <w:t xml:space="preserve"> — high-frequency vitals stream</w:t>
      </w:r>
    </w:p>
    <w:p>
      <w:pPr>
        <w:pStyle w:val="ListParagraph"/>
        <w:numPr>
          <w:ilvl w:val="0"/>
          <w:numId w:val="1"/>
        </w:numPr>
        <w:spacing w:after="60"/>
      </w:pPr>
      <w:r>
        <w:rPr>
          <w:rFonts w:ascii="Cascadia Mono" w:cs="Cascadia Mono" w:eastAsia="Cascadia Mono" w:hAnsi="Cascadia Mono"/>
          <w:color w:val="2B2B2B"/>
          <w:sz w:val="18"/>
          <w:szCs w:val="18"/>
        </w:rPr>
        <w:t xml:space="preserve">LAB_RESULT</w:t>
      </w:r>
      <w:r>
        <w:t xml:space="preserve"> — lab order results with reference ranges</w:t>
      </w:r>
    </w:p>
    <w:p>
      <w:pPr>
        <w:pStyle w:val="ListParagraph"/>
        <w:numPr>
          <w:ilvl w:val="0"/>
          <w:numId w:val="1"/>
        </w:numPr>
        <w:spacing w:after="60"/>
      </w:pPr>
      <w:r>
        <w:rPr>
          <w:rFonts w:ascii="Cascadia Mono" w:cs="Cascadia Mono" w:eastAsia="Cascadia Mono" w:hAnsi="Cascadia Mono"/>
          <w:color w:val="2B2B2B"/>
          <w:sz w:val="18"/>
          <w:szCs w:val="18"/>
        </w:rPr>
        <w:t xml:space="preserve">CLAIM_DENIAL</w:t>
      </w:r>
      <w:r>
        <w:t xml:space="preserve"> — denial records with payer reason codes and dispute tracking</w:t>
      </w:r>
    </w:p>
    <w:p>
      <w:pPr>
        <w:pStyle w:val="ListParagraph"/>
        <w:numPr>
          <w:ilvl w:val="0"/>
          <w:numId w:val="1"/>
        </w:numPr>
        <w:spacing w:after="60"/>
      </w:pPr>
      <w:r>
        <w:rPr>
          <w:rFonts w:ascii="Cascadia Mono" w:cs="Cascadia Mono" w:eastAsia="Cascadia Mono" w:hAnsi="Cascadia Mono"/>
          <w:color w:val="2B2B2B"/>
          <w:sz w:val="18"/>
          <w:szCs w:val="18"/>
        </w:rPr>
        <w:t xml:space="preserve">CODING_RECORD</w:t>
      </w:r>
      <w:r>
        <w:t xml:space="preserve"> — ICD / CPT / HCPCS coding with clinical documentation links</w:t>
      </w:r>
    </w:p>
    <w:p>
      <w:pPr>
        <w:pStyle w:val="ListParagraph"/>
        <w:numPr>
          <w:ilvl w:val="0"/>
          <w:numId w:val="1"/>
        </w:numPr>
        <w:spacing w:after="60"/>
      </w:pPr>
      <w:r>
        <w:rPr>
          <w:rFonts w:ascii="Cascadia Mono" w:cs="Cascadia Mono" w:eastAsia="Cascadia Mono" w:hAnsi="Cascadia Mono"/>
          <w:color w:val="2B2B2B"/>
          <w:sz w:val="18"/>
          <w:szCs w:val="18"/>
        </w:rPr>
        <w:t xml:space="preserve">TRIAL_PROTOCOL</w:t>
      </w:r>
      <w:r>
        <w:t xml:space="preserve"> — trial eligibility criteria and site details</w:t>
      </w:r>
    </w:p>
    <w:p>
      <w:pPr>
        <w:pStyle w:val="ListParagraph"/>
        <w:numPr>
          <w:ilvl w:val="0"/>
          <w:numId w:val="1"/>
        </w:numPr>
        <w:spacing w:after="60"/>
      </w:pPr>
      <w:r>
        <w:rPr>
          <w:rFonts w:ascii="Cascadia Mono" w:cs="Cascadia Mono" w:eastAsia="Cascadia Mono" w:hAnsi="Cascadia Mono"/>
          <w:color w:val="2B2B2B"/>
          <w:sz w:val="18"/>
          <w:szCs w:val="18"/>
        </w:rPr>
        <w:t xml:space="preserve">ELIGIBILITY_CRITERIA</w:t>
      </w:r>
      <w:r>
        <w:t xml:space="preserve"> — structured inclusion/exclusion criteria</w:t>
      </w:r>
    </w:p>
    <w:p>
      <w:pPr>
        <w:pStyle w:val="ListParagraph"/>
        <w:numPr>
          <w:ilvl w:val="0"/>
          <w:numId w:val="1"/>
        </w:numPr>
        <w:spacing w:after="60"/>
      </w:pPr>
      <w:r>
        <w:rPr>
          <w:rFonts w:ascii="Cascadia Mono" w:cs="Cascadia Mono" w:eastAsia="Cascadia Mono" w:hAnsi="Cascadia Mono"/>
          <w:color w:val="2B2B2B"/>
          <w:sz w:val="18"/>
          <w:szCs w:val="18"/>
        </w:rPr>
        <w:t xml:space="preserve">PATIENT_SAFETY_EVENT</w:t>
      </w:r>
      <w:r>
        <w:t xml:space="preserve"> — near-miss and adverse-event records</w:t>
      </w:r>
    </w:p>
    <w:p>
      <w:pPr>
        <w:pStyle w:val="ListParagraph"/>
        <w:numPr>
          <w:ilvl w:val="0"/>
          <w:numId w:val="1"/>
        </w:numPr>
        <w:spacing w:after="60"/>
      </w:pPr>
      <w:r>
        <w:rPr>
          <w:rFonts w:ascii="Cascadia Mono" w:cs="Cascadia Mono" w:eastAsia="Cascadia Mono" w:hAnsi="Cascadia Mono"/>
          <w:color w:val="2B2B2B"/>
          <w:sz w:val="18"/>
          <w:szCs w:val="18"/>
        </w:rPr>
        <w:t xml:space="preserve">INCIDENT_CLASSIFICATION</w:t>
      </w:r>
      <w:r>
        <w:t xml:space="preserve"> — severity and regulatory-reportability classification</w:t>
      </w:r>
    </w:p>
    <w:p>
      <w:pPr>
        <w:pStyle w:val="Heading2"/>
        <w:spacing w:after="140" w:before="300"/>
      </w:pPr>
      <w:r>
        <w:rPr>
          <w:rFonts w:ascii="Aptos Display" w:cs="Aptos Display" w:eastAsia="Aptos Display" w:hAnsi="Aptos Display"/>
          <w:b/>
          <w:bCs/>
          <w:color w:val="0B111E"/>
          <w:sz w:val="30"/>
          <w:szCs w:val="30"/>
        </w:rPr>
        <w:t xml:space="preserve">ERCML — Energy &amp; Resources Markup Language</w:t>
      </w:r>
    </w:p>
    <w:p>
      <w:pPr>
        <w:spacing w:after="140"/>
      </w:pPr>
      <w:r>
        <w:t xml:space="preserve">ER Practice.</w:t>
      </w:r>
    </w:p>
    <w:p>
      <w:pPr>
        <w:spacing w:after="140"/>
      </w:pPr>
      <w:r>
        <w:rPr>
          <w:b/>
          <w:bCs/>
        </w:rPr>
        <w:t xml:space="preserve">Key entities:</w:t>
      </w:r>
    </w:p>
    <w:p>
      <w:pPr>
        <w:pStyle w:val="ListParagraph"/>
        <w:numPr>
          <w:ilvl w:val="0"/>
          <w:numId w:val="1"/>
        </w:numPr>
        <w:spacing w:after="60"/>
      </w:pPr>
      <w:r>
        <w:rPr>
          <w:rFonts w:ascii="Cascadia Mono" w:cs="Cascadia Mono" w:eastAsia="Cascadia Mono" w:hAnsi="Cascadia Mono"/>
          <w:color w:val="2B2B2B"/>
          <w:sz w:val="18"/>
          <w:szCs w:val="18"/>
        </w:rPr>
        <w:t xml:space="preserve">METER_READING</w:t>
      </w:r>
      <w:r>
        <w:t xml:space="preserve"> — 15-min or hourly AMI meter reads</w:t>
      </w:r>
    </w:p>
    <w:p>
      <w:pPr>
        <w:pStyle w:val="ListParagraph"/>
        <w:numPr>
          <w:ilvl w:val="0"/>
          <w:numId w:val="1"/>
        </w:numPr>
        <w:spacing w:after="60"/>
      </w:pPr>
      <w:r>
        <w:rPr>
          <w:rFonts w:ascii="Cascadia Mono" w:cs="Cascadia Mono" w:eastAsia="Cascadia Mono" w:hAnsi="Cascadia Mono"/>
          <w:color w:val="2B2B2B"/>
          <w:sz w:val="18"/>
          <w:szCs w:val="18"/>
        </w:rPr>
        <w:t xml:space="preserve">OUTAGE_EVENT</w:t>
      </w:r>
      <w:r>
        <w:t xml:space="preserve"> — classified outage records with scope and cause</w:t>
      </w:r>
    </w:p>
    <w:p>
      <w:pPr>
        <w:pStyle w:val="ListParagraph"/>
        <w:numPr>
          <w:ilvl w:val="0"/>
          <w:numId w:val="1"/>
        </w:numPr>
        <w:spacing w:after="60"/>
      </w:pPr>
      <w:r>
        <w:rPr>
          <w:rFonts w:ascii="Cascadia Mono" w:cs="Cascadia Mono" w:eastAsia="Cascadia Mono" w:hAnsi="Cascadia Mono"/>
          <w:color w:val="2B2B2B"/>
          <w:sz w:val="18"/>
          <w:szCs w:val="18"/>
        </w:rPr>
        <w:t xml:space="preserve">GRID_ANOMALY</w:t>
      </w:r>
      <w:r>
        <w:t xml:space="preserve"> — SCADA-derived anomaly events with classification</w:t>
      </w:r>
    </w:p>
    <w:p>
      <w:pPr>
        <w:pStyle w:val="ListParagraph"/>
        <w:numPr>
          <w:ilvl w:val="0"/>
          <w:numId w:val="1"/>
        </w:numPr>
        <w:spacing w:after="60"/>
      </w:pPr>
      <w:r>
        <w:rPr>
          <w:rFonts w:ascii="Cascadia Mono" w:cs="Cascadia Mono" w:eastAsia="Cascadia Mono" w:hAnsi="Cascadia Mono"/>
          <w:color w:val="2B2B2B"/>
          <w:sz w:val="18"/>
          <w:szCs w:val="18"/>
        </w:rPr>
        <w:t xml:space="preserve">CUSTOMER_SERVICE_STATE</w:t>
      </w:r>
      <w:r>
        <w:t xml:space="preserve"> — customer premise service state (energised, de-energised, etc.)</w:t>
      </w:r>
    </w:p>
    <w:p>
      <w:pPr>
        <w:pStyle w:val="ListParagraph"/>
        <w:numPr>
          <w:ilvl w:val="0"/>
          <w:numId w:val="1"/>
        </w:numPr>
        <w:spacing w:after="60"/>
      </w:pPr>
      <w:r>
        <w:rPr>
          <w:rFonts w:ascii="Cascadia Mono" w:cs="Cascadia Mono" w:eastAsia="Cascadia Mono" w:hAnsi="Cascadia Mono"/>
          <w:color w:val="2B2B2B"/>
          <w:sz w:val="18"/>
          <w:szCs w:val="18"/>
        </w:rPr>
        <w:t xml:space="preserve">SCADA_TELEMETRY</w:t>
      </w:r>
      <w:r>
        <w:t xml:space="preserve"> — high-frequency substation and feeder telemetry</w:t>
      </w:r>
    </w:p>
    <w:p>
      <w:pPr>
        <w:pStyle w:val="ListParagraph"/>
        <w:numPr>
          <w:ilvl w:val="0"/>
          <w:numId w:val="1"/>
        </w:numPr>
        <w:spacing w:after="60"/>
      </w:pPr>
      <w:r>
        <w:rPr>
          <w:rFonts w:ascii="Cascadia Mono" w:cs="Cascadia Mono" w:eastAsia="Cascadia Mono" w:hAnsi="Cascadia Mono"/>
          <w:color w:val="2B2B2B"/>
          <w:sz w:val="18"/>
          <w:szCs w:val="18"/>
        </w:rPr>
        <w:t xml:space="preserve">BILLING_EXCEPTION</w:t>
      </w:r>
      <w:r>
        <w:t xml:space="preserve"> — billing anomaly records with root-cause classification</w:t>
      </w:r>
    </w:p>
    <w:p>
      <w:pPr>
        <w:pStyle w:val="ListParagraph"/>
        <w:numPr>
          <w:ilvl w:val="0"/>
          <w:numId w:val="1"/>
        </w:numPr>
        <w:spacing w:after="60"/>
      </w:pPr>
      <w:r>
        <w:rPr>
          <w:rFonts w:ascii="Cascadia Mono" w:cs="Cascadia Mono" w:eastAsia="Cascadia Mono" w:hAnsi="Cascadia Mono"/>
          <w:color w:val="2B2B2B"/>
          <w:sz w:val="18"/>
          <w:szCs w:val="18"/>
        </w:rPr>
        <w:t xml:space="preserve">RATE_SCHEDULE</w:t>
      </w:r>
      <w:r>
        <w:t xml:space="preserve"> — current and scheduled rate structures</w:t>
      </w:r>
    </w:p>
    <w:p>
      <w:pPr>
        <w:pStyle w:val="ListParagraph"/>
        <w:numPr>
          <w:ilvl w:val="0"/>
          <w:numId w:val="1"/>
        </w:numPr>
        <w:spacing w:after="60"/>
      </w:pPr>
      <w:r>
        <w:rPr>
          <w:rFonts w:ascii="Cascadia Mono" w:cs="Cascadia Mono" w:eastAsia="Cascadia Mono" w:hAnsi="Cascadia Mono"/>
          <w:color w:val="2B2B2B"/>
          <w:sz w:val="18"/>
          <w:szCs w:val="18"/>
        </w:rPr>
        <w:t xml:space="preserve">WORK_ORDER</w:t>
      </w:r>
      <w:r>
        <w:t xml:space="preserve"> — field work orders with crew assignment and status</w:t>
      </w:r>
    </w:p>
    <w:p>
      <w:pPr>
        <w:pStyle w:val="ListParagraph"/>
        <w:numPr>
          <w:ilvl w:val="0"/>
          <w:numId w:val="1"/>
        </w:numPr>
        <w:spacing w:after="60"/>
      </w:pPr>
      <w:r>
        <w:rPr>
          <w:rFonts w:ascii="Cascadia Mono" w:cs="Cascadia Mono" w:eastAsia="Cascadia Mono" w:hAnsi="Cascadia Mono"/>
          <w:color w:val="2B2B2B"/>
          <w:sz w:val="18"/>
          <w:szCs w:val="18"/>
        </w:rPr>
        <w:t xml:space="preserve">CREW_STATE</w:t>
      </w:r>
      <w:r>
        <w:t xml:space="preserve"> — crew availability, certifications, current location</w:t>
      </w:r>
    </w:p>
    <w:p>
      <w:pPr>
        <w:pStyle w:val="ListParagraph"/>
        <w:numPr>
          <w:ilvl w:val="0"/>
          <w:numId w:val="1"/>
        </w:numPr>
        <w:spacing w:after="60"/>
      </w:pPr>
      <w:r>
        <w:rPr>
          <w:rFonts w:ascii="Cascadia Mono" w:cs="Cascadia Mono" w:eastAsia="Cascadia Mono" w:hAnsi="Cascadia Mono"/>
          <w:color w:val="2B2B2B"/>
          <w:sz w:val="18"/>
          <w:szCs w:val="18"/>
        </w:rPr>
        <w:t xml:space="preserve">ASSET_HEALTH</w:t>
      </w:r>
      <w:r>
        <w:t xml:space="preserve"> — distribution asset health scores (shared with AXLECML)</w:t>
      </w:r>
    </w:p>
    <w:p>
      <w:pPr>
        <w:pStyle w:val="ListParagraph"/>
        <w:numPr>
          <w:ilvl w:val="0"/>
          <w:numId w:val="1"/>
        </w:numPr>
        <w:spacing w:after="60"/>
      </w:pPr>
      <w:r>
        <w:rPr>
          <w:rFonts w:ascii="Cascadia Mono" w:cs="Cascadia Mono" w:eastAsia="Cascadia Mono" w:hAnsi="Cascadia Mono"/>
          <w:color w:val="2B2B2B"/>
          <w:sz w:val="18"/>
          <w:szCs w:val="18"/>
        </w:rPr>
        <w:t xml:space="preserve">REGULATORY_EVENT</w:t>
      </w:r>
      <w:r>
        <w:t xml:space="preserve"> — FERC / PUC reportable events with filing state</w:t>
      </w:r>
    </w:p>
    <w:p>
      <w:pPr>
        <w:pStyle w:val="ListParagraph"/>
        <w:numPr>
          <w:ilvl w:val="0"/>
          <w:numId w:val="1"/>
        </w:numPr>
        <w:spacing w:after="60"/>
      </w:pPr>
      <w:r>
        <w:rPr>
          <w:rFonts w:ascii="Cascadia Mono" w:cs="Cascadia Mono" w:eastAsia="Cascadia Mono" w:hAnsi="Cascadia Mono"/>
          <w:color w:val="2B2B2B"/>
          <w:sz w:val="18"/>
          <w:szCs w:val="18"/>
        </w:rPr>
        <w:t xml:space="preserve">RELIABILITY_METRIC</w:t>
      </w:r>
      <w:r>
        <w:t xml:space="preserve"> — SAIDI / SAIFI / CAIDI computation records</w:t>
      </w:r>
    </w:p>
    <w:p>
      <w:pPr>
        <w:pStyle w:val="Heading2"/>
        <w:spacing w:after="140" w:before="300"/>
      </w:pPr>
      <w:r>
        <w:rPr>
          <w:rFonts w:ascii="Aptos Display" w:cs="Aptos Display" w:eastAsia="Aptos Display" w:hAnsi="Aptos Display"/>
          <w:b/>
          <w:bCs/>
          <w:color w:val="0B111E"/>
          <w:sz w:val="30"/>
          <w:szCs w:val="30"/>
        </w:rPr>
        <w:t xml:space="preserve">AXLECML — Industrial &amp; Manufacturing Markup Language</w:t>
      </w:r>
    </w:p>
    <w:p>
      <w:pPr>
        <w:spacing w:after="140"/>
      </w:pPr>
      <w:r>
        <w:t xml:space="preserve">AXLE Practice (shared with ICE for equipment-OEM services).</w:t>
      </w:r>
    </w:p>
    <w:p>
      <w:pPr>
        <w:spacing w:after="140"/>
      </w:pPr>
      <w:r>
        <w:rPr>
          <w:b/>
          <w:bCs/>
        </w:rPr>
        <w:t xml:space="preserve">Key entities:</w:t>
      </w:r>
    </w:p>
    <w:p>
      <w:pPr>
        <w:pStyle w:val="ListParagraph"/>
        <w:numPr>
          <w:ilvl w:val="0"/>
          <w:numId w:val="1"/>
        </w:numPr>
        <w:spacing w:after="60"/>
      </w:pPr>
      <w:r>
        <w:rPr>
          <w:rFonts w:ascii="Cascadia Mono" w:cs="Cascadia Mono" w:eastAsia="Cascadia Mono" w:hAnsi="Cascadia Mono"/>
          <w:color w:val="2B2B2B"/>
          <w:sz w:val="18"/>
          <w:szCs w:val="18"/>
        </w:rPr>
        <w:t xml:space="preserve">PRODUCTION_EVENT</w:t>
      </w:r>
      <w:r>
        <w:t xml:space="preserve"> — shop-floor production events (count, scrap, cycle time)</w:t>
      </w:r>
    </w:p>
    <w:p>
      <w:pPr>
        <w:pStyle w:val="ListParagraph"/>
        <w:numPr>
          <w:ilvl w:val="0"/>
          <w:numId w:val="1"/>
        </w:numPr>
        <w:spacing w:after="60"/>
      </w:pPr>
      <w:r>
        <w:rPr>
          <w:rFonts w:ascii="Cascadia Mono" w:cs="Cascadia Mono" w:eastAsia="Cascadia Mono" w:hAnsi="Cascadia Mono"/>
          <w:color w:val="2B2B2B"/>
          <w:sz w:val="18"/>
          <w:szCs w:val="18"/>
        </w:rPr>
        <w:t xml:space="preserve">ASSET_HEALTH</w:t>
      </w:r>
      <w:r>
        <w:t xml:space="preserve"> — asset condition signals (shared with ERCML)</w:t>
      </w:r>
    </w:p>
    <w:p>
      <w:pPr>
        <w:pStyle w:val="ListParagraph"/>
        <w:numPr>
          <w:ilvl w:val="0"/>
          <w:numId w:val="1"/>
        </w:numPr>
        <w:spacing w:after="60"/>
      </w:pPr>
      <w:r>
        <w:rPr>
          <w:rFonts w:ascii="Cascadia Mono" w:cs="Cascadia Mono" w:eastAsia="Cascadia Mono" w:hAnsi="Cascadia Mono"/>
          <w:color w:val="2B2B2B"/>
          <w:sz w:val="18"/>
          <w:szCs w:val="18"/>
        </w:rPr>
        <w:t xml:space="preserve">MATERIAL_FLOW</w:t>
      </w:r>
      <w:r>
        <w:t xml:space="preserve"> — material arrival and consumption events</w:t>
      </w:r>
    </w:p>
    <w:p>
      <w:pPr>
        <w:pStyle w:val="ListParagraph"/>
        <w:numPr>
          <w:ilvl w:val="0"/>
          <w:numId w:val="1"/>
        </w:numPr>
        <w:spacing w:after="60"/>
      </w:pPr>
      <w:r>
        <w:rPr>
          <w:rFonts w:ascii="Cascadia Mono" w:cs="Cascadia Mono" w:eastAsia="Cascadia Mono" w:hAnsi="Cascadia Mono"/>
          <w:color w:val="2B2B2B"/>
          <w:sz w:val="18"/>
          <w:szCs w:val="18"/>
        </w:rPr>
        <w:t xml:space="preserve">QUALITY_EXCURSION</w:t>
      </w:r>
      <w:r>
        <w:t xml:space="preserve"> — SPC excursion records with classification and containment state</w:t>
      </w:r>
    </w:p>
    <w:p>
      <w:pPr>
        <w:pStyle w:val="ListParagraph"/>
        <w:numPr>
          <w:ilvl w:val="0"/>
          <w:numId w:val="1"/>
        </w:numPr>
        <w:spacing w:after="60"/>
      </w:pPr>
      <w:r>
        <w:rPr>
          <w:rFonts w:ascii="Cascadia Mono" w:cs="Cascadia Mono" w:eastAsia="Cascadia Mono" w:hAnsi="Cascadia Mono"/>
          <w:color w:val="2B2B2B"/>
          <w:sz w:val="18"/>
          <w:szCs w:val="18"/>
        </w:rPr>
        <w:t xml:space="preserve">GENEALOGY</w:t>
      </w:r>
      <w:r>
        <w:t xml:space="preserve"> — forward/backward part-to-part genealogy (shared with ICE recall-traceability)</w:t>
      </w:r>
    </w:p>
    <w:p>
      <w:pPr>
        <w:pStyle w:val="ListParagraph"/>
        <w:numPr>
          <w:ilvl w:val="0"/>
          <w:numId w:val="1"/>
        </w:numPr>
        <w:spacing w:after="60"/>
      </w:pPr>
      <w:r>
        <w:rPr>
          <w:rFonts w:ascii="Cascadia Mono" w:cs="Cascadia Mono" w:eastAsia="Cascadia Mono" w:hAnsi="Cascadia Mono"/>
          <w:color w:val="2B2B2B"/>
          <w:sz w:val="18"/>
          <w:szCs w:val="18"/>
        </w:rPr>
        <w:t xml:space="preserve">PRODUCT_LOT</w:t>
      </w:r>
      <w:r>
        <w:t xml:space="preserve"> — lot/batch records tied to raw material and production records</w:t>
      </w:r>
    </w:p>
    <w:p>
      <w:pPr>
        <w:pStyle w:val="ListParagraph"/>
        <w:numPr>
          <w:ilvl w:val="0"/>
          <w:numId w:val="1"/>
        </w:numPr>
        <w:spacing w:after="60"/>
      </w:pPr>
      <w:r>
        <w:rPr>
          <w:rFonts w:ascii="Cascadia Mono" w:cs="Cascadia Mono" w:eastAsia="Cascadia Mono" w:hAnsi="Cascadia Mono"/>
          <w:color w:val="2B2B2B"/>
          <w:sz w:val="18"/>
          <w:szCs w:val="18"/>
        </w:rPr>
        <w:t xml:space="preserve">SUPPLIER_EVENT</w:t>
      </w:r>
      <w:r>
        <w:t xml:space="preserve"> — supplier-side events (delay, quality hold, shortage)</w:t>
      </w:r>
    </w:p>
    <w:p>
      <w:pPr>
        <w:pStyle w:val="ListParagraph"/>
        <w:numPr>
          <w:ilvl w:val="0"/>
          <w:numId w:val="1"/>
        </w:numPr>
        <w:spacing w:after="60"/>
      </w:pPr>
      <w:r>
        <w:rPr>
          <w:rFonts w:ascii="Cascadia Mono" w:cs="Cascadia Mono" w:eastAsia="Cascadia Mono" w:hAnsi="Cascadia Mono"/>
          <w:color w:val="2B2B2B"/>
          <w:sz w:val="18"/>
          <w:szCs w:val="18"/>
        </w:rPr>
        <w:t xml:space="preserve">PURCHASE_ORDER</w:t>
      </w:r>
      <w:r>
        <w:t xml:space="preserve"> — PO state and commitment tracking</w:t>
      </w:r>
    </w:p>
    <w:p>
      <w:pPr>
        <w:pStyle w:val="ListParagraph"/>
        <w:numPr>
          <w:ilvl w:val="0"/>
          <w:numId w:val="1"/>
        </w:numPr>
        <w:spacing w:after="60"/>
      </w:pPr>
      <w:r>
        <w:rPr>
          <w:rFonts w:ascii="Cascadia Mono" w:cs="Cascadia Mono" w:eastAsia="Cascadia Mono" w:hAnsi="Cascadia Mono"/>
          <w:color w:val="2B2B2B"/>
          <w:sz w:val="18"/>
          <w:szCs w:val="18"/>
        </w:rPr>
        <w:t xml:space="preserve">INVENTORY_POSITION</w:t>
      </w:r>
      <w:r>
        <w:t xml:space="preserve"> — per-location inventory levels</w:t>
      </w:r>
    </w:p>
    <w:p>
      <w:pPr>
        <w:pStyle w:val="ListParagraph"/>
        <w:numPr>
          <w:ilvl w:val="0"/>
          <w:numId w:val="1"/>
        </w:numPr>
        <w:spacing w:after="60"/>
      </w:pPr>
      <w:r>
        <w:rPr>
          <w:rFonts w:ascii="Cascadia Mono" w:cs="Cascadia Mono" w:eastAsia="Cascadia Mono" w:hAnsi="Cascadia Mono"/>
          <w:color w:val="2B2B2B"/>
          <w:sz w:val="18"/>
          <w:szCs w:val="18"/>
        </w:rPr>
        <w:t xml:space="preserve">RECALL_NOTICE</w:t>
      </w:r>
      <w:r>
        <w:t xml:space="preserve"> — initiated recalls with scope and state</w:t>
      </w:r>
    </w:p>
    <w:p>
      <w:pPr>
        <w:pStyle w:val="ListParagraph"/>
        <w:numPr>
          <w:ilvl w:val="0"/>
          <w:numId w:val="1"/>
        </w:numPr>
        <w:spacing w:after="60"/>
      </w:pPr>
      <w:r>
        <w:rPr>
          <w:rFonts w:ascii="Cascadia Mono" w:cs="Cascadia Mono" w:eastAsia="Cascadia Mono" w:hAnsi="Cascadia Mono"/>
          <w:color w:val="2B2B2B"/>
          <w:sz w:val="18"/>
          <w:szCs w:val="18"/>
        </w:rPr>
        <w:t xml:space="preserve">SHIPMENT</w:t>
      </w:r>
      <w:r>
        <w:t xml:space="preserve"> — outbound shipment tracking (required for recall forward-trace)</w:t>
      </w:r>
    </w:p>
    <w:p>
      <w:pPr>
        <w:pStyle w:val="ListParagraph"/>
        <w:numPr>
          <w:ilvl w:val="0"/>
          <w:numId w:val="1"/>
        </w:numPr>
        <w:spacing w:after="60"/>
      </w:pPr>
      <w:r>
        <w:rPr>
          <w:rFonts w:ascii="Cascadia Mono" w:cs="Cascadia Mono" w:eastAsia="Cascadia Mono" w:hAnsi="Cascadia Mono"/>
          <w:color w:val="2B2B2B"/>
          <w:sz w:val="18"/>
          <w:szCs w:val="18"/>
        </w:rPr>
        <w:t xml:space="preserve">KPI_SNAPSHOT</w:t>
      </w:r>
      <w:r>
        <w:t xml:space="preserve"> — shift/day/week OEE, yield, scrap rollups</w:t>
      </w:r>
    </w:p>
    <w:p>
      <w:pPr>
        <w:pStyle w:val="Heading2"/>
        <w:spacing w:after="140" w:before="300"/>
      </w:pPr>
      <w:r>
        <w:rPr>
          <w:rFonts w:ascii="Aptos Display" w:cs="Aptos Display" w:eastAsia="Aptos Display" w:hAnsi="Aptos Display"/>
          <w:b/>
          <w:bCs/>
          <w:color w:val="0B111E"/>
          <w:sz w:val="30"/>
          <w:szCs w:val="30"/>
        </w:rPr>
        <w:t xml:space="preserve">TMTML — Technology, Media &amp; Telecom Markup Language (Preview)</w:t>
      </w:r>
    </w:p>
    <w:p>
      <w:pPr>
        <w:spacing w:after="140"/>
      </w:pPr>
      <w:r>
        <w:t xml:space="preserve">TMT Practice (in build).</w:t>
      </w:r>
    </w:p>
    <w:p>
      <w:pPr>
        <w:spacing w:after="140"/>
      </w:pPr>
      <w:r>
        <w:rPr>
          <w:b/>
          <w:bCs/>
        </w:rPr>
        <w:t xml:space="preserve">Drafted entities:</w:t>
      </w:r>
    </w:p>
    <w:p>
      <w:pPr>
        <w:pStyle w:val="ListParagraph"/>
        <w:numPr>
          <w:ilvl w:val="0"/>
          <w:numId w:val="1"/>
        </w:numPr>
        <w:spacing w:after="60"/>
      </w:pPr>
      <w:r>
        <w:rPr>
          <w:rFonts w:ascii="Cascadia Mono" w:cs="Cascadia Mono" w:eastAsia="Cascadia Mono" w:hAnsi="Cascadia Mono"/>
          <w:color w:val="2B2B2B"/>
          <w:sz w:val="18"/>
          <w:szCs w:val="18"/>
        </w:rPr>
        <w:t xml:space="preserve">NETWORK_INCIDENT</w:t>
      </w:r>
      <w:r>
        <w:t xml:space="preserve"> — NOC-facing incident records with classification, blast radius, owning team</w:t>
      </w:r>
    </w:p>
    <w:p>
      <w:pPr>
        <w:pStyle w:val="ListParagraph"/>
        <w:numPr>
          <w:ilvl w:val="0"/>
          <w:numId w:val="1"/>
        </w:numPr>
        <w:spacing w:after="60"/>
      </w:pPr>
      <w:r>
        <w:rPr>
          <w:rFonts w:ascii="Cascadia Mono" w:cs="Cascadia Mono" w:eastAsia="Cascadia Mono" w:hAnsi="Cascadia Mono"/>
          <w:color w:val="2B2B2B"/>
          <w:sz w:val="18"/>
          <w:szCs w:val="18"/>
        </w:rPr>
        <w:t xml:space="preserve">CUSTOMER_SUBSCRIPTION_STATE</w:t>
      </w:r>
      <w:r>
        <w:t xml:space="preserve"> — tokenised subscription state across products</w:t>
      </w:r>
    </w:p>
    <w:p>
      <w:pPr>
        <w:pStyle w:val="ListParagraph"/>
        <w:numPr>
          <w:ilvl w:val="0"/>
          <w:numId w:val="1"/>
        </w:numPr>
        <w:spacing w:after="60"/>
      </w:pPr>
      <w:r>
        <w:rPr>
          <w:rFonts w:ascii="Cascadia Mono" w:cs="Cascadia Mono" w:eastAsia="Cascadia Mono" w:hAnsi="Cascadia Mono"/>
          <w:color w:val="2B2B2B"/>
          <w:sz w:val="18"/>
          <w:szCs w:val="18"/>
        </w:rPr>
        <w:t xml:space="preserve">CHURN_SIGNAL</w:t>
      </w:r>
      <w:r>
        <w:t xml:space="preserve"> — composite churn indicator records</w:t>
      </w:r>
    </w:p>
    <w:p>
      <w:pPr>
        <w:pStyle w:val="ListParagraph"/>
        <w:numPr>
          <w:ilvl w:val="0"/>
          <w:numId w:val="1"/>
        </w:numPr>
        <w:spacing w:after="60"/>
      </w:pPr>
      <w:r>
        <w:rPr>
          <w:rFonts w:ascii="Cascadia Mono" w:cs="Cascadia Mono" w:eastAsia="Cascadia Mono" w:hAnsi="Cascadia Mono"/>
          <w:color w:val="2B2B2B"/>
          <w:sz w:val="18"/>
          <w:szCs w:val="18"/>
        </w:rPr>
        <w:t xml:space="preserve">SAVE_OFFER</w:t>
      </w:r>
      <w:r>
        <w:t xml:space="preserve"> — proposed and applied save offers with outcome tracking</w:t>
      </w:r>
    </w:p>
    <w:p>
      <w:pPr>
        <w:pStyle w:val="ListParagraph"/>
        <w:numPr>
          <w:ilvl w:val="0"/>
          <w:numId w:val="1"/>
        </w:numPr>
        <w:spacing w:after="60"/>
      </w:pPr>
      <w:r>
        <w:rPr>
          <w:rFonts w:ascii="Cascadia Mono" w:cs="Cascadia Mono" w:eastAsia="Cascadia Mono" w:hAnsi="Cascadia Mono"/>
          <w:color w:val="2B2B2B"/>
          <w:sz w:val="18"/>
          <w:szCs w:val="18"/>
        </w:rPr>
        <w:t xml:space="preserve">CONTENT_RIGHTS_INCIDENT</w:t>
      </w:r>
      <w:r>
        <w:t xml:space="preserve"> — rights-violation records with takedown state</w:t>
      </w:r>
    </w:p>
    <w:p>
      <w:pPr>
        <w:pStyle w:val="ListParagraph"/>
        <w:numPr>
          <w:ilvl w:val="0"/>
          <w:numId w:val="1"/>
        </w:numPr>
        <w:spacing w:after="60"/>
      </w:pPr>
      <w:r>
        <w:rPr>
          <w:rFonts w:ascii="Cascadia Mono" w:cs="Cascadia Mono" w:eastAsia="Cascadia Mono" w:hAnsi="Cascadia Mono"/>
          <w:color w:val="2B2B2B"/>
          <w:sz w:val="18"/>
          <w:szCs w:val="18"/>
        </w:rPr>
        <w:t xml:space="preserve">CONTENT_PIECE</w:t>
      </w:r>
      <w:r>
        <w:t xml:space="preserve"> — catalog records for content under rights management</w:t>
      </w:r>
    </w:p>
    <w:p>
      <w:pPr>
        <w:pStyle w:val="ListParagraph"/>
        <w:numPr>
          <w:ilvl w:val="0"/>
          <w:numId w:val="1"/>
        </w:numPr>
        <w:spacing w:after="60"/>
      </w:pPr>
      <w:r>
        <w:rPr>
          <w:rFonts w:ascii="Cascadia Mono" w:cs="Cascadia Mono" w:eastAsia="Cascadia Mono" w:hAnsi="Cascadia Mono"/>
          <w:color w:val="2B2B2B"/>
          <w:sz w:val="18"/>
          <w:szCs w:val="18"/>
        </w:rPr>
        <w:t xml:space="preserve">AD_IMPRESSION_SUSPECT</w:t>
      </w:r>
      <w:r>
        <w:t xml:space="preserve"> — flagged ad events with evidence bundle</w:t>
      </w:r>
    </w:p>
    <w:p>
      <w:pPr>
        <w:pStyle w:val="ListParagraph"/>
        <w:numPr>
          <w:ilvl w:val="0"/>
          <w:numId w:val="1"/>
        </w:numPr>
        <w:spacing w:after="60"/>
      </w:pPr>
      <w:r>
        <w:rPr>
          <w:rFonts w:ascii="Cascadia Mono" w:cs="Cascadia Mono" w:eastAsia="Cascadia Mono" w:hAnsi="Cascadia Mono"/>
          <w:color w:val="2B2B2B"/>
          <w:sz w:val="18"/>
          <w:szCs w:val="18"/>
        </w:rPr>
        <w:t xml:space="preserve">CLOUD_COST_ANOMALY</w:t>
      </w:r>
      <w:r>
        <w:t xml:space="preserve"> — cost-spike records with resource attribution</w:t>
      </w:r>
    </w:p>
    <w:p>
      <w:pPr>
        <w:pStyle w:val="ListParagraph"/>
        <w:numPr>
          <w:ilvl w:val="0"/>
          <w:numId w:val="1"/>
        </w:numPr>
        <w:spacing w:after="60"/>
      </w:pPr>
      <w:r>
        <w:rPr>
          <w:rFonts w:ascii="Cascadia Mono" w:cs="Cascadia Mono" w:eastAsia="Cascadia Mono" w:hAnsi="Cascadia Mono"/>
          <w:color w:val="2B2B2B"/>
          <w:sz w:val="18"/>
          <w:szCs w:val="18"/>
        </w:rPr>
        <w:t xml:space="preserve">RESOURCE_TELEMETRY</w:t>
      </w:r>
      <w:r>
        <w:t xml:space="preserve"> — cloud-resource metering (tokenised customer scope)</w:t>
      </w:r>
    </w:p>
    <w:p>
      <w:pPr>
        <w:pStyle w:val="ListParagraph"/>
        <w:numPr>
          <w:ilvl w:val="0"/>
          <w:numId w:val="1"/>
        </w:numPr>
        <w:spacing w:after="60"/>
      </w:pPr>
      <w:r>
        <w:rPr>
          <w:rFonts w:ascii="Cascadia Mono" w:cs="Cascadia Mono" w:eastAsia="Cascadia Mono" w:hAnsi="Cascadia Mono"/>
          <w:color w:val="2B2B2B"/>
          <w:sz w:val="18"/>
          <w:szCs w:val="18"/>
        </w:rPr>
        <w:t xml:space="preserve">5G_SLICE_STATE</w:t>
      </w:r>
      <w:r>
        <w:t xml:space="preserve"> — per-slice quality state records</w:t>
      </w:r>
    </w:p>
    <w:p>
      <w:pPr>
        <w:pStyle w:val="ListParagraph"/>
        <w:numPr>
          <w:ilvl w:val="0"/>
          <w:numId w:val="1"/>
        </w:numPr>
        <w:spacing w:after="60"/>
      </w:pPr>
      <w:r>
        <w:rPr>
          <w:rFonts w:ascii="Cascadia Mono" w:cs="Cascadia Mono" w:eastAsia="Cascadia Mono" w:hAnsi="Cascadia Mono"/>
          <w:color w:val="2B2B2B"/>
          <w:sz w:val="18"/>
          <w:szCs w:val="18"/>
        </w:rPr>
        <w:t xml:space="preserve">SUBSCRIPTION_EXCEPTION</w:t>
      </w:r>
      <w:r>
        <w:t xml:space="preserve"> — payment / plan / usage exception records</w:t>
      </w:r>
    </w:p>
    <w:p>
      <w:pPr>
        <w:pStyle w:val="ListParagraph"/>
        <w:numPr>
          <w:ilvl w:val="0"/>
          <w:numId w:val="1"/>
        </w:numPr>
        <w:spacing w:after="60"/>
      </w:pPr>
      <w:r>
        <w:rPr>
          <w:rFonts w:ascii="Cascadia Mono" w:cs="Cascadia Mono" w:eastAsia="Cascadia Mono" w:hAnsi="Cascadia Mono"/>
          <w:color w:val="2B2B2B"/>
          <w:sz w:val="18"/>
          <w:szCs w:val="18"/>
        </w:rPr>
        <w:t xml:space="preserve">INTERACTION_HISTORY</w:t>
      </w:r>
      <w:r>
        <w:t xml:space="preserve"> — tokenised customer interaction log for retention services</w:t>
      </w:r>
    </w:p>
    <w:p>
      <w:pPr>
        <w:pStyle w:val="Heading2"/>
        <w:spacing w:after="140" w:before="300"/>
      </w:pPr>
      <w:r>
        <w:rPr>
          <w:rFonts w:ascii="Aptos Display" w:cs="Aptos Display" w:eastAsia="Aptos Display" w:hAnsi="Aptos Display"/>
          <w:b/>
          <w:bCs/>
          <w:color w:val="0B111E"/>
          <w:sz w:val="30"/>
          <w:szCs w:val="30"/>
        </w:rPr>
        <w:t xml:space="preserve">THML — Travel &amp; Hospitality Markup Language (Preview)</w:t>
      </w:r>
    </w:p>
    <w:p>
      <w:pPr>
        <w:spacing w:after="140"/>
      </w:pPr>
      <w:r>
        <w:t xml:space="preserve">TH Practice (in build).</w:t>
      </w:r>
    </w:p>
    <w:p>
      <w:pPr>
        <w:spacing w:after="140"/>
      </w:pPr>
      <w:r>
        <w:rPr>
          <w:b/>
          <w:bCs/>
        </w:rPr>
        <w:t xml:space="preserve">Drafted entities:</w:t>
      </w:r>
    </w:p>
    <w:p>
      <w:pPr>
        <w:pStyle w:val="ListParagraph"/>
        <w:numPr>
          <w:ilvl w:val="0"/>
          <w:numId w:val="1"/>
        </w:numPr>
        <w:spacing w:after="60"/>
      </w:pPr>
      <w:r>
        <w:rPr>
          <w:rFonts w:ascii="Cascadia Mono" w:cs="Cascadia Mono" w:eastAsia="Cascadia Mono" w:hAnsi="Cascadia Mono"/>
          <w:color w:val="2B2B2B"/>
          <w:sz w:val="18"/>
          <w:szCs w:val="18"/>
        </w:rPr>
        <w:t xml:space="preserve">BOOKING_RECORD</w:t>
      </w:r>
      <w:r>
        <w:t xml:space="preserve"> — reservation records (flight, hotel, package) with tokenised customer</w:t>
      </w:r>
    </w:p>
    <w:p>
      <w:pPr>
        <w:pStyle w:val="ListParagraph"/>
        <w:numPr>
          <w:ilvl w:val="0"/>
          <w:numId w:val="1"/>
        </w:numPr>
        <w:spacing w:after="60"/>
      </w:pPr>
      <w:r>
        <w:rPr>
          <w:rFonts w:ascii="Cascadia Mono" w:cs="Cascadia Mono" w:eastAsia="Cascadia Mono" w:hAnsi="Cascadia Mono"/>
          <w:color w:val="2B2B2B"/>
          <w:sz w:val="18"/>
          <w:szCs w:val="18"/>
        </w:rPr>
        <w:t xml:space="preserve">DISRUPTION_EVENT</w:t>
      </w:r>
      <w:r>
        <w:t xml:space="preserve"> — cancellation, delay, overbooking records</w:t>
      </w:r>
    </w:p>
    <w:p>
      <w:pPr>
        <w:pStyle w:val="ListParagraph"/>
        <w:numPr>
          <w:ilvl w:val="0"/>
          <w:numId w:val="1"/>
        </w:numPr>
        <w:spacing w:after="60"/>
      </w:pPr>
      <w:r>
        <w:rPr>
          <w:rFonts w:ascii="Cascadia Mono" w:cs="Cascadia Mono" w:eastAsia="Cascadia Mono" w:hAnsi="Cascadia Mono"/>
          <w:color w:val="2B2B2B"/>
          <w:sz w:val="18"/>
          <w:szCs w:val="18"/>
        </w:rPr>
        <w:t xml:space="preserve">RECOVERY_ACTION</w:t>
      </w:r>
      <w:r>
        <w:t xml:space="preserve"> — rebooking, compensation, outreach records</w:t>
      </w:r>
    </w:p>
    <w:p>
      <w:pPr>
        <w:pStyle w:val="ListParagraph"/>
        <w:numPr>
          <w:ilvl w:val="0"/>
          <w:numId w:val="1"/>
        </w:numPr>
        <w:spacing w:after="60"/>
      </w:pPr>
      <w:r>
        <w:rPr>
          <w:rFonts w:ascii="Cascadia Mono" w:cs="Cascadia Mono" w:eastAsia="Cascadia Mono" w:hAnsi="Cascadia Mono"/>
          <w:color w:val="2B2B2B"/>
          <w:sz w:val="18"/>
          <w:szCs w:val="18"/>
        </w:rPr>
        <w:t xml:space="preserve">LOYALTY_GUEST_STATE</w:t>
      </w:r>
      <w:r>
        <w:t xml:space="preserve"> — tier, tenure, LTV, current-at-risk indicator</w:t>
      </w:r>
    </w:p>
    <w:p>
      <w:pPr>
        <w:pStyle w:val="ListParagraph"/>
        <w:numPr>
          <w:ilvl w:val="0"/>
          <w:numId w:val="1"/>
        </w:numPr>
        <w:spacing w:after="60"/>
      </w:pPr>
      <w:r>
        <w:rPr>
          <w:rFonts w:ascii="Cascadia Mono" w:cs="Cascadia Mono" w:eastAsia="Cascadia Mono" w:hAnsi="Cascadia Mono"/>
          <w:color w:val="2B2B2B"/>
          <w:sz w:val="18"/>
          <w:szCs w:val="18"/>
        </w:rPr>
        <w:t xml:space="preserve">HOUSEKEEPING_EXCEPTION</w:t>
      </w:r>
      <w:r>
        <w:t xml:space="preserve"> — room-status exceptions with priority</w:t>
      </w:r>
    </w:p>
    <w:p>
      <w:pPr>
        <w:pStyle w:val="ListParagraph"/>
        <w:numPr>
          <w:ilvl w:val="0"/>
          <w:numId w:val="1"/>
        </w:numPr>
        <w:spacing w:after="60"/>
      </w:pPr>
      <w:r>
        <w:rPr>
          <w:rFonts w:ascii="Cascadia Mono" w:cs="Cascadia Mono" w:eastAsia="Cascadia Mono" w:hAnsi="Cascadia Mono"/>
          <w:color w:val="2B2B2B"/>
          <w:sz w:val="18"/>
          <w:szCs w:val="18"/>
        </w:rPr>
        <w:t xml:space="preserve">GUEST_INCIDENT</w:t>
      </w:r>
      <w:r>
        <w:t xml:space="preserve"> — safety, service, or quality incident records</w:t>
      </w:r>
    </w:p>
    <w:p>
      <w:pPr>
        <w:pStyle w:val="ListParagraph"/>
        <w:numPr>
          <w:ilvl w:val="0"/>
          <w:numId w:val="1"/>
        </w:numPr>
        <w:spacing w:after="60"/>
      </w:pPr>
      <w:r>
        <w:rPr>
          <w:rFonts w:ascii="Cascadia Mono" w:cs="Cascadia Mono" w:eastAsia="Cascadia Mono" w:hAnsi="Cascadia Mono"/>
          <w:color w:val="2B2B2B"/>
          <w:sz w:val="18"/>
          <w:szCs w:val="18"/>
        </w:rPr>
        <w:t xml:space="preserve">REVENUE_MANAGEMENT_STATE</w:t>
      </w:r>
      <w:r>
        <w:t xml:space="preserve"> — pricing and inventory optimisation state</w:t>
      </w:r>
    </w:p>
    <w:p>
      <w:pPr>
        <w:pStyle w:val="ListParagraph"/>
        <w:numPr>
          <w:ilvl w:val="0"/>
          <w:numId w:val="1"/>
        </w:numPr>
        <w:spacing w:after="60"/>
      </w:pPr>
      <w:r>
        <w:rPr>
          <w:rFonts w:ascii="Cascadia Mono" w:cs="Cascadia Mono" w:eastAsia="Cascadia Mono" w:hAnsi="Cascadia Mono"/>
          <w:color w:val="2B2B2B"/>
          <w:sz w:val="18"/>
          <w:szCs w:val="18"/>
        </w:rPr>
        <w:t xml:space="preserve">RATE_ANOMALY</w:t>
      </w:r>
      <w:r>
        <w:t xml:space="preserve"> — pricing drift and competitor-shift records</w:t>
      </w:r>
    </w:p>
    <w:p>
      <w:pPr>
        <w:pStyle w:val="ListParagraph"/>
        <w:numPr>
          <w:ilvl w:val="0"/>
          <w:numId w:val="1"/>
        </w:numPr>
        <w:spacing w:after="60"/>
      </w:pPr>
      <w:r>
        <w:rPr>
          <w:rFonts w:ascii="Cascadia Mono" w:cs="Cascadia Mono" w:eastAsia="Cascadia Mono" w:hAnsi="Cascadia Mono"/>
          <w:color w:val="2B2B2B"/>
          <w:sz w:val="18"/>
          <w:szCs w:val="18"/>
        </w:rPr>
        <w:t xml:space="preserve">INVENTORY_STATE</w:t>
      </w:r>
      <w:r>
        <w:t xml:space="preserve"> — room-night / seat-flight inventory state</w:t>
      </w:r>
    </w:p>
    <w:p>
      <w:pPr>
        <w:pStyle w:val="Heading2"/>
        <w:spacing w:after="140" w:before="300"/>
      </w:pPr>
      <w:r>
        <w:rPr>
          <w:rFonts w:ascii="Aptos Display" w:cs="Aptos Display" w:eastAsia="Aptos Display" w:hAnsi="Aptos Display"/>
          <w:b/>
          <w:bCs/>
          <w:color w:val="0B111E"/>
          <w:sz w:val="30"/>
          <w:szCs w:val="30"/>
        </w:rPr>
        <w:t xml:space="preserve">ICEML — Industrial &amp; Commercial Equipment Markup Language (Preview)</w:t>
      </w:r>
    </w:p>
    <w:p>
      <w:pPr>
        <w:spacing w:after="140"/>
      </w:pPr>
      <w:r>
        <w:t xml:space="preserve">ICE Practice (in build). Many entities shared with AXLECML and ERCML.</w:t>
      </w:r>
    </w:p>
    <w:p>
      <w:pPr>
        <w:spacing w:after="140"/>
      </w:pPr>
      <w:r>
        <w:rPr>
          <w:b/>
          <w:bCs/>
        </w:rPr>
        <w:t xml:space="preserve">Drafted entities unique to ICE:</w:t>
      </w:r>
    </w:p>
    <w:p>
      <w:pPr>
        <w:pStyle w:val="ListParagraph"/>
        <w:numPr>
          <w:ilvl w:val="0"/>
          <w:numId w:val="1"/>
        </w:numPr>
        <w:spacing w:after="60"/>
      </w:pPr>
      <w:r>
        <w:rPr>
          <w:rFonts w:ascii="Cascadia Mono" w:cs="Cascadia Mono" w:eastAsia="Cascadia Mono" w:hAnsi="Cascadia Mono"/>
          <w:color w:val="2B2B2B"/>
          <w:sz w:val="18"/>
          <w:szCs w:val="18"/>
        </w:rPr>
        <w:t xml:space="preserve">FIELD_INCIDENT</w:t>
      </w:r>
      <w:r>
        <w:t xml:space="preserve"> — field-asset failure events with customer-site attribution</w:t>
      </w:r>
    </w:p>
    <w:p>
      <w:pPr>
        <w:pStyle w:val="ListParagraph"/>
        <w:numPr>
          <w:ilvl w:val="0"/>
          <w:numId w:val="1"/>
        </w:numPr>
        <w:spacing w:after="60"/>
      </w:pPr>
      <w:r>
        <w:rPr>
          <w:rFonts w:ascii="Cascadia Mono" w:cs="Cascadia Mono" w:eastAsia="Cascadia Mono" w:hAnsi="Cascadia Mono"/>
          <w:color w:val="2B2B2B"/>
          <w:sz w:val="18"/>
          <w:szCs w:val="18"/>
        </w:rPr>
        <w:t xml:space="preserve">PARTS_INVENTORY_POSITION</w:t>
      </w:r>
      <w:r>
        <w:t xml:space="preserve"> — cross-depot parts availability (dealer network)</w:t>
      </w:r>
    </w:p>
    <w:p>
      <w:pPr>
        <w:pStyle w:val="ListParagraph"/>
        <w:numPr>
          <w:ilvl w:val="0"/>
          <w:numId w:val="1"/>
        </w:numPr>
        <w:spacing w:after="60"/>
      </w:pPr>
      <w:r>
        <w:rPr>
          <w:rFonts w:ascii="Cascadia Mono" w:cs="Cascadia Mono" w:eastAsia="Cascadia Mono" w:hAnsi="Cascadia Mono"/>
          <w:color w:val="2B2B2B"/>
          <w:sz w:val="18"/>
          <w:szCs w:val="18"/>
        </w:rPr>
        <w:t xml:space="preserve">WARRANTY_CLAIM</w:t>
      </w:r>
      <w:r>
        <w:t xml:space="preserve"> — warranty claim records with pattern-detection metadata</w:t>
      </w:r>
    </w:p>
    <w:p>
      <w:pPr>
        <w:pStyle w:val="ListParagraph"/>
        <w:numPr>
          <w:ilvl w:val="0"/>
          <w:numId w:val="1"/>
        </w:numPr>
        <w:spacing w:after="60"/>
      </w:pPr>
      <w:r>
        <w:rPr>
          <w:rFonts w:ascii="Cascadia Mono" w:cs="Cascadia Mono" w:eastAsia="Cascadia Mono" w:hAnsi="Cascadia Mono"/>
          <w:color w:val="2B2B2B"/>
          <w:sz w:val="18"/>
          <w:szCs w:val="18"/>
        </w:rPr>
        <w:t xml:space="preserve">CONTRACT_RENEWAL_STATE</w:t>
      </w:r>
      <w:r>
        <w:t xml:space="preserve"> — as-a-service and extended-warranty renewal state</w:t>
      </w:r>
    </w:p>
    <w:p>
      <w:pPr>
        <w:pStyle w:val="ListParagraph"/>
        <w:numPr>
          <w:ilvl w:val="0"/>
          <w:numId w:val="1"/>
        </w:numPr>
        <w:spacing w:after="60"/>
      </w:pPr>
      <w:r>
        <w:rPr>
          <w:rFonts w:ascii="Cascadia Mono" w:cs="Cascadia Mono" w:eastAsia="Cascadia Mono" w:hAnsi="Cascadia Mono"/>
          <w:color w:val="2B2B2B"/>
          <w:sz w:val="18"/>
          <w:szCs w:val="18"/>
        </w:rPr>
        <w:t xml:space="preserve">TECHNICIAN_STATE</w:t>
      </w:r>
      <w:r>
        <w:t xml:space="preserve"> — technician certifications, location, truck-inventory (shared with ERCML.CREW_STATE patterns)</w:t>
      </w:r>
    </w:p>
    <w:p>
      <w:pPr>
        <w:pStyle w:val="ListParagraph"/>
        <w:numPr>
          <w:ilvl w:val="0"/>
          <w:numId w:val="1"/>
        </w:numPr>
        <w:spacing w:after="60"/>
      </w:pPr>
      <w:r>
        <w:rPr>
          <w:rFonts w:ascii="Cascadia Mono" w:cs="Cascadia Mono" w:eastAsia="Cascadia Mono" w:hAnsi="Cascadia Mono"/>
          <w:color w:val="2B2B2B"/>
          <w:sz w:val="18"/>
          <w:szCs w:val="18"/>
        </w:rPr>
        <w:t xml:space="preserve">FIELD_ASSET_DEPLOYMENT</w:t>
      </w:r>
      <w:r>
        <w:t xml:space="preserve"> — customer-site asset placements with utilisation state</w:t>
      </w:r>
    </w:p>
    <w:p>
      <w:pPr>
        <w:pStyle w:val="ListParagraph"/>
        <w:numPr>
          <w:ilvl w:val="0"/>
          <w:numId w:val="1"/>
        </w:numPr>
        <w:spacing w:after="60"/>
      </w:pPr>
      <w:r>
        <w:rPr>
          <w:rFonts w:ascii="Cascadia Mono" w:cs="Cascadia Mono" w:eastAsia="Cascadia Mono" w:hAnsi="Cascadia Mono"/>
          <w:color w:val="2B2B2B"/>
          <w:sz w:val="18"/>
          <w:szCs w:val="18"/>
        </w:rPr>
        <w:t xml:space="preserve">COMPLIANCE_INSPECTION</w:t>
      </w:r>
      <w:r>
        <w:t xml:space="preserve"> — regulated inspection event records</w:t>
      </w:r>
    </w:p>
    <w:p>
      <w:pPr>
        <w:pStyle w:val="ListParagraph"/>
        <w:numPr>
          <w:ilvl w:val="0"/>
          <w:numId w:val="1"/>
        </w:numPr>
        <w:spacing w:after="60"/>
      </w:pPr>
      <w:r>
        <w:rPr>
          <w:rFonts w:ascii="Cascadia Mono" w:cs="Cascadia Mono" w:eastAsia="Cascadia Mono" w:hAnsi="Cascadia Mono"/>
          <w:color w:val="2B2B2B"/>
          <w:sz w:val="18"/>
          <w:szCs w:val="18"/>
        </w:rPr>
        <w:t xml:space="preserve">AS_A_SERVICE_UTILIZATION</w:t>
      </w:r>
      <w:r>
        <w:t xml:space="preserve"> — fleet utilisation tracking for XaaS contracts</w:t>
      </w:r>
    </w:p>
    <w:p>
      <w:pPr>
        <w:spacing w:after="140"/>
      </w:pPr>
      <w:r>
        <w:t xml:space="preserve">Full per-entity reference — including column lists, SCD2 status, PII classes, and change history — is in the companion per-Practice build specs.</w:t>
      </w:r>
    </w:p>
    <w:p>
      <w:pPr>
        <w:pStyle w:val="Heading3"/>
        <w:spacing w:after="120" w:before="260"/>
      </w:pPr>
      <w:r>
        <w:rPr>
          <w:rFonts w:ascii="Aptos" w:cs="Aptos" w:eastAsia="Aptos" w:hAnsi="Aptos"/>
          <w:b/>
          <w:bCs/>
          <w:color w:val="0B111E"/>
          <w:sz w:val="24"/>
          <w:szCs w:val="24"/>
        </w:rPr>
        <w:t xml:space="preserve">A.1 The Canonical Envelope</w:t>
      </w:r>
    </w:p>
    <w:p>
      <w:pPr>
        <w:spacing w:after="140"/>
      </w:pPr>
      <w:r>
        <w:t xml:space="preserve">Every Silver row (excluding pure lookup/reference tables) carries these five fields, validated by </w:t>
      </w:r>
      <w:r>
        <w:rPr>
          <w:rFonts w:ascii="Cascadia Mono" w:cs="Cascadia Mono" w:eastAsia="Cascadia Mono" w:hAnsi="Cascadia Mono"/>
          <w:color w:val="2B2B2B"/>
          <w:sz w:val="18"/>
          <w:szCs w:val="18"/>
        </w:rPr>
        <w:t xml:space="preserve">schema-manifest-contract.json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event_id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(UUID or opaque)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Globally unique; idempotency key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event_ts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logical event happened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entity_id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primary entity the event is about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source_system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enum 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SOR this came from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source_system_ts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SOR stamped it</w:t>
            </w:r>
          </w:p>
        </w:tc>
      </w:tr>
    </w:tbl>
    <w:p>
      <w:pPr>
        <w:spacing w:after="120"/>
      </w:pPr>
      <w:r>
        <w:t xml:space="preserve"/>
      </w:r>
    </w:p>
    <w:p>
      <w:pPr>
        <w:spacing w:after="140"/>
      </w:pPr>
      <w:r>
        <w:t xml:space="preserve">Plus optional:</w:t>
      </w:r>
    </w:p>
    <w:p>
      <w:pPr>
        <w:pStyle w:val="ListParagraph"/>
        <w:numPr>
          <w:ilvl w:val="0"/>
          <w:numId w:val="1"/>
        </w:numPr>
        <w:spacing w:after="60"/>
      </w:pPr>
      <w:r>
        <w:rPr>
          <w:rFonts w:ascii="Cascadia Mono" w:cs="Cascadia Mono" w:eastAsia="Cascadia Mono" w:hAnsi="Cascadia Mono"/>
          <w:color w:val="2B2B2B"/>
          <w:sz w:val="18"/>
          <w:szCs w:val="18"/>
        </w:rPr>
        <w:t xml:space="preserve">pii_tokenized</w:t>
      </w:r>
      <w:r>
        <w:t xml:space="preserve"> (boolean) — true iff any PII column in this row was tokenised</w:t>
      </w:r>
    </w:p>
    <w:p>
      <w:pPr>
        <w:pStyle w:val="ListParagraph"/>
        <w:numPr>
          <w:ilvl w:val="0"/>
          <w:numId w:val="1"/>
        </w:numPr>
        <w:spacing w:after="60"/>
      </w:pPr>
      <w:r>
        <w:rPr>
          <w:rFonts w:ascii="Cascadia Mono" w:cs="Cascadia Mono" w:eastAsia="Cascadia Mono" w:hAnsi="Cascadia Mono"/>
          <w:color w:val="2B2B2B"/>
          <w:sz w:val="18"/>
          <w:szCs w:val="18"/>
        </w:rPr>
        <w:t xml:space="preserve">scd2_current</w:t>
      </w:r>
      <w:r>
        <w:t xml:space="preserve"> (boolean) — true iff this is the current row in a SCD2 history</w:t>
      </w:r>
    </w:p>
    <w:p>
      <w:pPr>
        <w:pStyle w:val="Heading3"/>
        <w:spacing w:after="120" w:before="260"/>
      </w:pPr>
      <w:r>
        <w:rPr>
          <w:rFonts w:ascii="Aptos" w:cs="Aptos" w:eastAsia="Aptos" w:hAnsi="Aptos"/>
          <w:b/>
          <w:bCs/>
          <w:color w:val="0B111E"/>
          <w:sz w:val="24"/>
          <w:szCs w:val="24"/>
        </w:rPr>
        <w:t xml:space="preserve">A.2 Schema Evolution Rules</w:t>
      </w:r>
    </w:p>
    <w:p>
      <w:pPr>
        <w:spacing w:after="140"/>
      </w:pPr>
      <w:r>
        <w:t xml:space="preserve">Schema changes are classified deterministically by </w:t>
      </w:r>
      <w:r>
        <w:rPr>
          <w:rFonts w:ascii="Cascadia Mono" w:cs="Cascadia Mono" w:eastAsia="Cascadia Mono" w:hAnsi="Cascadia Mono"/>
          <w:color w:val="2B2B2B"/>
          <w:sz w:val="18"/>
          <w:szCs w:val="18"/>
        </w:rPr>
        <w:t xml:space="preserve">apex-core/tools/classify-bump.js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nullable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Rename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Widen type (INT→BIGINT)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Narrow type (DECIMAL(10,2)→DECIMAL(8,2))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primary key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new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PII 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Metadata only (comment, description)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PATCH</w:t>
            </w:r>
          </w:p>
        </w:tc>
      </w:tr>
    </w:tbl>
    <w:p>
      <w:pPr>
        <w:spacing w:after="120"/>
      </w:pPr>
      <w:r>
        <w:t xml:space="preserve"/>
      </w:r>
    </w:p>
    <w:p>
      <w:pPr>
        <w:spacing w:after="140"/>
      </w:pPr>
      <w:r>
        <w:t xml:space="preserve">Bump classification maps to default HITL gate kind per the Core matrix (Chapter 8).</w:t>
      </w:r>
    </w:p>
    <w:p>
      <w:pPr>
        <w:pStyle w:val="Heading3"/>
        <w:spacing w:after="120" w:before="260"/>
      </w:pPr>
      <w:r>
        <w:rPr>
          <w:rFonts w:ascii="Aptos" w:cs="Aptos" w:eastAsia="Aptos" w:hAnsi="Aptos"/>
          <w:b/>
          <w:bCs/>
          <w:color w:val="0B111E"/>
          <w:sz w:val="24"/>
          <w:szCs w:val="24"/>
        </w:rPr>
        <w:t xml:space="preserve">A.3 Per-Practice Schema Counts</w:t>
      </w:r>
    </w:p>
    <w:p>
      <w:pPr>
        <w:spacing w:after="140"/>
      </w:pPr>
      <w:r>
        <w:rPr>
          <w:b/>
          <w:bCs/>
        </w:rPr>
        <w:t xml:space="preserve">GA Practices:</w:t>
      </w:r>
    </w:p>
    <w:p>
      <w:pPr>
        <w:pStyle w:val="ListParagraph"/>
        <w:numPr>
          <w:ilvl w:val="0"/>
          <w:numId w:val="1"/>
        </w:numPr>
        <w:spacing w:after="60"/>
      </w:pPr>
      <w:r>
        <w:rPr>
          <w:b/>
          <w:bCs/>
        </w:rPr>
        <w:t xml:space="preserve">SCML (RC / HLS / AXLE):</w:t>
      </w:r>
      <w:r>
        <w:t xml:space="preserve"> 15 entities in GA v1.2</w:t>
      </w:r>
    </w:p>
    <w:p>
      <w:pPr>
        <w:pStyle w:val="ListParagraph"/>
        <w:numPr>
          <w:ilvl w:val="0"/>
          <w:numId w:val="1"/>
        </w:numPr>
        <w:spacing w:after="60"/>
      </w:pPr>
      <w:r>
        <w:rPr>
          <w:b/>
          <w:bCs/>
        </w:rPr>
        <w:t xml:space="preserve">MERML (RC):</w:t>
      </w:r>
      <w:r>
        <w:t xml:space="preserve"> 12 entities</w:t>
      </w:r>
    </w:p>
    <w:p>
      <w:pPr>
        <w:pStyle w:val="ListParagraph"/>
        <w:numPr>
          <w:ilvl w:val="0"/>
          <w:numId w:val="1"/>
        </w:numPr>
        <w:spacing w:after="60"/>
      </w:pPr>
      <w:r>
        <w:rPr>
          <w:b/>
          <w:bCs/>
        </w:rPr>
        <w:t xml:space="preserve">CXML (RC / HLS / TMT):</w:t>
      </w:r>
      <w:r>
        <w:t xml:space="preserve"> 8 entities</w:t>
      </w:r>
    </w:p>
    <w:p>
      <w:pPr>
        <w:pStyle w:val="ListParagraph"/>
        <w:numPr>
          <w:ilvl w:val="0"/>
          <w:numId w:val="1"/>
        </w:numPr>
        <w:spacing w:after="60"/>
      </w:pPr>
      <w:r>
        <w:rPr>
          <w:b/>
          <w:bCs/>
        </w:rPr>
        <w:t xml:space="preserve">HLSCML (HLS):</w:t>
      </w:r>
      <w:r>
        <w:t xml:space="preserve"> 18 entities including full clinical coverage</w:t>
      </w:r>
    </w:p>
    <w:p>
      <w:pPr>
        <w:pStyle w:val="ListParagraph"/>
        <w:numPr>
          <w:ilvl w:val="0"/>
          <w:numId w:val="1"/>
        </w:numPr>
        <w:spacing w:after="60"/>
      </w:pPr>
      <w:r>
        <w:rPr>
          <w:b/>
          <w:bCs/>
        </w:rPr>
        <w:t xml:space="preserve">ERCML (ER):</w:t>
      </w:r>
      <w:r>
        <w:t xml:space="preserve"> 14 entities including SCADA telemetry family</w:t>
      </w:r>
    </w:p>
    <w:p>
      <w:pPr>
        <w:pStyle w:val="ListParagraph"/>
        <w:numPr>
          <w:ilvl w:val="0"/>
          <w:numId w:val="1"/>
        </w:numPr>
        <w:spacing w:after="60"/>
      </w:pPr>
      <w:r>
        <w:rPr>
          <w:b/>
          <w:bCs/>
        </w:rPr>
        <w:t xml:space="preserve">AXLECML (AXLE / ICE):</w:t>
      </w:r>
      <w:r>
        <w:t xml:space="preserve"> 12 entities</w:t>
      </w:r>
    </w:p>
    <w:p>
      <w:pPr>
        <w:spacing w:after="140"/>
      </w:pPr>
      <w:r>
        <w:rPr>
          <w:b/>
          <w:bCs/>
        </w:rPr>
        <w:t xml:space="preserve">Build Practices (draft entity counts):</w:t>
      </w:r>
    </w:p>
    <w:p>
      <w:pPr>
        <w:pStyle w:val="ListParagraph"/>
        <w:numPr>
          <w:ilvl w:val="0"/>
          <w:numId w:val="1"/>
        </w:numPr>
        <w:spacing w:after="60"/>
      </w:pPr>
      <w:r>
        <w:rPr>
          <w:b/>
          <w:bCs/>
        </w:rPr>
        <w:t xml:space="preserve">TMTML (TMT):</w:t>
      </w:r>
      <w:r>
        <w:t xml:space="preserve"> 14 entities drafted — network events, subscription state, rights records, ad-impression fraud signals, cloud resource telemetry</w:t>
      </w:r>
    </w:p>
    <w:p>
      <w:pPr>
        <w:pStyle w:val="ListParagraph"/>
        <w:numPr>
          <w:ilvl w:val="0"/>
          <w:numId w:val="1"/>
        </w:numPr>
        <w:spacing w:after="60"/>
      </w:pPr>
      <w:r>
        <w:rPr>
          <w:b/>
          <w:bCs/>
        </w:rPr>
        <w:t xml:space="preserve">THML (TH):</w:t>
      </w:r>
      <w:r>
        <w:t xml:space="preserve"> 10 entities drafted — booking/reservation, disruption event, loyalty state, housekeeping exception, guest incident</w:t>
      </w:r>
    </w:p>
    <w:p>
      <w:pPr>
        <w:pStyle w:val="ListParagraph"/>
        <w:numPr>
          <w:ilvl w:val="0"/>
          <w:numId w:val="1"/>
        </w:numPr>
        <w:spacing w:after="60"/>
      </w:pPr>
      <w:r>
        <w:rPr>
          <w:b/>
          <w:bCs/>
        </w:rPr>
        <w:t xml:space="preserve">ICEML (ICE):</w:t>
      </w:r>
      <w:r>
        <w:t xml:space="preserve"> 9 entities drafted — asset health (shared with AXLECML), field incident, parts inventory, warranty claim, contract renewal state</w:t>
      </w:r>
    </w:p>
    <w:p>
      <w:pPr>
        <w:spacing w:after="140"/>
      </w:pPr>
      <w:r>
        <w:t xml:space="preserve">Total GA + Build: </w:t>
      </w:r>
      <w:r>
        <w:rPr>
          <w:b/>
          <w:bCs/>
        </w:rPr>
        <w:t xml:space="preserve">112 canonical entities</w:t>
      </w:r>
      <w:r>
        <w:t xml:space="preserve"> across the catalogue, with 79 in GA and 33 in build.</w:t>
      </w:r>
    </w:p>
    <w:p>
      <w:pPr>
        <w:spacing w:after="140"/>
      </w:pPr>
      <w:r>
        <w:t xml:space="preserve">Shared entities (used across multiple Practices) appear once in the catalog but are referenced by all the practices that use them. AXLECML.ASSET_HEALTH, for example, is shared between AXLE and ICE; ERCML.WORK_ORDER is shared between ER and ICE field-service services.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B: Service Catalog Master Registry</w:t>
      </w:r>
    </w:p>
    <w:p>
      <w:pPr>
        <w:spacing w:after="140"/>
      </w:pPr>
      <w:r>
        <w:t xml:space="preserve">All 43 catalogued services at a glance (24 GA + 19 in build). One line per service: ID, name, Practice, tier, primary persona, gate, Core version.</w:t>
      </w:r>
    </w:p>
    <w:p>
      <w:pPr>
        <w:pStyle w:val="Heading3"/>
        <w:spacing w:after="120" w:before="260"/>
      </w:pPr>
      <w:r>
        <w:rPr>
          <w:rFonts w:ascii="Aptos" w:cs="Aptos" w:eastAsia="Aptos" w:hAnsi="Aptos"/>
          <w:b/>
          <w:bCs/>
          <w:color w:val="0B111E"/>
          <w:sz w:val="24"/>
          <w:szCs w:val="24"/>
        </w:rPr>
        <w:t xml:space="preserve">B.1 GA Services (24)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Cold Chain Excursion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APEX-RC-RVD-02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Receiving Variance Dispute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 / 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 Pricing Integrity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APEX-RC-OSA-04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Phantom-OOS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APEX-RC-RCL-05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APEX-RC-BPX-06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BOPIS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APEX-RC-SHK-07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Shrink &amp; Void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 Prevention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APEX-RC-CXI-08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Incident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APEX-RC-E2E-09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 End-to-End Tracking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(read-path)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APEX-HLS-DSR-01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Discharge Ready Surveillance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APEX-HLS-SEP-02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Sepsis Early Warning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APEX-HLS-RVC-03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Revenue-Cycle Denial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Rev-Cycle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APEX-HLS-SUP-04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Expiry Management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Supply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APEX-HLS-CTM-05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Matching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APEX-HLS-PSI-06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APEX-ER-MTR-01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Outage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Ops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APEX-ER-GRD-02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Anomaly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Ops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APEX-ER-BIL-03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APEX-ER-FWO-04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Work-Order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APEX-ER-REG-05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Event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Affairs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APEX-AXLE-LDT-01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Line-Down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APEX-AXLE-QEX-02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Excursion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APEX-AXLE-SCD-03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 Disruption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APEX-AXLE-RCL-04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Traceability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APEX-AXLE-KPI-05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KPI 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B.2 Preview / Active-Build Services (19)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APEX-TMT-NET-01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Network Incident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NOC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APEX-TMT-CCI-02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Churn Intervention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Retention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APEX-TMT-CRV-03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Content Rights Violation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Rights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APEX-TMT-SUB-04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APEX-TMT-CCA-05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Cost Anomaly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FinOps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APEX-TMT-ADF-06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 Fraud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Ad-Ops Investigator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ZERO_TOUCH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APEX-TMT-5GO-07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5G Service Outage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Network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Planned v0.5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APEX-TH-OBI-01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Overbooking &amp; Inventory Balancing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APEX-TH-DRO-02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Disruption Recovery 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OCC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APEX-TH-LGR-03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Guest Rescue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Experience 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APEX-TH-RMA-04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Revenue-Management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APEX-TH-GIT-05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Incident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Service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APEX-TH-HER-06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Housekeeping-Exception Routing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 /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 GM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APEX-TH-TTP-07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Traveler, Profile &amp; Preferences Tracking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(Tier A) / HITL (Tier B) / ESCALATION on violation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APEX-ICE-FAF-01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Asset Failure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APEX-ICE-SPA-02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Spare-Parts Availability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Parts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APEX-ICE-WCP-03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Claim Pattern Analysis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APEX-ICE-CRV-04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Contract-Renewal Revenue Protection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 Renewal 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APEX-ICE-AAU-05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As-a-Service Utilisation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APEX-ICE-CIR-06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bl>
    <w:p>
      <w:pPr>
        <w:spacing w:after="120"/>
      </w:pPr>
      <w:r>
        <w:t xml:space="preserve"/>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B2: KPI Master Registry</w:t>
      </w:r>
    </w:p>
    <w:p>
      <w:pPr>
        <w:spacing w:after="140"/>
      </w:pPr>
      <w:r>
        <w:t xml:space="preserve">The KPI library drives every service's </w:t>
      </w:r>
      <w:r>
        <w:rPr>
          <w:rFonts w:ascii="Cascadia Mono" w:cs="Cascadia Mono" w:eastAsia="Cascadia Mono" w:hAnsi="Cascadia Mono"/>
          <w:color w:val="2B2B2B"/>
          <w:sz w:val="18"/>
          <w:szCs w:val="18"/>
        </w:rPr>
        <w:t xml:space="preserve">kpis[]</w:t>
      </w:r>
      <w:r>
        <w:t xml:space="preserve"> field in the service manifest. This registry lists outcome KPIs per Practice with direction (maximise/minimise), typical target range, and services that measure them.</w:t>
      </w:r>
    </w:p>
    <w:p>
      <w:pPr>
        <w:pStyle w:val="Heading2"/>
        <w:spacing w:after="140" w:before="300"/>
      </w:pPr>
      <w:r>
        <w:rPr>
          <w:rFonts w:ascii="Aptos Display" w:cs="Aptos Display" w:eastAsia="Aptos Display" w:hAnsi="Aptos Display"/>
          <w:b/>
          <w:bCs/>
          <w:color w:val="0B111E"/>
          <w:sz w:val="30"/>
          <w:szCs w:val="30"/>
        </w:rPr>
        <w:t xml:space="preserve">RC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writeoff_avoided_pct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60-80%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CXP-01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time_to_brief_min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CXP-01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manager_touch_sec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60-120 sec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CXP-01, RVD-02, 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variance_recovered_pct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60-80%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days_to_dispute_closure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3-7 days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stale_tag_count_reduction_pct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70-90%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time_to_remediate_min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15-45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phantom_oos_caught_pct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time_to_restock_min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20-60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walk_away_revenue_avoided_usd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affected_customers_contacted_pct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95-99%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time_to_contain_hours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2-8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regulatory_reporting_complete_hours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12-48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substitution_acceptance_pct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60-80%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order_cancel_pct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customer_response_sec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60-180 sec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shrink_events_evidence_sealed_pct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80-90%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SHK-07</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false_accusation_rate_pct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SHK-07</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tier1_response_min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10-30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CXI-08</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cross_store_correlation_caught_pct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90-99%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CXI-08</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HLS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discharge_prediction_accuracy_pct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80-90%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los_reduction_hours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6-18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readmission_pct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6-10%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sepsis_early_detection_hours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4-8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SEP-02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sepsis_sensitivity_pct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SEP-02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denial_recovery_usd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appeal_acceptance_pct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50-65%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days_to_appeal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7-14 days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expiry_waste_reduction_pct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30-60%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recall_containment_hours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1-4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trial_enrolment_rate_pct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CTM-05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match_precision_pct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CTM-05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severe_incident_detection_pct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98-100%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PSI-06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regulatory_report_on_time_pct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PSI-06</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ER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outage_detection_accuracy_pct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92-98%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MTR-01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false_outage_pct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MTR-01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time_to_dispatch_min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10-25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MTR-01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anomaly_classification_accuracy_pct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customer_minutes_interrupted_pct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FERC_report_on_time_pct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GRD-02, REG-05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exception_auto_resolved_pct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50-70%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customer_complaint_rate_pct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first_time_fix_rate_pct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75-85%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travel_time_reduction_pct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filing_on_time_pct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data_accuracy_pct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regulatory_penalty_avoided_usd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REG-05</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AXLE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line_down_minutes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LDT-01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triage_accuracy_pct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LDT-01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mean_time_to_diagnose_min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LDT-01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containment_success_pct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90-98%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QEX-02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escape_rate_pct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QEX-02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order_fulfilment_on_time_pct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90-97%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expedite_cost_reduction_pct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15-30%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stockout_events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SCD-03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affected_units_identified_pct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98-100%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time_to_notice_hours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4-12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regulatory_compliance_pct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oee_improvement_pct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3-10% YoY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drift_detected_pct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KPI-05</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TMT KPIs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mttr_minutes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30-60% reduction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customer_minutes_impacted_pct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save_offer_success_pct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25-40%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CCI-02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content_rights_containment_hours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4-12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CRV-03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subscription_exception_auto_resolved_pct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55-75%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cloud_cost_anomaly_resolved_hours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2-6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CCA-05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ad_fraud_tp_rate_pct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ADF-06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ad_fraud_fp_rate_pct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ADF-06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5g_outage_triage_min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5GO-07</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TH KPIs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overbooking_resolution_success_pct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92-98%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OBI-01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disruption_recovery_time_to_plan_min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10-20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DRO-02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high_tier_guest_rescue_pct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LGR-03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rate_anomaly_caught_pct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RMA-04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guest_incident_time_to_triage_min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GIT-05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housekeeping_exception_resolution_min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15-30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HER-06</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ICE KPIs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dispatch_plan_time_min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10-20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FAF-01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first_time_fix_rate_pct_ice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80-90%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FAF-01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parts_availability_match_pct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90-97%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SPA-02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warranty_pattern_catch_pct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WCP-03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contract_renewal_retention_pct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85-95%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CRV-04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as_service_utilisation_pct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80-90%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AAU-05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compliance_inspection_on_time_pct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98-100%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CIR-06</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Cross-Practice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platform_decision_latency_p95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5-10× reduction from baseline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platform_manager_touch_sec_p95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60-80% reduction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HITL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platform_audit_reconstruction_time_hours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 reduction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Cross-practice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platform_service_subscription_depth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 by month 18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 tenant</w:t>
            </w:r>
          </w:p>
        </w:tc>
      </w:tr>
    </w:tbl>
    <w:p>
      <w:pPr>
        <w:spacing w:after="120"/>
      </w:pPr>
      <w:r>
        <w:t xml:space="preserve"/>
      </w:r>
    </w:p>
    <w:p>
      <w:pPr>
        <w:spacing w:after="140"/>
      </w:pPr>
      <w:r>
        <w:t xml:space="preserve">The KPI library is versioned alongside the service catalog. New KPIs are added on a quarterly cadence as Practice teams learn from deployments.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C: Orchestration Catalog</w:t>
      </w:r>
    </w:p>
    <w:p>
      <w:pPr>
        <w:spacing w:after="140"/>
      </w:pPr>
      <w:r>
        <w:t xml:space="preserve">Every APEX service is driven by an orchestration — a DAG of agent calls, MCP tool invocations, and at least one HITL gate — identified as </w:t>
      </w:r>
      <w:r>
        <w:rPr>
          <w:rFonts w:ascii="Cascadia Mono" w:cs="Cascadia Mono" w:eastAsia="Cascadia Mono" w:hAnsi="Cascadia Mono"/>
          <w:color w:val="2B2B2B"/>
          <w:sz w:val="18"/>
          <w:szCs w:val="18"/>
        </w:rPr>
        <w:t xml:space="preserve">ORCH-nn</w:t>
      </w:r>
      <w:r>
        <w:t xml:space="preserve">. This appendix catalogues all 43 orchestrations in the platform (24 GA + 19 preview), with their agent chain, gate kind, runtime, duration class, and the services each one powers.</w:t>
      </w:r>
    </w:p>
    <w:p>
      <w:pPr>
        <w:pStyle w:val="Heading2"/>
        <w:spacing w:after="140" w:before="300"/>
      </w:pPr>
      <w:r>
        <w:rPr>
          <w:rFonts w:ascii="Aptos Display" w:cs="Aptos Display" w:eastAsia="Aptos Display" w:hAnsi="Aptos Display"/>
          <w:b/>
          <w:bCs/>
          <w:color w:val="0B111E"/>
          <w:sz w:val="30"/>
          <w:szCs w:val="30"/>
        </w:rPr>
        <w:t xml:space="preserve">C.1 Orchestration Anatomy</w:t>
      </w:r>
    </w:p>
    <w:p>
      <w:pPr>
        <w:spacing w:after="140"/>
      </w:pPr>
      <w:r>
        <w:t xml:space="preserve">Every orchestration in APEX carries the same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ORCH-nn</w:t>
            </w:r>
            <w:r>
              <w:t xml:space="preserve"> identifier, unique within the platform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Name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Human-readable purpose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Primary service(s)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service SKU(s) this orchestration powers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Trigger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 stream (Eventstream), CDC (Mirrored DB), schedule (Data Pipeline), REST (Dataflow Gen2), external webhook, or on-demand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 chain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Sequential DAG of </w:t>
            </w:r>
            <w:r>
              <w:rPr>
                <w:rFonts w:ascii="Cascadia Mono" w:cs="Cascadia Mono" w:eastAsia="Cascadia Mono" w:hAnsi="Cascadia Mono"/>
                <w:color w:val="2B2B2B"/>
                <w:sz w:val="18"/>
                <w:szCs w:val="18"/>
              </w:rPr>
              <w:t xml:space="preserve">A1 → A2 → A3</w:t>
            </w:r>
            <w:r>
              <w:t xml:space="preserve"> or fan-out </w:t>
            </w:r>
            <w:r>
              <w:rPr>
                <w:rFonts w:ascii="Cascadia Mono" w:cs="Cascadia Mono" w:eastAsia="Cascadia Mono" w:hAnsi="Cascadia Mono"/>
                <w:color w:val="2B2B2B"/>
                <w:sz w:val="18"/>
                <w:szCs w:val="18"/>
              </w:rPr>
              <w:t xml:space="preserve">A1 → {A2a, A2b, A2c} → A3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HITL</w:t>
            </w:r>
            <w:r>
              <w:t xml:space="preserve">, </w:t>
            </w:r>
            <w:r>
              <w:rPr>
                <w:rFonts w:ascii="Cascadia Mono" w:cs="Cascadia Mono" w:eastAsia="Cascadia Mono" w:hAnsi="Cascadia Mono"/>
                <w:color w:val="2B2B2B"/>
                <w:sz w:val="18"/>
                <w:szCs w:val="18"/>
              </w:rPr>
              <w:t xml:space="preserve">ACK_ONLY</w:t>
            </w:r>
            <w:r>
              <w:t xml:space="preserve">, </w:t>
            </w:r>
            <w:r>
              <w:rPr>
                <w:rFonts w:ascii="Cascadia Mono" w:cs="Cascadia Mono" w:eastAsia="Cascadia Mono" w:hAnsi="Cascadia Mono"/>
                <w:color w:val="2B2B2B"/>
                <w:sz w:val="18"/>
                <w:szCs w:val="18"/>
              </w:rPr>
              <w:t xml:space="preserve">ZERO_TOUCH</w:t>
            </w:r>
            <w:r>
              <w:t xml:space="preserve">, or </w:t>
            </w:r>
            <w:r>
              <w:rPr>
                <w:rFonts w:ascii="Cascadia Mono" w:cs="Cascadia Mono" w:eastAsia="Cascadia Mono" w:hAnsi="Cascadia Mono"/>
                <w:color w:val="2B2B2B"/>
                <w:sz w:val="18"/>
                <w:szCs w:val="18"/>
              </w:rPr>
              <w:t xml:space="preserve">ESCALATION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Runtime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(declarative DAG, &lt; 5 min) or Durable Functions (stateful, long-running)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Duration class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 (&lt; 5 min), Extended (minutes–hours), or Long-running (hours–days)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Audit row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Always writes to </w:t>
            </w:r>
            <w:r>
              <w:rPr>
                <w:rFonts w:ascii="Cascadia Mono" w:cs="Cascadia Mono" w:eastAsia="Cascadia Mono" w:hAnsi="Cascadia Mono"/>
                <w:color w:val="2B2B2B"/>
                <w:sz w:val="18"/>
                <w:szCs w:val="18"/>
              </w:rPr>
              <w:t xml:space="preserve">silver_decision_audit</w:t>
            </w:r>
            <w:r>
              <w:t xml:space="preserve"> at completion</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C.2 Trigger-Type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Real-time event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&lt; 60s to Bronze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Cold chain telemetry, POS rings, SCADA, ADT stream, production events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CDC (Mirrored DB)</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60–180s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Manhattan WMS, SAP ISU, Epic Clarity, Cerner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Scheduled 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hourly / nightly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DSD invoices, meter reading files, ADT batches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FDA recall feed, trials registry, FERC notices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Webhook / external push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immediate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incident portal, external alert feeds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On-demand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synchronous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HITL-initiated lookups, manual triggers</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C.3 Runtime Selection Guide</w:t>
      </w:r>
    </w:p>
    <w:p>
      <w:pPr>
        <w:spacing w:after="140"/>
      </w:pPr>
      <w:r>
        <w:rPr>
          <w:b/>
          <w:bCs/>
        </w:rPr>
        <w:t xml:space="preserve">Logic Apps (declarative DAG).</w:t>
      </w:r>
      <w:r>
        <w:t xml:space="preserve"> Use when:</w:t>
      </w:r>
    </w:p>
    <w:p>
      <w:pPr>
        <w:pStyle w:val="ListParagraph"/>
        <w:numPr>
          <w:ilvl w:val="0"/>
          <w:numId w:val="1"/>
        </w:numPr>
        <w:spacing w:after="60"/>
      </w:pPr>
      <w:r>
        <w:t xml:space="preserve">Orchestration completes in &lt; 5 minutes</w:t>
      </w:r>
    </w:p>
    <w:p>
      <w:pPr>
        <w:pStyle w:val="ListParagraph"/>
        <w:numPr>
          <w:ilvl w:val="0"/>
          <w:numId w:val="1"/>
        </w:numPr>
        <w:spacing w:after="60"/>
      </w:pPr>
      <w:r>
        <w:t xml:space="preserve">Topology is linear or has limited fan-out</w:t>
      </w:r>
    </w:p>
    <w:p>
      <w:pPr>
        <w:pStyle w:val="ListParagraph"/>
        <w:numPr>
          <w:ilvl w:val="0"/>
          <w:numId w:val="1"/>
        </w:numPr>
        <w:spacing w:after="60"/>
      </w:pPr>
      <w:r>
        <w:t xml:space="preserve">Visual workflow visibility in Azure Portal is valuable</w:t>
      </w:r>
    </w:p>
    <w:p>
      <w:pPr>
        <w:pStyle w:val="ListParagraph"/>
        <w:numPr>
          <w:ilvl w:val="0"/>
          <w:numId w:val="1"/>
        </w:numPr>
        <w:spacing w:after="60"/>
      </w:pPr>
      <w:r>
        <w:t xml:space="preserve">State fits in a single workflow instance</w:t>
      </w:r>
    </w:p>
    <w:p>
      <w:pPr>
        <w:spacing w:after="140"/>
      </w:pPr>
      <w:r>
        <w:rPr>
          <w:b/>
          <w:bCs/>
        </w:rPr>
        <w:t xml:space="preserve">Durable Functions (stateful orchestrator).</w:t>
      </w:r>
      <w:r>
        <w:t xml:space="preserve"> Use when:</w:t>
      </w:r>
    </w:p>
    <w:p>
      <w:pPr>
        <w:pStyle w:val="ListParagraph"/>
        <w:numPr>
          <w:ilvl w:val="0"/>
          <w:numId w:val="1"/>
        </w:numPr>
        <w:spacing w:after="60"/>
      </w:pPr>
      <w:r>
        <w:t xml:space="preserve">Orchestration spans minutes to days</w:t>
      </w:r>
    </w:p>
    <w:p>
      <w:pPr>
        <w:pStyle w:val="ListParagraph"/>
        <w:numPr>
          <w:ilvl w:val="0"/>
          <w:numId w:val="1"/>
        </w:numPr>
        <w:spacing w:after="60"/>
      </w:pPr>
      <w:r>
        <w:t xml:space="preserve">Complex fan-out / fan-in / wait-for-event patterns</w:t>
      </w:r>
    </w:p>
    <w:p>
      <w:pPr>
        <w:pStyle w:val="ListParagraph"/>
        <w:numPr>
          <w:ilvl w:val="0"/>
          <w:numId w:val="1"/>
        </w:numPr>
        <w:spacing w:after="60"/>
      </w:pPr>
      <w:r>
        <w:t xml:space="preserve">Custom compensation / rollback logic required</w:t>
      </w:r>
    </w:p>
    <w:p>
      <w:pPr>
        <w:pStyle w:val="ListParagraph"/>
        <w:numPr>
          <w:ilvl w:val="0"/>
          <w:numId w:val="1"/>
        </w:numPr>
        <w:spacing w:after="60"/>
      </w:pPr>
      <w:r>
        <w:t xml:space="preserve">Needs to survive infrastructure restarts</w:t>
      </w:r>
    </w:p>
    <w:p>
      <w:pPr>
        <w:spacing w:after="140"/>
      </w:pPr>
      <w:r>
        <w:t xml:space="preserve">Roughly 70% of APEX orchestrations use Logic Apps; the remaining 30% (long-running — recall trace, trial matching, patient safety incident, grid regulatory response, cross-practice orchestrations) use Durable Functions.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C.4 RC Practice Orchestrations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Receiving Variance Dispute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APEX-RC-RVD-02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SCM-A01 → SCM-A02 → MER-A01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Cold Chain Excursion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SCM-A04 → SCM-A05 → SCM-A06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 Pricing Integrity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MER-A02 → MER-A03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Phantom-OOS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APEX-RC-OSA-04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MER-A04 → MER-A05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BOPIS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APEX-RC-BPX-06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CX-A03 → CX-A04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(customer)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APEX-RC-RCL-05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SCM-A01 → SCM-A02 → {MER-A11, MER-A12} → CX-A01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Shrink &amp; Void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APEX-RC-SHK-07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MER-A10 → MER-A11 → MER-A12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Incident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APEX-RC-CXI-08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CX-A01 → CX-A02 → SCM-A02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 End-to-End Tracking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APEX-RC-E2E-09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TRACE-A01 / TRACE-A02 / TRACE-A03 (branched by trace mode)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(read-path; elevates to HITL when feeding RCL-05/CXI-08/SHK-07)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(point-in-time mode uses 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 (deep-history point-in-time = Extended)</w:t>
            </w:r>
          </w:p>
        </w:tc>
      </w:tr>
    </w:tbl>
    <w:p>
      <w:pPr>
        <w:spacing w:after="120"/>
      </w:pPr>
      <w:r>
        <w:t xml:space="preserve"/>
      </w:r>
    </w:p>
    <w:p>
      <w:pPr>
        <w:spacing w:after="140"/>
      </w:pPr>
      <w:r>
        <w:rPr>
          <w:b/>
          <w:bCs/>
        </w:rPr>
        <w:t xml:space="preserve">RC orchestration notes:</w:t>
      </w:r>
    </w:p>
    <w:p>
      <w:pPr>
        <w:pStyle w:val="ListParagraph"/>
        <w:numPr>
          <w:ilvl w:val="0"/>
          <w:numId w:val="1"/>
        </w:numPr>
        <w:spacing w:after="60"/>
      </w:pPr>
      <w:r>
        <w:t xml:space="preserve">ORCH-03 (Cold Chain) is the flagship RC orchestration, completing detection → disposition → write-off staging in typically under 8 minutes with 90 seconds of HITL attention.</w:t>
      </w:r>
    </w:p>
    <w:p>
      <w:pPr>
        <w:pStyle w:val="ListParagraph"/>
        <w:numPr>
          <w:ilvl w:val="0"/>
          <w:numId w:val="1"/>
        </w:numPr>
        <w:spacing w:after="60"/>
      </w:pPr>
      <w:r>
        <w:t xml:space="preserve">ORCH-07 (Recall) is the most complex RC orchestration — Durable Functions because it coordinates FDA-feed-driven downstream effects across hundreds of stores over hours.</w:t>
      </w:r>
    </w:p>
    <w:p>
      <w:pPr>
        <w:pStyle w:val="ListParagraph"/>
        <w:numPr>
          <w:ilvl w:val="0"/>
          <w:numId w:val="1"/>
        </w:numPr>
        <w:spacing w:after="60"/>
      </w:pPr>
      <w:r>
        <w:t xml:space="preserve">ORCH-08 (Shrink) uses a reasoning-tier agent (MER-A12) and routes evidence — never accusations — to Loss Prevention.</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C.5 HLS Practice Orchestrations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Discharge Ready Surveillance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APEX-HLS-DSR-01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HLS-A01 → HLS-A02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Sepsis Early Warning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APEX-HLS-SEP-02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HLS-A03 → HLS-A04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Revenue-Cycle Denial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APEX-HLS-RVC-03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HLS-A05 → HLS-A06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Expiry Management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APEX-HLS-SUP-04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SCM-A07 → SCM-A08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(HITL on recall)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Matching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APEX-HLS-CTM-05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HLS-A07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APEX-HLS-PSI-06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HLS-A08 → HLS-A09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bl>
    <w:p>
      <w:pPr>
        <w:spacing w:after="120"/>
      </w:pPr>
      <w:r>
        <w:t xml:space="preserve"/>
      </w:r>
    </w:p>
    <w:p>
      <w:pPr>
        <w:spacing w:after="140"/>
      </w:pPr>
      <w:r>
        <w:rPr>
          <w:b/>
          <w:bCs/>
        </w:rPr>
        <w:t xml:space="preserve">HLS orchestration notes:</w:t>
      </w:r>
    </w:p>
    <w:p>
      <w:pPr>
        <w:pStyle w:val="ListParagraph"/>
        <w:numPr>
          <w:ilvl w:val="0"/>
          <w:numId w:val="1"/>
        </w:numPr>
        <w:spacing w:after="60"/>
      </w:pPr>
      <w:r>
        <w:t xml:space="preserve">ORCH-11 (Sepsis) HITL gate stays HITL indefinitely across gate-tuning cycles — this is not a service where autonomy is a design target.</w:t>
      </w:r>
    </w:p>
    <w:p>
      <w:pPr>
        <w:pStyle w:val="ListParagraph"/>
        <w:numPr>
          <w:ilvl w:val="0"/>
          <w:numId w:val="1"/>
        </w:numPr>
        <w:spacing w:after="60"/>
      </w:pPr>
      <w:r>
        <w:t xml:space="preserve">ORCH-15 (Patient Safety) uses Durable because regulatory packages take hours to compile and involve multi-stakeholder approvals.</w:t>
      </w:r>
    </w:p>
    <w:p>
      <w:pPr>
        <w:pStyle w:val="ListParagraph"/>
        <w:numPr>
          <w:ilvl w:val="0"/>
          <w:numId w:val="1"/>
        </w:numPr>
        <w:spacing w:after="60"/>
      </w:pPr>
      <w:r>
        <w:t xml:space="preserve">Every HLS orchestration writes to PHI-tokenised Silver; audit rows encrypted with customer-managed keys and retained 7 years.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C.6 ER Practice Orchestrations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Outage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APEX-ER-MTR-01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ER-A01 → ER-A02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Anomaly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APEX-ER-GRD-02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ER-A03 → ER-A04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(ESCALATION on large events)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APEX-ER-BIL-03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ER-A05 → ER-A06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ORCH-19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Work-Order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APEX-ER-FWO-04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ER-A07 → ER-A08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Event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APEX-ER-REG-05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ER-A09 → ER-A10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bl>
    <w:p>
      <w:pPr>
        <w:spacing w:after="120"/>
      </w:pPr>
      <w:r>
        <w:t xml:space="preserve"/>
      </w:r>
    </w:p>
    <w:p>
      <w:pPr>
        <w:spacing w:after="140"/>
      </w:pPr>
      <w:r>
        <w:rPr>
          <w:b/>
          <w:bCs/>
        </w:rPr>
        <w:t xml:space="preserve">ER orchestration notes:</w:t>
      </w:r>
    </w:p>
    <w:p>
      <w:pPr>
        <w:pStyle w:val="ListParagraph"/>
        <w:numPr>
          <w:ilvl w:val="0"/>
          <w:numId w:val="1"/>
        </w:numPr>
        <w:spacing w:after="60"/>
      </w:pPr>
      <w:r>
        <w:t xml:space="preserve">ORCH-17 (Grid Anomaly) has the tightest SLO in the platform: detection p95 ≤ 30 seconds, decision p95 ≤ 5 minutes. Availability 99.99%.</w:t>
      </w:r>
    </w:p>
    <w:p>
      <w:pPr>
        <w:pStyle w:val="ListParagraph"/>
        <w:numPr>
          <w:ilvl w:val="0"/>
          <w:numId w:val="1"/>
        </w:numPr>
        <w:spacing w:after="60"/>
      </w:pPr>
      <w:r>
        <w:t xml:space="preserve">ORCH-20 (Regulatory) uses Durable because FERC package assembly spans hours and requires human content review at multiple points.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C.7 AXLE Practice Orchestrations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Line-Down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APEX-AXLE-LDT-01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AXLE-A01 → AXLE-A02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Excursion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APEX-AXLE-QEX-02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AXLE-A03 → AXLE-A04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(ESCALATION for recall)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 Disruption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APEX-AXLE-SCD-03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AXLE-A05 → AXLE-A06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Traceability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APEX-AXLE-RCL-04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AXLE-A07 → AXLE-A08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Long-running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KPI 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APEX-AXLE-KPI-05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AXLE-A09 → AXLE-A10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bl>
    <w:p>
      <w:pPr>
        <w:spacing w:after="120"/>
      </w:pPr>
      <w:r>
        <w:t xml:space="preserve"/>
      </w:r>
    </w:p>
    <w:p>
      <w:pPr>
        <w:spacing w:after="140"/>
      </w:pPr>
      <w:r>
        <w:rPr>
          <w:b/>
          <w:bCs/>
        </w:rPr>
        <w:t xml:space="preserve">AXLE orchestration notes:</w:t>
      </w:r>
    </w:p>
    <w:p>
      <w:pPr>
        <w:pStyle w:val="ListParagraph"/>
        <w:numPr>
          <w:ilvl w:val="0"/>
          <w:numId w:val="1"/>
        </w:numPr>
        <w:spacing w:after="60"/>
      </w:pPr>
      <w:r>
        <w:t xml:space="preserve">ORCH-21 (Line-Down) targets 60-second classification so the plant supervisor acts on the agent's triage rather than manual investigation.</w:t>
      </w:r>
    </w:p>
    <w:p>
      <w:pPr>
        <w:pStyle w:val="ListParagraph"/>
        <w:numPr>
          <w:ilvl w:val="0"/>
          <w:numId w:val="1"/>
        </w:numPr>
        <w:spacing w:after="60"/>
      </w:pPr>
      <w:r>
        <w:t xml:space="preserve">ORCH-24 (Recall) is the longest-running orchestration in the AXLE Practice; VIN trace and customer notification span days in full-recall scenarios. Complementary to (but not the same as) the full AXLE Comprehensive Reference programme's recall workflows.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C.8 TMT Practice Orchestrations (7 ·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Network Incident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APEX-TMT-NET-01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TMT-A01 → TMT-A02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(ESCALATION for P1/P2)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Churn Intervention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APEX-TMT-CCI-02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TMT-A03 → TMT-A04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Content Rights Violation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APEX-TMT-CRV-03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TMT-A05 → TMT-A06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APEX-TMT-SUB-04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TMT-A07 → TMT-A08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Cost Anomaly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APEX-TMT-CCA-05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TMT-A09 → TMT-A10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(ZERO_TOUCH on bounded classes)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 Fraud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APEX-TMT-ADF-06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TMT-A11 → TMT-A12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ZERO_TOUCH sub-$, HITL above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ORCH-36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5G Service Outage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APEX-TMT-5GO-07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TMT-A13 → TMT-A14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bl>
    <w:p>
      <w:pPr>
        <w:spacing w:after="120"/>
      </w:pPr>
      <w:r>
        <w:t xml:space="preserve"/>
      </w:r>
    </w:p>
    <w:p>
      <w:pPr>
        <w:spacing w:after="140"/>
      </w:pPr>
      <w:r>
        <w:rPr>
          <w:b/>
          <w:bCs/>
        </w:rPr>
        <w:t xml:space="preserve">TMT orchestration notes:</w:t>
      </w:r>
    </w:p>
    <w:p>
      <w:pPr>
        <w:pStyle w:val="ListParagraph"/>
        <w:numPr>
          <w:ilvl w:val="0"/>
          <w:numId w:val="1"/>
        </w:numPr>
        <w:spacing w:after="60"/>
      </w:pPr>
      <w:r>
        <w:t xml:space="preserve">ORCH-34 (Cloud Cost Anomaly) is the leading APEX candidate for Level-5 autonomy on bounded classes (untagged dev resources, known-safe remediations) — ZERO_TOUCH pilot expected in Wave 2.</w:t>
      </w:r>
    </w:p>
    <w:p>
      <w:pPr>
        <w:pStyle w:val="ListParagraph"/>
        <w:numPr>
          <w:ilvl w:val="0"/>
          <w:numId w:val="1"/>
        </w:numPr>
        <w:spacing w:after="60"/>
      </w:pPr>
      <w:r>
        <w:t xml:space="preserve">ORCH-35 (Ad Fraud) is APEX's other leading autonomy candidate; sub-dollar detected events go ZERO_TOUCH after Wave 2 with audit review at 6-month intervals.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C.9 TH Practice Orchestrations (6 ·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Disruption Recovery 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APEX-TH-DRO-02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TH-A01 → {TH-A02, TH-A03, TH-A04}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Overbooking &amp; Inventory Balancing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APEX-TH-OBI-01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TH-A05 → TH-A06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day-of, ACK forward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Guest Rescue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APEX-TH-LGR-03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TH-A07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Revenue-Management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APEX-TH-RMA-04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TH-A08 → TH-A09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Incident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APEX-TH-GIT-05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TH-A10 → TH-A11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Housekeeping-Exception Routing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APEX-TH-HER-06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TH-A12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ORCH-46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Traveler, Profile &amp; Preferences Tracking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APEX-TH-TTP-07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TTP-A01 / TTP-A02 / TTP-A03 (branched by tier) + TTP-A04 (background)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Tier A / HITL Tier B / ESCALATION on violation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(fast paths) + Durable (right-to-access, right-to-erasure)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 + Long-running</w:t>
            </w:r>
          </w:p>
        </w:tc>
      </w:tr>
    </w:tbl>
    <w:p>
      <w:pPr>
        <w:spacing w:after="120"/>
      </w:pPr>
      <w:r>
        <w:t xml:space="preserve"/>
      </w:r>
    </w:p>
    <w:p>
      <w:pPr>
        <w:spacing w:after="140"/>
      </w:pPr>
      <w:r>
        <w:rPr>
          <w:b/>
          <w:bCs/>
        </w:rPr>
        <w:t xml:space="preserve">TH orchestration notes:</w:t>
      </w:r>
    </w:p>
    <w:p>
      <w:pPr>
        <w:pStyle w:val="ListParagraph"/>
        <w:numPr>
          <w:ilvl w:val="0"/>
          <w:numId w:val="1"/>
        </w:numPr>
        <w:spacing w:after="60"/>
      </w:pPr>
      <w:r>
        <w:t xml:space="preserve">ORCH-40 (Disruption Recovery) is TMT-style fan-out at scale: scope assessment, rebooking optimisation, communications drafting, and hotel/ground coordination all run in parallel. Durable is used because the recovery spans hours of execution after the OCC dispatcher approves the plan.</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C.10 ICE Practice Orchestrations (6 · 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ORCH-50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Asset Failure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APEX-ICE-FAF-01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ICE-A01 → ICE-A02 → ICE-A03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ORCH-51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Spare-Parts Availability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APEX-ICE-SPA-02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ICE-A04 → ICE-A05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ORCH-52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Claim Pattern Analysis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APEX-ICE-WCP-03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ICE-A06 → ICE-A07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ORCH-53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Contract-Renewal Revenue Protection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APEX-ICE-CRV-04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ICE-A08 → ICE-A09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ORCH-54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As-a-Service Utilisation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APEX-ICE-AAU-05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ICE-A10 → ICE-A11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ORCH-55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APEX-ICE-CIR-06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ICE-A12 → ICE-A13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w:t>
            </w:r>
          </w:p>
        </w:tc>
      </w:tr>
    </w:tbl>
    <w:p>
      <w:pPr>
        <w:spacing w:after="120"/>
      </w:pPr>
      <w:r>
        <w:t xml:space="preserve"/>
      </w:r>
    </w:p>
    <w:p>
      <w:pPr>
        <w:spacing w:after="140"/>
      </w:pPr>
      <w:r>
        <w:rPr>
          <w:b/>
          <w:bCs/>
        </w:rPr>
        <w:t xml:space="preserve">ICE orchestration notes:</w:t>
      </w:r>
    </w:p>
    <w:p>
      <w:pPr>
        <w:pStyle w:val="ListParagraph"/>
        <w:numPr>
          <w:ilvl w:val="0"/>
          <w:numId w:val="1"/>
        </w:numPr>
        <w:spacing w:after="60"/>
      </w:pPr>
      <w:r>
        <w:t xml:space="preserve">ORCH-50 (Field Asset Failure) shares agent-chain patterns with </w:t>
      </w:r>
      <w:r>
        <w:rPr>
          <w:rFonts w:ascii="Cascadia Mono" w:cs="Cascadia Mono" w:eastAsia="Cascadia Mono" w:hAnsi="Cascadia Mono"/>
          <w:color w:val="2B2B2B"/>
          <w:sz w:val="18"/>
          <w:szCs w:val="18"/>
        </w:rPr>
        <w:t xml:space="preserve">ORCH-19 (ER Field Work-Order)</w:t>
      </w:r>
      <w:r>
        <w:t xml:space="preserve"> because both services coordinate crews, parts, and routes. A shared sub-agent library (</w:t>
      </w:r>
      <w:r>
        <w:rPr>
          <w:rFonts w:ascii="Cascadia Mono" w:cs="Cascadia Mono" w:eastAsia="Cascadia Mono" w:hAnsi="Cascadia Mono"/>
          <w:color w:val="2B2B2B"/>
          <w:sz w:val="18"/>
          <w:szCs w:val="18"/>
        </w:rPr>
        <w:t xml:space="preserve">apex-shared/dispatch-agents/</w:t>
      </w:r>
      <w:r>
        <w:t xml:space="preserve">) is planned.</w:t>
      </w:r>
    </w:p>
    <w:p>
      <w:pPr>
        <w:pStyle w:val="ListParagraph"/>
        <w:numPr>
          <w:ilvl w:val="0"/>
          <w:numId w:val="1"/>
        </w:numPr>
        <w:spacing w:after="60"/>
      </w:pPr>
      <w:r>
        <w:t xml:space="preserve">ORCH-52 (Warranty Pattern) is the earliest-warning service in the ICE Practice — the pre-recall indicator that gives Engineering a head start on quality remediation.</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C.11 Cross-Practice Orchestrations (Future State · Part V Tier 3)</w:t>
      </w:r>
    </w:p>
    <w:p>
      <w:pPr>
        <w:spacing w:after="140"/>
      </w:pPr>
      <w:r>
        <w:t xml:space="preserve">Orchestrations that span Practices, introduced in Wave 3+ or later for clients with multi-Practice deployments: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ORCH-90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Cross-Recall Coordination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 recall in one Practice triggers lot-trace evaluation in the others (e.g., a medical-device recall ripples into AXLE's supplier investigation and RC's retail distribution check)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ORCH-91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Cross-Supply-Chain Disruption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ICE + 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 supplier disruption detected in AXLE triggers inventory-state reassessment in ICE parts-availability and RC receiving expectations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ORCH-92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Cross-Customer-Incident Correlation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 customer incident in one Practice that cross-correlates to another (e.g., a retail customer's food-safety incident that overlaps with a healthcare system admission)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ORCH-93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Cross-Grid-and-Telco Event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 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 grid event causing cascading telecom-infrastructure impact; coordinated operator response</w:t>
            </w:r>
          </w:p>
        </w:tc>
      </w:tr>
    </w:tbl>
    <w:p>
      <w:pPr>
        <w:spacing w:after="120"/>
      </w:pPr>
      <w:r>
        <w:t xml:space="preserve"/>
      </w:r>
    </w:p>
    <w:p>
      <w:pPr>
        <w:spacing w:after="140"/>
      </w:pPr>
      <w:r>
        <w:t xml:space="preserve">These orchestrations carry ESCALATION gates by default because they involve multi-stakeholder, multi-Practice decisions where single-owner authority is inappropriate.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C.12 Orchestration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Total orchestrations catalogued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43 GA + Preview + 4 cross-practice = </w:t>
            </w:r>
            <w:r>
              <w:rPr>
                <w:b/>
                <w:bCs/>
              </w:rPr>
              <w:t xml:space="preserve">47</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runtime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33 (70%)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 Functions runtime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 (21%)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Mixed / either runtime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(9%, cross-practice)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as default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 as default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17</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 as default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ZERO_TOUCH as default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 (partial; ORCH-34, ORCH-35 bounded classes)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Fast duration (&lt; 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Extended duration (minutes–hours)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Long-running duration (hours–days)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C.13 Orchestration Versioning</w:t>
      </w:r>
    </w:p>
    <w:p>
      <w:pPr>
        <w:spacing w:after="140"/>
      </w:pPr>
      <w:r>
        <w:t xml:space="preserve">Each orchestration carries its own SemVer. Changes to an orchestration's DAG topology (adding/removing an agent step) are MAJOR; changes to step parameters (e.g., timeout, retry policy) are MINOR; changes to step labels or metadata are PATCH. Gate-kind changes (e.g., HITL → ACK_ONLY as part of a tuning cycle) are MAJOR and flow through the DAR (Decision Audit Review) discipline described in Chapter 16.</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D: Persona Catalog</w:t>
      </w:r>
    </w:p>
    <w:p>
      <w:pPr>
        <w:spacing w:after="140"/>
      </w:pPr>
      <w:r>
        <w:t xml:space="preserve">The 22 personas defined in </w:t>
      </w:r>
      <w:r>
        <w:rPr>
          <w:rFonts w:ascii="Cascadia Mono" w:cs="Cascadia Mono" w:eastAsia="Cascadia Mono" w:hAnsi="Cascadia Mono"/>
          <w:color w:val="2B2B2B"/>
          <w:sz w:val="18"/>
          <w:szCs w:val="18"/>
        </w:rPr>
        <w:t xml:space="preserve">persona-catalog.json</w:t>
      </w:r>
      <w:r>
        <w:t xml:space="preserve">. Each service's </w:t>
      </w:r>
      <w:r>
        <w:rPr>
          <w:rFonts w:ascii="Cascadia Mono" w:cs="Cascadia Mono" w:eastAsia="Cascadia Mono" w:hAnsi="Cascadia Mono"/>
          <w:color w:val="2B2B2B"/>
          <w:sz w:val="18"/>
          <w:szCs w:val="18"/>
        </w:rPr>
        <w:t xml:space="preserve">personas.primary</w:t>
      </w:r>
      <w:r>
        <w:t xml:space="preserve"> and </w:t>
      </w:r>
      <w:r>
        <w:rPr>
          <w:rFonts w:ascii="Cascadia Mono" w:cs="Cascadia Mono" w:eastAsia="Cascadia Mono" w:hAnsi="Cascadia Mono"/>
          <w:color w:val="2B2B2B"/>
          <w:sz w:val="18"/>
          <w:szCs w:val="18"/>
        </w:rPr>
        <w:t xml:space="preserve">.secondary</w:t>
      </w:r>
      <w:r>
        <w:t xml:space="preserve"> references these 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Manager on Duty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Front-line shift owner; primary HITL approver for in-store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regional-ops-director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 Operations 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Cluster oversight; escalation target for multi-store patterns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accountability; consumes recall &amp; incident output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merchandising-analyst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Merchandising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Price, assortment, ESL state; pricing-integrity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loss-prevention-lead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 Prevention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Shrink investigations; consumes escalations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customer-care-agent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Customer-facing resolver; substitution and incident gates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Unit-level clinical lead; HITL for clinical surveillance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Bridges clinical workflow and data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revenue-cycle-analyst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Cycle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Denials, claims, reimbursement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supply-chain-pharm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Supply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Medication and supply expiry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Patient-trial matching and enrolment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patient-safety-officer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Incident review and reporting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grid-ops-engineer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Operations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Real-time grid state; HITL for anomaly responses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Work-order optimisation and crew assignment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meter-ops-lead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Operations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reading, outage detection, revenue assurance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Operations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Billing-exception resolution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regulatory-affairs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Affairs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 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filings and compliance events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Floor 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Shift-level production lead; HITL for line-down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excursions, traceability, CAPA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Chain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Supply-disruption triage and expediting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Plant-wide KPIs, executive escalation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 / 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Traceability and customer notification for recalls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noc-engineer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NOC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Telco network incident classification and remediation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customer-retention-analyst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Retention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Churn intervention, save-offer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rights-ops-analyst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Rights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Content rights compliance and takedown coordination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Payment and plan exception handling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cloud-finops-engineer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FinOps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cost anomaly response and remediation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adops-investigator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Ad-Ops Investigator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Ad-fraud triage and investigation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field-network-engineer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Network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Telecom field dispatch for outages and 5G issues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occ-dispatcher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OCC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Airline operations control — disruption recovery orchestration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hotel-gm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 General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Hotel-level operations, escalations, guest recovery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loyalty-experience-mgr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Experience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High-tier guest rescue and personalised interventions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Pricing, inventory, and revenue-management anomalies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guest-service-agent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Service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Front-line guest incident triage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Field-asset failure response; technician + parts orchestration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parts-planner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Parts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Cross-depot parts availability and rebalancing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claim pattern analysis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contract-renewal-mgr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 Renewal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As-a-service and extended-warranty renewals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compliance-inspector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Safety, emissions, regulated inspection events</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C.1 Cross-Persona Patterns</w:t>
      </w:r>
    </w:p>
    <w:p>
      <w:pPr>
        <w:spacing w:after="140"/>
      </w:pPr>
      <w:r>
        <w:t xml:space="preserve">Several personas appear in multiple Practices. These are intentional cross-cuts, not duplicates:</w:t>
      </w:r>
    </w:p>
    <w:p>
      <w:pPr>
        <w:pStyle w:val="ListParagraph"/>
        <w:numPr>
          <w:ilvl w:val="0"/>
          <w:numId w:val="1"/>
        </w:numPr>
        <w:spacing w:after="60"/>
      </w:pPr>
      <w:r>
        <w:rPr>
          <w:b/>
          <w:bCs/>
        </w:rPr>
        <w:t xml:space="preserve">Compliance Officer</w:t>
      </w:r>
      <w:r>
        <w:t xml:space="preserve"> — same role, different regulatory lens per Practice (FDA in RC, HIPAA in HLS, FERC/NERC in ER)</w:t>
      </w:r>
    </w:p>
    <w:p>
      <w:pPr>
        <w:pStyle w:val="ListParagraph"/>
        <w:numPr>
          <w:ilvl w:val="0"/>
          <w:numId w:val="1"/>
        </w:numPr>
        <w:spacing w:after="60"/>
      </w:pPr>
      <w:r>
        <w:rPr>
          <w:b/>
          <w:bCs/>
        </w:rPr>
        <w:t xml:space="preserve">Customer Care Agent</w:t>
      </w:r>
      <w:r>
        <w:t xml:space="preserve"> — appears anywhere customer-facing resolution is needed (RC substitution, HLS incident, ER billing-complaint adjacent)</w:t>
      </w:r>
    </w:p>
    <w:p>
      <w:pPr>
        <w:pStyle w:val="ListParagraph"/>
        <w:numPr>
          <w:ilvl w:val="0"/>
          <w:numId w:val="1"/>
        </w:numPr>
        <w:spacing w:after="60"/>
      </w:pPr>
      <w:r>
        <w:rPr>
          <w:b/>
          <w:bCs/>
        </w:rPr>
        <w:t xml:space="preserve">Supply Chain Planner</w:t>
      </w:r>
      <w:r>
        <w:t xml:space="preserve"> — appears in AXLE primarily and in RC for supply-side decisions</w:t>
      </w:r>
    </w:p>
    <w:p>
      <w:pPr>
        <w:pStyle w:val="ListParagraph"/>
        <w:numPr>
          <w:ilvl w:val="0"/>
          <w:numId w:val="1"/>
        </w:numPr>
        <w:spacing w:after="60"/>
      </w:pPr>
      <w:r>
        <w:rPr>
          <w:b/>
          <w:bCs/>
        </w:rPr>
        <w:t xml:space="preserve">Recall Coordinator</w:t>
      </w:r>
      <w:r>
        <w:t xml:space="preserve"> — appears in any Practice with product-recall scope</w:t>
      </w:r>
    </w:p>
    <w:p>
      <w:pPr>
        <w:spacing w:after="140"/>
      </w:pPr>
      <w:r>
        <w:t xml:space="preserve">Cross-Practice personas carry the same identity across tenant workspaces. When a compliance officer works across RC and HLS, they have a single AAD identity with access to both Practices' </w:t>
      </w:r>
      <w:r>
        <w:rPr>
          <w:rFonts w:ascii="Cascadia Mono" w:cs="Cascadia Mono" w:eastAsia="Cascadia Mono" w:hAnsi="Cascadia Mono"/>
          <w:color w:val="2B2B2B"/>
          <w:sz w:val="18"/>
          <w:szCs w:val="18"/>
        </w:rPr>
        <w:t xml:space="preserve">compliance-officer</w:t>
      </w:r>
      <w:r>
        <w:t xml:space="preserve"> group.</w:t>
      </w:r>
    </w:p>
    <w:p>
      <w:pPr>
        <w:pStyle w:val="Heading3"/>
        <w:spacing w:after="120" w:before="260"/>
      </w:pPr>
      <w:r>
        <w:rPr>
          <w:rFonts w:ascii="Aptos" w:cs="Aptos" w:eastAsia="Aptos" w:hAnsi="Aptos"/>
          <w:b/>
          <w:bCs/>
          <w:color w:val="0B111E"/>
          <w:sz w:val="24"/>
          <w:szCs w:val="24"/>
        </w:rPr>
        <w:t xml:space="preserve">C.2 Persona Responsibility Matrix</w:t>
      </w:r>
    </w:p>
    <w:p>
      <w:pPr>
        <w:spacing w:after="140"/>
      </w:pPr>
      <w:r>
        <w:t xml:space="preserve">Three responsibility flavours recur across personas:</w:t>
      </w:r>
    </w:p>
    <w:p>
      <w:pPr>
        <w:pStyle w:val="ListParagraph"/>
        <w:numPr>
          <w:ilvl w:val="0"/>
          <w:numId w:val="1"/>
        </w:numPr>
        <w:spacing w:after="60"/>
      </w:pPr>
      <w:r>
        <w:rPr>
          <w:b/>
          <w:bCs/>
        </w:rPr>
        <w:t xml:space="preserve">R (Resolver)</w:t>
      </w:r>
      <w:r>
        <w:t xml:space="preserve"> — persona approves/acts on decisions at HITL gate</w:t>
      </w:r>
    </w:p>
    <w:p>
      <w:pPr>
        <w:pStyle w:val="ListParagraph"/>
        <w:numPr>
          <w:ilvl w:val="0"/>
          <w:numId w:val="1"/>
        </w:numPr>
        <w:spacing w:after="60"/>
      </w:pPr>
      <w:r>
        <w:rPr>
          <w:b/>
          <w:bCs/>
        </w:rPr>
        <w:t xml:space="preserve">C (Consumer)</w:t>
      </w:r>
      <w:r>
        <w:t xml:space="preserve"> — persona receives outcomes and escalations</w:t>
      </w:r>
    </w:p>
    <w:p>
      <w:pPr>
        <w:pStyle w:val="ListParagraph"/>
        <w:numPr>
          <w:ilvl w:val="0"/>
          <w:numId w:val="1"/>
        </w:numPr>
        <w:spacing w:after="60"/>
      </w:pPr>
      <w:r>
        <w:rPr>
          <w:b/>
          <w:bCs/>
        </w:rPr>
        <w:t xml:space="preserve">G (Governor)</w:t>
      </w:r>
      <w:r>
        <w:t xml:space="preserve"> — persona owns policy and gate-tuning decisions</w:t>
      </w:r>
    </w:p>
    <w:p>
      <w:pPr>
        <w:spacing w:after="140"/>
      </w:pPr>
      <w:r>
        <w:t xml:space="preserve">Each service's </w:t>
      </w:r>
      <w:r>
        <w:rPr>
          <w:rFonts w:ascii="Cascadia Mono" w:cs="Cascadia Mono" w:eastAsia="Cascadia Mono" w:hAnsi="Cascadia Mono"/>
          <w:color w:val="2B2B2B"/>
          <w:sz w:val="18"/>
          <w:szCs w:val="18"/>
        </w:rPr>
        <w:t xml:space="preserve">personas.primary</w:t>
      </w:r>
      <w:r>
        <w:t xml:space="preserve"> is typically an R; </w:t>
      </w:r>
      <w:r>
        <w:rPr>
          <w:rFonts w:ascii="Cascadia Mono" w:cs="Cascadia Mono" w:eastAsia="Cascadia Mono" w:hAnsi="Cascadia Mono"/>
          <w:color w:val="2B2B2B"/>
          <w:sz w:val="18"/>
          <w:szCs w:val="18"/>
        </w:rPr>
        <w:t xml:space="preserve">secondary</w:t>
      </w:r>
      <w:r>
        <w:t xml:space="preserve"> mixes C and G; </w:t>
      </w:r>
      <w:r>
        <w:rPr>
          <w:rFonts w:ascii="Cascadia Mono" w:cs="Cascadia Mono" w:eastAsia="Cascadia Mono" w:hAnsi="Cascadia Mono"/>
          <w:color w:val="2B2B2B"/>
          <w:sz w:val="18"/>
          <w:szCs w:val="18"/>
        </w:rPr>
        <w:t xml:space="preserve">consumer</w:t>
      </w:r>
      <w:r>
        <w:t xml:space="preserve"> is strictly C.</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E: MCP Tool Catalog</w:t>
      </w:r>
    </w:p>
    <w:p>
      <w:pPr>
        <w:spacing w:after="140"/>
      </w:pPr>
      <w:r>
        <w:t xml:space="preserve">MCP servers organised by class. Each server exposes one or more tools; only representative tool names shown.</w:t>
      </w:r>
    </w:p>
    <w:p>
      <w:pPr>
        <w:pStyle w:val="Heading2"/>
        <w:spacing w:after="140" w:before="300"/>
      </w:pPr>
      <w:r>
        <w:rPr>
          <w:rFonts w:ascii="Aptos Display" w:cs="Aptos Display" w:eastAsia="Aptos Display" w:hAnsi="Aptos Display"/>
          <w:b/>
          <w:bCs/>
          <w:color w:val="0B111E"/>
          <w:sz w:val="30"/>
          <w:szCs w:val="30"/>
        </w:rPr>
        <w:t xml:space="preserve">Domain Servers</w:t>
      </w:r>
    </w:p>
    <w:p>
      <w:pPr>
        <w:pStyle w:val="ListParagraph"/>
        <w:numPr>
          <w:ilvl w:val="0"/>
          <w:numId w:val="1"/>
        </w:numPr>
        <w:spacing w:after="60"/>
      </w:pPr>
      <w:r>
        <w:rPr>
          <w:b/>
          <w:bCs/>
        </w:rPr>
        <w:t xml:space="preserve">scml-mcp</w:t>
      </w:r>
      <w:r>
        <w:t xml:space="preserve"> — </w:t>
      </w:r>
      <w:r>
        <w:rPr>
          <w:rFonts w:ascii="Cascadia Mono" w:cs="Cascadia Mono" w:eastAsia="Cascadia Mono" w:hAnsi="Cascadia Mono"/>
          <w:color w:val="2B2B2B"/>
          <w:sz w:val="18"/>
          <w:szCs w:val="18"/>
        </w:rPr>
        <w:t xml:space="preserve">read_cold_chain_telemetry</w:t>
      </w:r>
      <w:r>
        <w:t xml:space="preserve">, </w:t>
      </w:r>
      <w:r>
        <w:rPr>
          <w:rFonts w:ascii="Cascadia Mono" w:cs="Cascadia Mono" w:eastAsia="Cascadia Mono" w:hAnsi="Cascadia Mono"/>
          <w:color w:val="2B2B2B"/>
          <w:sz w:val="18"/>
          <w:szCs w:val="18"/>
        </w:rPr>
        <w:t xml:space="preserve">read_excursion_events</w:t>
      </w:r>
      <w:r>
        <w:t xml:space="preserve">, </w:t>
      </w:r>
      <w:r>
        <w:rPr>
          <w:rFonts w:ascii="Cascadia Mono" w:cs="Cascadia Mono" w:eastAsia="Cascadia Mono" w:hAnsi="Cascadia Mono"/>
          <w:color w:val="2B2B2B"/>
          <w:sz w:val="18"/>
          <w:szCs w:val="18"/>
        </w:rPr>
        <w:t xml:space="preserve">read_lot_trace</w:t>
      </w:r>
      <w:r>
        <w:t xml:space="preserve">, </w:t>
      </w:r>
      <w:r>
        <w:rPr>
          <w:rFonts w:ascii="Cascadia Mono" w:cs="Cascadia Mono" w:eastAsia="Cascadia Mono" w:hAnsi="Cascadia Mono"/>
          <w:color w:val="2B2B2B"/>
          <w:sz w:val="18"/>
          <w:szCs w:val="18"/>
        </w:rPr>
        <w:t xml:space="preserve">read_asn</w:t>
      </w:r>
      <w:r>
        <w:t xml:space="preserve">, </w:t>
      </w:r>
      <w:r>
        <w:rPr>
          <w:rFonts w:ascii="Cascadia Mono" w:cs="Cascadia Mono" w:eastAsia="Cascadia Mono" w:hAnsi="Cascadia Mono"/>
          <w:color w:val="2B2B2B"/>
          <w:sz w:val="18"/>
          <w:szCs w:val="18"/>
        </w:rPr>
        <w:t xml:space="preserve">read_receiving_variance</w:t>
      </w:r>
    </w:p>
    <w:p>
      <w:pPr>
        <w:pStyle w:val="ListParagraph"/>
        <w:numPr>
          <w:ilvl w:val="0"/>
          <w:numId w:val="1"/>
        </w:numPr>
        <w:spacing w:after="60"/>
      </w:pPr>
      <w:r>
        <w:rPr>
          <w:b/>
          <w:bCs/>
        </w:rPr>
        <w:t xml:space="preserve">merml-mcp</w:t>
      </w:r>
      <w:r>
        <w:t xml:space="preserve"> — </w:t>
      </w:r>
      <w:r>
        <w:rPr>
          <w:rFonts w:ascii="Cascadia Mono" w:cs="Cascadia Mono" w:eastAsia="Cascadia Mono" w:hAnsi="Cascadia Mono"/>
          <w:color w:val="2B2B2B"/>
          <w:sz w:val="18"/>
          <w:szCs w:val="18"/>
        </w:rPr>
        <w:t xml:space="preserve">read_store_inventory</w:t>
      </w:r>
      <w:r>
        <w:t xml:space="preserve">, </w:t>
      </w:r>
      <w:r>
        <w:rPr>
          <w:rFonts w:ascii="Cascadia Mono" w:cs="Cascadia Mono" w:eastAsia="Cascadia Mono" w:hAnsi="Cascadia Mono"/>
          <w:color w:val="2B2B2B"/>
          <w:sz w:val="18"/>
          <w:szCs w:val="18"/>
        </w:rPr>
        <w:t xml:space="preserve">read_price_record</w:t>
      </w:r>
      <w:r>
        <w:t xml:space="preserve">, </w:t>
      </w:r>
      <w:r>
        <w:rPr>
          <w:rFonts w:ascii="Cascadia Mono" w:cs="Cascadia Mono" w:eastAsia="Cascadia Mono" w:hAnsi="Cascadia Mono"/>
          <w:color w:val="2B2B2B"/>
          <w:sz w:val="18"/>
          <w:szCs w:val="18"/>
        </w:rPr>
        <w:t xml:space="preserve">read_tag_status</w:t>
      </w:r>
      <w:r>
        <w:t xml:space="preserve">, </w:t>
      </w:r>
      <w:r>
        <w:rPr>
          <w:rFonts w:ascii="Cascadia Mono" w:cs="Cascadia Mono" w:eastAsia="Cascadia Mono" w:hAnsi="Cascadia Mono"/>
          <w:color w:val="2B2B2B"/>
          <w:sz w:val="18"/>
          <w:szCs w:val="18"/>
        </w:rPr>
        <w:t xml:space="preserve">read_osa_event</w:t>
      </w:r>
      <w:r>
        <w:t xml:space="preserve">, </w:t>
      </w:r>
      <w:r>
        <w:rPr>
          <w:rFonts w:ascii="Cascadia Mono" w:cs="Cascadia Mono" w:eastAsia="Cascadia Mono" w:hAnsi="Cascadia Mono"/>
          <w:color w:val="2B2B2B"/>
          <w:sz w:val="18"/>
          <w:szCs w:val="18"/>
        </w:rPr>
        <w:t xml:space="preserve">read_void_record</w:t>
      </w:r>
    </w:p>
    <w:p>
      <w:pPr>
        <w:pStyle w:val="ListParagraph"/>
        <w:numPr>
          <w:ilvl w:val="0"/>
          <w:numId w:val="1"/>
        </w:numPr>
        <w:spacing w:after="60"/>
      </w:pPr>
      <w:r>
        <w:rPr>
          <w:b/>
          <w:bCs/>
        </w:rPr>
        <w:t xml:space="preserve">cxml-mcp</w:t>
      </w:r>
      <w:r>
        <w:t xml:space="preserve"> — </w:t>
      </w:r>
      <w:r>
        <w:rPr>
          <w:rFonts w:ascii="Cascadia Mono" w:cs="Cascadia Mono" w:eastAsia="Cascadia Mono" w:hAnsi="Cascadia Mono"/>
          <w:color w:val="2B2B2B"/>
          <w:sz w:val="18"/>
          <w:szCs w:val="18"/>
        </w:rPr>
        <w:t xml:space="preserve">read_fulfillment_order</w:t>
      </w:r>
      <w:r>
        <w:t xml:space="preserve">, </w:t>
      </w:r>
      <w:r>
        <w:rPr>
          <w:rFonts w:ascii="Cascadia Mono" w:cs="Cascadia Mono" w:eastAsia="Cascadia Mono" w:hAnsi="Cascadia Mono"/>
          <w:color w:val="2B2B2B"/>
          <w:sz w:val="18"/>
          <w:szCs w:val="18"/>
        </w:rPr>
        <w:t xml:space="preserve">read_pick_exception</w:t>
      </w:r>
      <w:r>
        <w:t xml:space="preserve">, </w:t>
      </w:r>
      <w:r>
        <w:rPr>
          <w:rFonts w:ascii="Cascadia Mono" w:cs="Cascadia Mono" w:eastAsia="Cascadia Mono" w:hAnsi="Cascadia Mono"/>
          <w:color w:val="2B2B2B"/>
          <w:sz w:val="18"/>
          <w:szCs w:val="18"/>
        </w:rPr>
        <w:t xml:space="preserve">read_customer_incident</w:t>
      </w:r>
      <w:r>
        <w:t xml:space="preserve">, </w:t>
      </w:r>
      <w:r>
        <w:rPr>
          <w:rFonts w:ascii="Cascadia Mono" w:cs="Cascadia Mono" w:eastAsia="Cascadia Mono" w:hAnsi="Cascadia Mono"/>
          <w:color w:val="2B2B2B"/>
          <w:sz w:val="18"/>
          <w:szCs w:val="18"/>
        </w:rPr>
        <w:t xml:space="preserve">read_loyalty_state</w:t>
      </w:r>
    </w:p>
    <w:p>
      <w:pPr>
        <w:pStyle w:val="ListParagraph"/>
        <w:numPr>
          <w:ilvl w:val="0"/>
          <w:numId w:val="1"/>
        </w:numPr>
        <w:spacing w:after="60"/>
      </w:pPr>
      <w:r>
        <w:rPr>
          <w:b/>
          <w:bCs/>
        </w:rPr>
        <w:t xml:space="preserve">hlscml-mcp</w:t>
      </w:r>
      <w:r>
        <w:t xml:space="preserve"> — </w:t>
      </w:r>
      <w:r>
        <w:rPr>
          <w:rFonts w:ascii="Cascadia Mono" w:cs="Cascadia Mono" w:eastAsia="Cascadia Mono" w:hAnsi="Cascadia Mono"/>
          <w:color w:val="2B2B2B"/>
          <w:sz w:val="18"/>
          <w:szCs w:val="18"/>
        </w:rPr>
        <w:t xml:space="preserve">read_patient_encounter</w:t>
      </w:r>
      <w:r>
        <w:t xml:space="preserve">, </w:t>
      </w:r>
      <w:r>
        <w:rPr>
          <w:rFonts w:ascii="Cascadia Mono" w:cs="Cascadia Mono" w:eastAsia="Cascadia Mono" w:hAnsi="Cascadia Mono"/>
          <w:color w:val="2B2B2B"/>
          <w:sz w:val="18"/>
          <w:szCs w:val="18"/>
        </w:rPr>
        <w:t xml:space="preserve">read_vitals</w:t>
      </w:r>
      <w:r>
        <w:t xml:space="preserve">, </w:t>
      </w:r>
      <w:r>
        <w:rPr>
          <w:rFonts w:ascii="Cascadia Mono" w:cs="Cascadia Mono" w:eastAsia="Cascadia Mono" w:hAnsi="Cascadia Mono"/>
          <w:color w:val="2B2B2B"/>
          <w:sz w:val="18"/>
          <w:szCs w:val="18"/>
        </w:rPr>
        <w:t xml:space="preserve">read_lab_result</w:t>
      </w:r>
      <w:r>
        <w:t xml:space="preserve">, </w:t>
      </w:r>
      <w:r>
        <w:rPr>
          <w:rFonts w:ascii="Cascadia Mono" w:cs="Cascadia Mono" w:eastAsia="Cascadia Mono" w:hAnsi="Cascadia Mono"/>
          <w:color w:val="2B2B2B"/>
          <w:sz w:val="18"/>
          <w:szCs w:val="18"/>
        </w:rPr>
        <w:t xml:space="preserve">read_claim_denial</w:t>
      </w:r>
      <w:r>
        <w:t xml:space="preserve">, </w:t>
      </w:r>
      <w:r>
        <w:rPr>
          <w:rFonts w:ascii="Cascadia Mono" w:cs="Cascadia Mono" w:eastAsia="Cascadia Mono" w:hAnsi="Cascadia Mono"/>
          <w:color w:val="2B2B2B"/>
          <w:sz w:val="18"/>
          <w:szCs w:val="18"/>
        </w:rPr>
        <w:t xml:space="preserve">read_trial_match</w:t>
      </w:r>
    </w:p>
    <w:p>
      <w:pPr>
        <w:pStyle w:val="ListParagraph"/>
        <w:numPr>
          <w:ilvl w:val="0"/>
          <w:numId w:val="1"/>
        </w:numPr>
        <w:spacing w:after="60"/>
      </w:pPr>
      <w:r>
        <w:rPr>
          <w:b/>
          <w:bCs/>
        </w:rPr>
        <w:t xml:space="preserve">ercml-mcp</w:t>
      </w:r>
      <w:r>
        <w:t xml:space="preserve"> — </w:t>
      </w:r>
      <w:r>
        <w:rPr>
          <w:rFonts w:ascii="Cascadia Mono" w:cs="Cascadia Mono" w:eastAsia="Cascadia Mono" w:hAnsi="Cascadia Mono"/>
          <w:color w:val="2B2B2B"/>
          <w:sz w:val="18"/>
          <w:szCs w:val="18"/>
        </w:rPr>
        <w:t xml:space="preserve">read_meter_reading</w:t>
      </w:r>
      <w:r>
        <w:t xml:space="preserve">, </w:t>
      </w:r>
      <w:r>
        <w:rPr>
          <w:rFonts w:ascii="Cascadia Mono" w:cs="Cascadia Mono" w:eastAsia="Cascadia Mono" w:hAnsi="Cascadia Mono"/>
          <w:color w:val="2B2B2B"/>
          <w:sz w:val="18"/>
          <w:szCs w:val="18"/>
        </w:rPr>
        <w:t xml:space="preserve">read_grid_anomaly</w:t>
      </w:r>
      <w:r>
        <w:t xml:space="preserve">, </w:t>
      </w:r>
      <w:r>
        <w:rPr>
          <w:rFonts w:ascii="Cascadia Mono" w:cs="Cascadia Mono" w:eastAsia="Cascadia Mono" w:hAnsi="Cascadia Mono"/>
          <w:color w:val="2B2B2B"/>
          <w:sz w:val="18"/>
          <w:szCs w:val="18"/>
        </w:rPr>
        <w:t xml:space="preserve">read_outage_event</w:t>
      </w:r>
      <w:r>
        <w:t xml:space="preserve">, </w:t>
      </w:r>
      <w:r>
        <w:rPr>
          <w:rFonts w:ascii="Cascadia Mono" w:cs="Cascadia Mono" w:eastAsia="Cascadia Mono" w:hAnsi="Cascadia Mono"/>
          <w:color w:val="2B2B2B"/>
          <w:sz w:val="18"/>
          <w:szCs w:val="18"/>
        </w:rPr>
        <w:t xml:space="preserve">read_work_order</w:t>
      </w:r>
      <w:r>
        <w:t xml:space="preserve">, </w:t>
      </w:r>
      <w:r>
        <w:rPr>
          <w:rFonts w:ascii="Cascadia Mono" w:cs="Cascadia Mono" w:eastAsia="Cascadia Mono" w:hAnsi="Cascadia Mono"/>
          <w:color w:val="2B2B2B"/>
          <w:sz w:val="18"/>
          <w:szCs w:val="18"/>
        </w:rPr>
        <w:t xml:space="preserve">read_billing_exception</w:t>
      </w:r>
    </w:p>
    <w:p>
      <w:pPr>
        <w:pStyle w:val="ListParagraph"/>
        <w:numPr>
          <w:ilvl w:val="0"/>
          <w:numId w:val="1"/>
        </w:numPr>
        <w:spacing w:after="60"/>
      </w:pPr>
      <w:r>
        <w:rPr>
          <w:b/>
          <w:bCs/>
        </w:rPr>
        <w:t xml:space="preserve">axlecml-mcp</w:t>
      </w:r>
      <w:r>
        <w:t xml:space="preserve"> — </w:t>
      </w:r>
      <w:r>
        <w:rPr>
          <w:rFonts w:ascii="Cascadia Mono" w:cs="Cascadia Mono" w:eastAsia="Cascadia Mono" w:hAnsi="Cascadia Mono"/>
          <w:color w:val="2B2B2B"/>
          <w:sz w:val="18"/>
          <w:szCs w:val="18"/>
        </w:rPr>
        <w:t xml:space="preserve">read_production_event</w:t>
      </w:r>
      <w:r>
        <w:t xml:space="preserve">, </w:t>
      </w:r>
      <w:r>
        <w:rPr>
          <w:rFonts w:ascii="Cascadia Mono" w:cs="Cascadia Mono" w:eastAsia="Cascadia Mono" w:hAnsi="Cascadia Mono"/>
          <w:color w:val="2B2B2B"/>
          <w:sz w:val="18"/>
          <w:szCs w:val="18"/>
        </w:rPr>
        <w:t xml:space="preserve">read_quality_excursion</w:t>
      </w:r>
      <w:r>
        <w:t xml:space="preserve">, </w:t>
      </w:r>
      <w:r>
        <w:rPr>
          <w:rFonts w:ascii="Cascadia Mono" w:cs="Cascadia Mono" w:eastAsia="Cascadia Mono" w:hAnsi="Cascadia Mono"/>
          <w:color w:val="2B2B2B"/>
          <w:sz w:val="18"/>
          <w:szCs w:val="18"/>
        </w:rPr>
        <w:t xml:space="preserve">read_genealogy</w:t>
      </w:r>
      <w:r>
        <w:t xml:space="preserve">, </w:t>
      </w:r>
      <w:r>
        <w:rPr>
          <w:rFonts w:ascii="Cascadia Mono" w:cs="Cascadia Mono" w:eastAsia="Cascadia Mono" w:hAnsi="Cascadia Mono"/>
          <w:color w:val="2B2B2B"/>
          <w:sz w:val="18"/>
          <w:szCs w:val="18"/>
        </w:rPr>
        <w:t xml:space="preserve">read_supplier_event</w:t>
      </w:r>
    </w:p>
    <w:p>
      <w:pPr>
        <w:pStyle w:val="Heading2"/>
        <w:spacing w:after="140" w:before="300"/>
      </w:pPr>
      <w:r>
        <w:rPr>
          <w:rFonts w:ascii="Aptos Display" w:cs="Aptos Display" w:eastAsia="Aptos Display" w:hAnsi="Aptos Display"/>
          <w:b/>
          <w:bCs/>
          <w:color w:val="0B111E"/>
          <w:sz w:val="30"/>
          <w:szCs w:val="30"/>
        </w:rPr>
        <w:t xml:space="preserve">Utility Servers</w:t>
      </w:r>
    </w:p>
    <w:p>
      <w:pPr>
        <w:pStyle w:val="ListParagraph"/>
        <w:numPr>
          <w:ilvl w:val="0"/>
          <w:numId w:val="1"/>
        </w:numPr>
        <w:spacing w:after="60"/>
      </w:pPr>
      <w:r>
        <w:rPr>
          <w:b/>
          <w:bCs/>
        </w:rPr>
        <w:t xml:space="preserve">fabric-mcp</w:t>
      </w:r>
      <w:r>
        <w:t xml:space="preserve"> — generic Gold-view reads</w:t>
      </w:r>
    </w:p>
    <w:p>
      <w:pPr>
        <w:pStyle w:val="ListParagraph"/>
        <w:numPr>
          <w:ilvl w:val="0"/>
          <w:numId w:val="1"/>
        </w:numPr>
        <w:spacing w:after="60"/>
      </w:pPr>
      <w:r>
        <w:rPr>
          <w:b/>
          <w:bCs/>
        </w:rPr>
        <w:t xml:space="preserve">policy-mcp</w:t>
      </w:r>
      <w:r>
        <w:t xml:space="preserve"> — </w:t>
      </w:r>
      <w:r>
        <w:rPr>
          <w:rFonts w:ascii="Cascadia Mono" w:cs="Cascadia Mono" w:eastAsia="Cascadia Mono" w:hAnsi="Cascadia Mono"/>
          <w:color w:val="2B2B2B"/>
          <w:sz w:val="18"/>
          <w:szCs w:val="18"/>
        </w:rPr>
        <w:t xml:space="preserve">resolve_gate</w:t>
      </w:r>
      <w:r>
        <w:t xml:space="preserve">, </w:t>
      </w:r>
      <w:r>
        <w:rPr>
          <w:rFonts w:ascii="Cascadia Mono" w:cs="Cascadia Mono" w:eastAsia="Cascadia Mono" w:hAnsi="Cascadia Mono"/>
          <w:color w:val="2B2B2B"/>
          <w:sz w:val="18"/>
          <w:szCs w:val="18"/>
        </w:rPr>
        <w:t xml:space="preserve">get_upgrade_policy</w:t>
      </w:r>
      <w:r>
        <w:t xml:space="preserve">, </w:t>
      </w:r>
      <w:r>
        <w:rPr>
          <w:rFonts w:ascii="Cascadia Mono" w:cs="Cascadia Mono" w:eastAsia="Cascadia Mono" w:hAnsi="Cascadia Mono"/>
          <w:color w:val="2B2B2B"/>
          <w:sz w:val="18"/>
          <w:szCs w:val="18"/>
        </w:rPr>
        <w:t xml:space="preserve">verify_tenant_access</w:t>
      </w:r>
    </w:p>
    <w:p>
      <w:pPr>
        <w:pStyle w:val="ListParagraph"/>
        <w:numPr>
          <w:ilvl w:val="0"/>
          <w:numId w:val="1"/>
        </w:numPr>
        <w:spacing w:after="60"/>
      </w:pPr>
      <w:r>
        <w:rPr>
          <w:b/>
          <w:bCs/>
        </w:rPr>
        <w:t xml:space="preserve">telemetry-mcp</w:t>
      </w:r>
      <w:r>
        <w:t xml:space="preserve"> — </w:t>
      </w:r>
      <w:r>
        <w:rPr>
          <w:rFonts w:ascii="Cascadia Mono" w:cs="Cascadia Mono" w:eastAsia="Cascadia Mono" w:hAnsi="Cascadia Mono"/>
          <w:color w:val="2B2B2B"/>
          <w:sz w:val="18"/>
          <w:szCs w:val="18"/>
        </w:rPr>
        <w:t xml:space="preserve">emit_trace_event</w:t>
      </w:r>
      <w:r>
        <w:t xml:space="preserve">, </w:t>
      </w:r>
      <w:r>
        <w:rPr>
          <w:rFonts w:ascii="Cascadia Mono" w:cs="Cascadia Mono" w:eastAsia="Cascadia Mono" w:hAnsi="Cascadia Mono"/>
          <w:color w:val="2B2B2B"/>
          <w:sz w:val="18"/>
          <w:szCs w:val="18"/>
        </w:rPr>
        <w:t xml:space="preserve">emit_decision_audit</w:t>
      </w:r>
    </w:p>
    <w:p>
      <w:pPr>
        <w:pStyle w:val="ListParagraph"/>
        <w:numPr>
          <w:ilvl w:val="0"/>
          <w:numId w:val="1"/>
        </w:numPr>
        <w:spacing w:after="60"/>
      </w:pPr>
      <w:r>
        <w:rPr>
          <w:b/>
          <w:bCs/>
        </w:rPr>
        <w:t xml:space="preserve">approvals-mcp</w:t>
      </w:r>
      <w:r>
        <w:t xml:space="preserve"> — </w:t>
      </w:r>
      <w:r>
        <w:rPr>
          <w:rFonts w:ascii="Cascadia Mono" w:cs="Cascadia Mono" w:eastAsia="Cascadia Mono" w:hAnsi="Cascadia Mono"/>
          <w:color w:val="2B2B2B"/>
          <w:sz w:val="18"/>
          <w:szCs w:val="18"/>
        </w:rPr>
        <w:t xml:space="preserve">send_teams_card</w:t>
      </w:r>
      <w:r>
        <w:t xml:space="preserve">, </w:t>
      </w:r>
      <w:r>
        <w:rPr>
          <w:rFonts w:ascii="Cascadia Mono" w:cs="Cascadia Mono" w:eastAsia="Cascadia Mono" w:hAnsi="Cascadia Mono"/>
          <w:color w:val="2B2B2B"/>
          <w:sz w:val="18"/>
          <w:szCs w:val="18"/>
        </w:rPr>
        <w:t xml:space="preserve">poll_decision</w:t>
      </w:r>
      <w:r>
        <w:t xml:space="preserve">, </w:t>
      </w:r>
      <w:r>
        <w:rPr>
          <w:rFonts w:ascii="Cascadia Mono" w:cs="Cascadia Mono" w:eastAsia="Cascadia Mono" w:hAnsi="Cascadia Mono"/>
          <w:color w:val="2B2B2B"/>
          <w:sz w:val="18"/>
          <w:szCs w:val="18"/>
        </w:rPr>
        <w:t xml:space="preserve">escalate</w:t>
      </w:r>
    </w:p>
    <w:p>
      <w:pPr>
        <w:pStyle w:val="ListParagraph"/>
        <w:numPr>
          <w:ilvl w:val="0"/>
          <w:numId w:val="1"/>
        </w:numPr>
        <w:spacing w:after="60"/>
      </w:pPr>
      <w:r>
        <w:rPr>
          <w:b/>
          <w:bCs/>
        </w:rPr>
        <w:t xml:space="preserve">tokenizer-mcp</w:t>
      </w:r>
      <w:r>
        <w:t xml:space="preserve"> — </w:t>
      </w:r>
      <w:r>
        <w:rPr>
          <w:rFonts w:ascii="Cascadia Mono" w:cs="Cascadia Mono" w:eastAsia="Cascadia Mono" w:hAnsi="Cascadia Mono"/>
          <w:color w:val="2B2B2B"/>
          <w:sz w:val="18"/>
          <w:szCs w:val="18"/>
        </w:rPr>
        <w:t xml:space="preserve">tokenize</w:t>
      </w:r>
      <w:r>
        <w:t xml:space="preserve">, </w:t>
      </w:r>
      <w:r>
        <w:rPr>
          <w:rFonts w:ascii="Cascadia Mono" w:cs="Cascadia Mono" w:eastAsia="Cascadia Mono" w:hAnsi="Cascadia Mono"/>
          <w:color w:val="2B2B2B"/>
          <w:sz w:val="18"/>
          <w:szCs w:val="18"/>
        </w:rPr>
        <w:t xml:space="preserve">reverse_tokenize</w:t>
      </w:r>
      <w:r>
        <w:t xml:space="preserve"> (audit-logged), </w:t>
      </w:r>
      <w:r>
        <w:rPr>
          <w:rFonts w:ascii="Cascadia Mono" w:cs="Cascadia Mono" w:eastAsia="Cascadia Mono" w:hAnsi="Cascadia Mono"/>
          <w:color w:val="2B2B2B"/>
          <w:sz w:val="18"/>
          <w:szCs w:val="18"/>
        </w:rPr>
        <w:t xml:space="preserve">lookup_consent</w:t>
      </w:r>
    </w:p>
    <w:p>
      <w:pPr>
        <w:pStyle w:val="ListParagraph"/>
        <w:numPr>
          <w:ilvl w:val="0"/>
          <w:numId w:val="1"/>
        </w:numPr>
        <w:spacing w:after="60"/>
      </w:pPr>
      <w:r>
        <w:rPr>
          <w:b/>
          <w:bCs/>
        </w:rPr>
        <w:t xml:space="preserve">ledger-mcp</w:t>
      </w:r>
      <w:r>
        <w:t xml:space="preserve"> — </w:t>
      </w:r>
      <w:r>
        <w:rPr>
          <w:rFonts w:ascii="Cascadia Mono" w:cs="Cascadia Mono" w:eastAsia="Cascadia Mono" w:hAnsi="Cascadia Mono"/>
          <w:color w:val="2B2B2B"/>
          <w:sz w:val="18"/>
          <w:szCs w:val="18"/>
        </w:rPr>
        <w:t xml:space="preserve">stage_writeoff</w:t>
      </w:r>
      <w:r>
        <w:t xml:space="preserve">, </w:t>
      </w:r>
      <w:r>
        <w:rPr>
          <w:rFonts w:ascii="Cascadia Mono" w:cs="Cascadia Mono" w:eastAsia="Cascadia Mono" w:hAnsi="Cascadia Mono"/>
          <w:color w:val="2B2B2B"/>
          <w:sz w:val="18"/>
          <w:szCs w:val="18"/>
        </w:rPr>
        <w:t xml:space="preserve">stage_credit</w:t>
      </w:r>
      <w:r>
        <w:t xml:space="preserve">, </w:t>
      </w:r>
      <w:r>
        <w:rPr>
          <w:rFonts w:ascii="Cascadia Mono" w:cs="Cascadia Mono" w:eastAsia="Cascadia Mono" w:hAnsi="Cascadia Mono"/>
          <w:color w:val="2B2B2B"/>
          <w:sz w:val="18"/>
          <w:szCs w:val="18"/>
        </w:rPr>
        <w:t xml:space="preserve">stage_correction</w:t>
      </w:r>
    </w:p>
    <w:p>
      <w:pPr>
        <w:pStyle w:val="Heading2"/>
        <w:spacing w:after="140" w:before="300"/>
      </w:pPr>
      <w:r>
        <w:rPr>
          <w:rFonts w:ascii="Aptos Display" w:cs="Aptos Display" w:eastAsia="Aptos Display" w:hAnsi="Aptos Display"/>
          <w:b/>
          <w:bCs/>
          <w:color w:val="0B111E"/>
          <w:sz w:val="30"/>
          <w:szCs w:val="30"/>
        </w:rPr>
        <w:t xml:space="preserve">External Servers</w:t>
      </w:r>
    </w:p>
    <w:p>
      <w:pPr>
        <w:pStyle w:val="ListParagraph"/>
        <w:numPr>
          <w:ilvl w:val="0"/>
          <w:numId w:val="1"/>
        </w:numPr>
        <w:spacing w:after="60"/>
      </w:pPr>
      <w:r>
        <w:rPr>
          <w:b/>
          <w:bCs/>
        </w:rPr>
        <w:t xml:space="preserve">fda-mcp</w:t>
      </w:r>
      <w:r>
        <w:t xml:space="preserve"> — FDA recall &amp; threshold feeds</w:t>
      </w:r>
    </w:p>
    <w:p>
      <w:pPr>
        <w:pStyle w:val="ListParagraph"/>
        <w:numPr>
          <w:ilvl w:val="0"/>
          <w:numId w:val="1"/>
        </w:numPr>
        <w:spacing w:after="60"/>
      </w:pPr>
      <w:r>
        <w:rPr>
          <w:b/>
          <w:bCs/>
        </w:rPr>
        <w:t xml:space="preserve">ferc-mcp</w:t>
      </w:r>
      <w:r>
        <w:t xml:space="preserve"> — FERC regulatory notice feed</w:t>
      </w:r>
    </w:p>
    <w:p>
      <w:pPr>
        <w:pStyle w:val="ListParagraph"/>
        <w:numPr>
          <w:ilvl w:val="0"/>
          <w:numId w:val="1"/>
        </w:numPr>
        <w:spacing w:after="60"/>
      </w:pPr>
      <w:r>
        <w:rPr>
          <w:b/>
          <w:bCs/>
        </w:rPr>
        <w:t xml:space="preserve">edi-mcp</w:t>
      </w:r>
      <w:r>
        <w:t xml:space="preserve"> — EDI 856/850/810 vendor messaging</w:t>
      </w:r>
    </w:p>
    <w:p>
      <w:pPr>
        <w:pStyle w:val="ListParagraph"/>
        <w:numPr>
          <w:ilvl w:val="0"/>
          <w:numId w:val="1"/>
        </w:numPr>
        <w:spacing w:after="60"/>
      </w:pPr>
      <w:r>
        <w:rPr>
          <w:b/>
          <w:bCs/>
        </w:rPr>
        <w:t xml:space="preserve">pharma-recall-mcp</w:t>
      </w:r>
      <w:r>
        <w:t xml:space="preserve"> — pharma-specific recall feeds</w:t>
      </w:r>
    </w:p>
    <w:p>
      <w:pPr>
        <w:pStyle w:val="ListParagraph"/>
        <w:numPr>
          <w:ilvl w:val="0"/>
          <w:numId w:val="1"/>
        </w:numPr>
        <w:spacing w:after="60"/>
      </w:pPr>
      <w:r>
        <w:rPr>
          <w:b/>
          <w:bCs/>
        </w:rPr>
        <w:t xml:space="preserve">trials-registry-mcp</w:t>
      </w:r>
      <w:r>
        <w:t xml:space="preserve"> — ClinicalTrials.gov lookup</w:t>
      </w:r>
    </w:p>
    <w:p>
      <w:pPr>
        <w:pStyle w:val="ListParagraph"/>
        <w:numPr>
          <w:ilvl w:val="0"/>
          <w:numId w:val="1"/>
        </w:numPr>
        <w:spacing w:after="60"/>
      </w:pPr>
      <w:r>
        <w:rPr>
          <w:b/>
          <w:bCs/>
        </w:rPr>
        <w:t xml:space="preserve">nhtsa-mcp</w:t>
      </w:r>
      <w:r>
        <w:t xml:space="preserve"> — NHTSA recall feed (AXLE RCL-04)</w:t>
      </w:r>
    </w:p>
    <w:p>
      <w:pPr>
        <w:pStyle w:val="ListParagraph"/>
        <w:numPr>
          <w:ilvl w:val="0"/>
          <w:numId w:val="1"/>
        </w:numPr>
        <w:spacing w:after="60"/>
      </w:pPr>
      <w:r>
        <w:rPr>
          <w:b/>
          <w:bCs/>
        </w:rPr>
        <w:t xml:space="preserve">scada-mcp</w:t>
      </w:r>
      <w:r>
        <w:t xml:space="preserve"> — SCADA telemetry adapters (ER GRD-02)</w:t>
      </w:r>
    </w:p>
    <w:p>
      <w:pPr>
        <w:pStyle w:val="ListParagraph"/>
        <w:numPr>
          <w:ilvl w:val="0"/>
          <w:numId w:val="1"/>
        </w:numPr>
        <w:spacing w:after="60"/>
      </w:pPr>
      <w:r>
        <w:rPr>
          <w:b/>
          <w:bCs/>
        </w:rPr>
        <w:t xml:space="preserve">sap-qm-mcp</w:t>
      </w:r>
      <w:r>
        <w:t xml:space="preserve"> — SAP Quality Management integration (AXLE QEX-02, RCL-04)</w:t>
      </w:r>
    </w:p>
    <w:p>
      <w:pPr>
        <w:pStyle w:val="Heading3"/>
        <w:spacing w:after="120" w:before="260"/>
      </w:pPr>
      <w:r>
        <w:rPr>
          <w:rFonts w:ascii="Aptos" w:cs="Aptos" w:eastAsia="Aptos" w:hAnsi="Aptos"/>
          <w:b/>
          <w:bCs/>
          <w:color w:val="0B111E"/>
          <w:sz w:val="24"/>
          <w:szCs w:val="24"/>
        </w:rPr>
        <w:t xml:space="preserve">D.1 MCP Server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Domain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mi-apex-&lt;practice&gt;-&lt;domain&gt;-mcp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Scoped to practice's tokenised Silver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Utility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mi-apex-&lt;practice&gt;-utility-mcp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Varies (tokenizer handles cleartext only via audit)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External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Functions or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mi-apex-&lt;practice&gt;-external-mcp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None inbound; may send tokenised data outbound</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D.2 Tool Discovery and Allow-List</w:t>
      </w:r>
    </w:p>
    <w:p>
      <w:pPr>
        <w:spacing w:after="140"/>
      </w:pPr>
      <w:r>
        <w:t xml:space="preserve">Every agent's manifest names the MCP tools it is authorised to call. Tools outside the allow-list return </w:t>
      </w:r>
      <w:r>
        <w:rPr>
          <w:rFonts w:ascii="Cascadia Mono" w:cs="Cascadia Mono" w:eastAsia="Cascadia Mono" w:hAnsi="Cascadia Mono"/>
          <w:color w:val="2B2B2B"/>
          <w:sz w:val="18"/>
          <w:szCs w:val="18"/>
        </w:rPr>
        <w:t xml:space="preserve">-32000</w:t>
      </w:r>
      <w:r>
        <w:t xml:space="preserve"> (tenant/auth error). Allow-lists are validated against the practice manifest at deploy time and cannot be silently expanded at runtime.</w:t>
      </w:r>
    </w:p>
    <w:p>
      <w:pPr>
        <w:spacing w:after="140"/>
      </w:pPr>
      <w:r>
        <w:t xml:space="preserve">Example agent manifest allow-list for </w:t>
      </w:r>
      <w:r>
        <w:rPr>
          <w:rFonts w:ascii="Cascadia Mono" w:cs="Cascadia Mono" w:eastAsia="Cascadia Mono" w:hAnsi="Cascadia Mono"/>
          <w:color w:val="2B2B2B"/>
          <w:sz w:val="18"/>
          <w:szCs w:val="18"/>
        </w:rPr>
        <w:t xml:space="preserve">SCM-A04 Cold Chain Telemetry Monitor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mcp_tools_allowed:</w:t>
            </w:r>
          </w:p>
          <w:p>
            <w:pPr>
              <w:spacing w:after="0" w:line="240"/>
            </w:pPr>
            <w:r>
              <w:rPr>
                <w:rFonts w:ascii="Cascadia Mono" w:cs="Cascadia Mono" w:eastAsia="Cascadia Mono" w:hAnsi="Cascadia Mono"/>
                <w:color w:val="1F2937"/>
                <w:sz w:val="18"/>
                <w:szCs w:val="18"/>
              </w:rPr>
              <w:t xml:space="preserve">  - fabric-mcp.read_cold_chain_telemetry</w:t>
            </w:r>
          </w:p>
          <w:p>
            <w:pPr>
              <w:spacing w:after="0" w:line="240"/>
            </w:pPr>
            <w:r>
              <w:rPr>
                <w:rFonts w:ascii="Cascadia Mono" w:cs="Cascadia Mono" w:eastAsia="Cascadia Mono" w:hAnsi="Cascadia Mono"/>
                <w:color w:val="1F2937"/>
                <w:sz w:val="18"/>
                <w:szCs w:val="18"/>
              </w:rPr>
              <w:t xml:space="preserve">  - fabric-mcp.read_excursion_events</w:t>
            </w:r>
          </w:p>
          <w:p>
            <w:pPr>
              <w:spacing w:after="0" w:line="240"/>
            </w:pPr>
            <w:r>
              <w:rPr>
                <w:rFonts w:ascii="Cascadia Mono" w:cs="Cascadia Mono" w:eastAsia="Cascadia Mono" w:hAnsi="Cascadia Mono"/>
                <w:color w:val="1F2937"/>
                <w:sz w:val="18"/>
                <w:szCs w:val="18"/>
              </w:rPr>
              <w:t xml:space="preserve">  - fda-mcp.lookup_threshold</w:t>
            </w:r>
          </w:p>
        </w:tc>
      </w:tr>
    </w:tbl>
    <w:p>
      <w:pPr>
        <w:spacing w:after="140"/>
      </w:pPr>
      <w:r>
        <w:t xml:space="preserve">Any attempt by the agent to call a tool outside this list is a runtime error with an App Insights trace attribute </w:t>
      </w:r>
      <w:r>
        <w:rPr>
          <w:rFonts w:ascii="Cascadia Mono" w:cs="Cascadia Mono" w:eastAsia="Cascadia Mono" w:hAnsi="Cascadia Mono"/>
          <w:color w:val="2B2B2B"/>
          <w:sz w:val="18"/>
          <w:szCs w:val="18"/>
        </w:rPr>
        <w:t xml:space="preserve">apex.policy.violation = tool_not_allowlisted</w:t>
      </w:r>
      <w:r>
        <w:t xml:space="preserve">.</w:t>
      </w:r>
    </w:p>
    <w:p>
      <w:pPr>
        <w:pStyle w:val="Heading3"/>
        <w:spacing w:after="120" w:before="260"/>
      </w:pPr>
      <w:r>
        <w:rPr>
          <w:rFonts w:ascii="Aptos" w:cs="Aptos" w:eastAsia="Aptos" w:hAnsi="Aptos"/>
          <w:b/>
          <w:bCs/>
          <w:color w:val="0B111E"/>
          <w:sz w:val="24"/>
          <w:szCs w:val="24"/>
        </w:rPr>
        <w:t xml:space="preserve">D.3 MCP Tool Contract Discipline</w:t>
      </w:r>
    </w:p>
    <w:p>
      <w:pPr>
        <w:spacing w:after="140"/>
      </w:pPr>
      <w:r>
        <w:t xml:space="preserve">Every MCP tool ships with four discipline gates:</w:t>
      </w:r>
    </w:p>
    <w:p>
      <w:pPr>
        <w:spacing w:after="140"/>
      </w:pPr>
      <w:r>
        <w:t xml:space="preserve">1. </w:t>
      </w:r>
      <w:r>
        <w:rPr>
          <w:b/>
          <w:bCs/>
        </w:rPr>
        <w:t xml:space="preserve">Typed input and output schemas</w:t>
      </w:r>
      <w:r>
        <w:t xml:space="preserve"> — agents rely on contract; untyped tools are rejected at ARB review 2. </w:t>
      </w:r>
      <w:r>
        <w:rPr>
          <w:b/>
          <w:bCs/>
        </w:rPr>
        <w:t xml:space="preserve">Documented error codes</w:t>
      </w:r>
      <w:r>
        <w:t xml:space="preserve"> — standardised </w:t>
      </w:r>
      <w:r>
        <w:rPr>
          <w:rFonts w:ascii="Cascadia Mono" w:cs="Cascadia Mono" w:eastAsia="Cascadia Mono" w:hAnsi="Cascadia Mono"/>
          <w:color w:val="2B2B2B"/>
          <w:sz w:val="18"/>
          <w:szCs w:val="18"/>
        </w:rPr>
        <w:t xml:space="preserve">-32602</w:t>
      </w:r>
      <w:r>
        <w:t xml:space="preserve"> (bad args), </w:t>
      </w:r>
      <w:r>
        <w:rPr>
          <w:rFonts w:ascii="Cascadia Mono" w:cs="Cascadia Mono" w:eastAsia="Cascadia Mono" w:hAnsi="Cascadia Mono"/>
          <w:color w:val="2B2B2B"/>
          <w:sz w:val="18"/>
          <w:szCs w:val="18"/>
        </w:rPr>
        <w:t xml:space="preserve">-32000</w:t>
      </w:r>
      <w:r>
        <w:t xml:space="preserve"> (scope), </w:t>
      </w:r>
      <w:r>
        <w:rPr>
          <w:rFonts w:ascii="Cascadia Mono" w:cs="Cascadia Mono" w:eastAsia="Cascadia Mono" w:hAnsi="Cascadia Mono"/>
          <w:color w:val="2B2B2B"/>
          <w:sz w:val="18"/>
          <w:szCs w:val="18"/>
        </w:rPr>
        <w:t xml:space="preserve">-32001</w:t>
      </w:r>
      <w:r>
        <w:t xml:space="preserve"> (transient), </w:t>
      </w:r>
      <w:r>
        <w:rPr>
          <w:rFonts w:ascii="Cascadia Mono" w:cs="Cascadia Mono" w:eastAsia="Cascadia Mono" w:hAnsi="Cascadia Mono"/>
          <w:color w:val="2B2B2B"/>
          <w:sz w:val="18"/>
          <w:szCs w:val="18"/>
        </w:rPr>
        <w:t xml:space="preserve">-32002</w:t>
      </w:r>
      <w:r>
        <w:t xml:space="preserve"> (not found), </w:t>
      </w:r>
      <w:r>
        <w:rPr>
          <w:rFonts w:ascii="Cascadia Mono" w:cs="Cascadia Mono" w:eastAsia="Cascadia Mono" w:hAnsi="Cascadia Mono"/>
          <w:color w:val="2B2B2B"/>
          <w:sz w:val="18"/>
          <w:szCs w:val="18"/>
        </w:rPr>
        <w:t xml:space="preserve">-32003</w:t>
      </w:r>
      <w:r>
        <w:t xml:space="preserve"> (DLP violation) 3. </w:t>
      </w:r>
      <w:r>
        <w:rPr>
          <w:b/>
          <w:bCs/>
        </w:rPr>
        <w:t xml:space="preserve">Per-tenant rate limits</w:t>
      </w:r>
      <w:r>
        <w:t xml:space="preserve"> — configured at Agent Service registration; prevents a runaway agent from storming Fabric 4. </w:t>
      </w:r>
      <w:r>
        <w:rPr>
          <w:b/>
          <w:bCs/>
        </w:rPr>
        <w:t xml:space="preserve">Trace instrumentation</w:t>
      </w:r>
      <w:r>
        <w:t xml:space="preserve"> — every call emits a span with </w:t>
      </w:r>
      <w:r>
        <w:rPr>
          <w:rFonts w:ascii="Cascadia Mono" w:cs="Cascadia Mono" w:eastAsia="Cascadia Mono" w:hAnsi="Cascadia Mono"/>
          <w:color w:val="2B2B2B"/>
          <w:sz w:val="18"/>
          <w:szCs w:val="18"/>
        </w:rPr>
        <w:t xml:space="preserve">tool_name</w:t>
      </w:r>
      <w:r>
        <w:t xml:space="preserve">, </w:t>
      </w:r>
      <w:r>
        <w:rPr>
          <w:rFonts w:ascii="Cascadia Mono" w:cs="Cascadia Mono" w:eastAsia="Cascadia Mono" w:hAnsi="Cascadia Mono"/>
          <w:color w:val="2B2B2B"/>
          <w:sz w:val="18"/>
          <w:szCs w:val="18"/>
        </w:rPr>
        <w:t xml:space="preserve">tenant_id</w:t>
      </w:r>
      <w:r>
        <w:t xml:space="preserve">, </w:t>
      </w:r>
      <w:r>
        <w:rPr>
          <w:rFonts w:ascii="Cascadia Mono" w:cs="Cascadia Mono" w:eastAsia="Cascadia Mono" w:hAnsi="Cascadia Mono"/>
          <w:color w:val="2B2B2B"/>
          <w:sz w:val="18"/>
          <w:szCs w:val="18"/>
        </w:rPr>
        <w:t xml:space="preserve">success</w:t>
      </w:r>
      <w:r>
        <w:t xml:space="preserve">, and </w:t>
      </w:r>
      <w:r>
        <w:rPr>
          <w:rFonts w:ascii="Cascadia Mono" w:cs="Cascadia Mono" w:eastAsia="Cascadia Mono" w:hAnsi="Cascadia Mono"/>
          <w:color w:val="2B2B2B"/>
          <w:sz w:val="18"/>
          <w:szCs w:val="18"/>
        </w:rPr>
        <w:t xml:space="preserve">duration_ms</w:t>
      </w:r>
    </w:p>
    <w:p>
      <w:pPr>
        <w:pStyle w:val="Heading3"/>
        <w:spacing w:after="120" w:before="260"/>
      </w:pPr>
      <w:r>
        <w:rPr>
          <w:rFonts w:ascii="Aptos" w:cs="Aptos" w:eastAsia="Aptos" w:hAnsi="Aptos"/>
          <w:b/>
          <w:bCs/>
          <w:color w:val="0B111E"/>
          <w:sz w:val="24"/>
          <w:szCs w:val="24"/>
        </w:rPr>
        <w:t xml:space="preserve">D.4 Representative Tool Signatures</w:t>
      </w:r>
    </w:p>
    <w:p>
      <w:pPr>
        <w:spacing w:after="140"/>
      </w:pPr>
      <w:r>
        <w:t xml:space="preserve">A sampling of representative MCP tool signatures across the catalogue (illustrative; full tool specs live in the per-Practice build specs):</w:t>
      </w:r>
    </w:p>
    <w:p>
      <w:pPr>
        <w:spacing w:after="140"/>
      </w:pPr>
      <w:r>
        <w:rPr>
          <w:b/>
          <w:bCs/>
        </w:rPr>
        <w:t xml:space="preserve">`fabric-mcp.read_cold_chain_telemetry(since: ISO-8601, store_id: string) → TelemetryReading[]`</w:t>
      </w:r>
      <w:r>
        <w:t xml:space="preserve"> Returns telemetry readings for a specific store since a timestamp. Used by SCM-A04.</w:t>
      </w:r>
    </w:p>
    <w:p>
      <w:pPr>
        <w:spacing w:after="140"/>
      </w:pPr>
      <w:r>
        <w:rPr>
          <w:b/>
          <w:bCs/>
        </w:rPr>
        <w:t xml:space="preserve">`fabric-mcp.read_excursion_events(store_id: string, window_hours: int) → ExcursionEvent[]`</w:t>
      </w:r>
      <w:r>
        <w:t xml:space="preserve"> Returns classified excursion events for a store within a window. Used by SCM-A04/A05.</w:t>
      </w:r>
    </w:p>
    <w:p>
      <w:pPr>
        <w:spacing w:after="140"/>
      </w:pPr>
      <w:r>
        <w:rPr>
          <w:b/>
          <w:bCs/>
        </w:rPr>
        <w:t xml:space="preserve">`fabric-mcp.read_store_inventory(store_id: string, sku_filter: string[] = []) → InventoryPosition[]`</w:t>
      </w:r>
      <w:r>
        <w:t xml:space="preserve"> Returns current inventory positions. Used by multiple RC services.</w:t>
      </w:r>
    </w:p>
    <w:p>
      <w:pPr>
        <w:spacing w:after="140"/>
      </w:pPr>
      <w:r>
        <w:rPr>
          <w:b/>
          <w:bCs/>
        </w:rPr>
        <w:t xml:space="preserve">`fda-mcp.lookup_threshold(product_category: string, substance: string) → ThresholdRecord`</w:t>
      </w:r>
      <w:r>
        <w:t xml:space="preserve"> Returns FDA-published safety thresholds for a product category. Used by SCM-A05.</w:t>
      </w:r>
    </w:p>
    <w:p>
      <w:pPr>
        <w:spacing w:after="140"/>
      </w:pPr>
      <w:r>
        <w:rPr>
          <w:b/>
          <w:bCs/>
        </w:rPr>
        <w:t xml:space="preserve">`fda-mcp.check_recall_match(lot_id: string) → RecallMatch | null`</w:t>
      </w:r>
      <w:r>
        <w:t xml:space="preserve"> Checks whether a lot matches an open recall. Used by SUP-04 and RCL-05.</w:t>
      </w:r>
    </w:p>
    <w:p>
      <w:pPr>
        <w:spacing w:after="140"/>
      </w:pPr>
      <w:r>
        <w:rPr>
          <w:b/>
          <w:bCs/>
        </w:rPr>
        <w:t xml:space="preserve">`tokenizer-mcp.tokenize(cleartext: string, category: string) → Token`</w:t>
      </w:r>
      <w:r>
        <w:t xml:space="preserve"> Produces a stable opaque token for a cleartext PII value.</w:t>
      </w:r>
    </w:p>
    <w:p>
      <w:pPr>
        <w:spacing w:after="140"/>
      </w:pPr>
      <w:r>
        <w:rPr>
          <w:b/>
          <w:bCs/>
        </w:rPr>
        <w:t xml:space="preserve">`tokenizer-mcp.reverse_tokenize(token: string) → CleartextResult`</w:t>
      </w:r>
      <w:r>
        <w:t xml:space="preserve"> Audit-logged reverse lookup; requires </w:t>
      </w:r>
      <w:r>
        <w:rPr>
          <w:rFonts w:ascii="Cascadia Mono" w:cs="Cascadia Mono" w:eastAsia="Cascadia Mono" w:hAnsi="Cascadia Mono"/>
          <w:color w:val="2B2B2B"/>
          <w:sz w:val="18"/>
          <w:szCs w:val="18"/>
        </w:rPr>
        <w:t xml:space="preserve">mi-apex-&lt;practice&gt;-pii-unlock</w:t>
      </w:r>
      <w:r>
        <w:t xml:space="preserve"> identity.</w:t>
      </w:r>
    </w:p>
    <w:p>
      <w:pPr>
        <w:spacing w:after="140"/>
      </w:pPr>
      <w:r>
        <w:rPr>
          <w:b/>
          <w:bCs/>
        </w:rPr>
        <w:t xml:space="preserve">`tokenizer-mcp.lookup_consent(customer_id: Token, purpose: string) → ConsentRecord`</w:t>
      </w:r>
      <w:r>
        <w:t xml:space="preserve"> Returns consent flags for a specific purpose; honoured by approvals-mcp and comms flows.</w:t>
      </w:r>
    </w:p>
    <w:p>
      <w:pPr>
        <w:spacing w:after="140"/>
      </w:pPr>
      <w:r>
        <w:rPr>
          <w:b/>
          <w:bCs/>
        </w:rPr>
        <w:t xml:space="preserve">`approvals-mcp.send_card(recipient_group: string, card: AdaptiveCard, timeout_min: int) → ApprovalHandle`</w:t>
      </w:r>
      <w:r>
        <w:t xml:space="preserve"> Sends a Teams adaptive card; returns a handle to poll.</w:t>
      </w:r>
    </w:p>
    <w:p>
      <w:pPr>
        <w:spacing w:after="140"/>
      </w:pPr>
      <w:r>
        <w:rPr>
          <w:b/>
          <w:bCs/>
        </w:rPr>
        <w:t xml:space="preserve">`approvals-mcp.poll_decision(handle: ApprovalHandle) → Decision | Pending | Timeout`</w:t>
      </w:r>
      <w:r>
        <w:t xml:space="preserve"> Polls for the decision state. Agent Service manages the polling cadence.</w:t>
      </w:r>
    </w:p>
    <w:p>
      <w:pPr>
        <w:spacing w:after="140"/>
      </w:pPr>
      <w:r>
        <w:rPr>
          <w:b/>
          <w:bCs/>
        </w:rPr>
        <w:t xml:space="preserve">`ledger-mcp.stage_writeoff(event_id: string, amount: USD, category: string, justification: string) → LedgerEntryId`</w:t>
      </w:r>
      <w:r>
        <w:t xml:space="preserve"> Stages a write-off entry; not promoted until HITL approval.</w:t>
      </w:r>
    </w:p>
    <w:p>
      <w:pPr>
        <w:spacing w:after="140"/>
      </w:pPr>
      <w:r>
        <w:rPr>
          <w:b/>
          <w:bCs/>
        </w:rPr>
        <w:t xml:space="preserve">`policy-mcp.resolve_gate(service_id: string, bump_class: string, tenant_id: string) → GateKind`</w:t>
      </w:r>
      <w:r>
        <w:t xml:space="preserve"> Given a service, a bump class, and a tenant, returns the gate kind per tenant policy.</w:t>
      </w:r>
    </w:p>
    <w:p>
      <w:pPr>
        <w:spacing w:after="140"/>
      </w:pPr>
      <w:r>
        <w:rPr>
          <w:b/>
          <w:bCs/>
        </w:rPr>
        <w:t xml:space="preserve">`policy-mcp.verify_tenant_access(caller_identity: string, tenant_id: string) → AccessGrant | Denial`</w:t>
      </w:r>
      <w:r>
        <w:t xml:space="preserve"> Verifies that a caller's managed identity has scope for the requested tenant.</w:t>
      </w:r>
    </w:p>
    <w:p>
      <w:pPr>
        <w:spacing w:after="140"/>
      </w:pPr>
      <w:r>
        <w:rPr>
          <w:b/>
          <w:bCs/>
        </w:rPr>
        <w:t xml:space="preserve">`telemetry-mcp.emit_decision_audit(operation_id: string, audit_row: DecisionAuditRecord)`</w:t>
      </w:r>
      <w:r>
        <w:t xml:space="preserve"> Writes the canonical audit row to </w:t>
      </w:r>
      <w:r>
        <w:rPr>
          <w:rFonts w:ascii="Cascadia Mono" w:cs="Cascadia Mono" w:eastAsia="Cascadia Mono" w:hAnsi="Cascadia Mono"/>
          <w:color w:val="2B2B2B"/>
          <w:sz w:val="18"/>
          <w:szCs w:val="18"/>
        </w:rPr>
        <w:t xml:space="preserve">silver_decision_audit</w:t>
      </w:r>
      <w:r>
        <w:t xml:space="preserve">.</w:t>
      </w:r>
    </w:p>
    <w:p>
      <w:pPr>
        <w:spacing w:after="140"/>
      </w:pPr>
      <w:r>
        <w:t xml:space="preserve">Each tool is tested against fixture data in the per-Practice test suite. Tool-contract changes are classified by </w:t>
      </w:r>
      <w:r>
        <w:rPr>
          <w:rFonts w:ascii="Cascadia Mono" w:cs="Cascadia Mono" w:eastAsia="Cascadia Mono" w:hAnsi="Cascadia Mono"/>
          <w:color w:val="2B2B2B"/>
          <w:sz w:val="18"/>
          <w:szCs w:val="18"/>
        </w:rPr>
        <w:t xml:space="preserve">classify-bump</w:t>
      </w:r>
      <w:r>
        <w:t xml:space="preserve"> and routed through the Architecture Review Board.</w:t>
      </w:r>
    </w:p>
    <w:p>
      <w:pPr>
        <w:pStyle w:val="Heading3"/>
        <w:spacing w:after="120" w:before="260"/>
      </w:pPr>
      <w:r>
        <w:rPr>
          <w:rFonts w:ascii="Aptos" w:cs="Aptos" w:eastAsia="Aptos" w:hAnsi="Aptos"/>
          <w:b/>
          <w:bCs/>
          <w:color w:val="0B111E"/>
          <w:sz w:val="24"/>
          <w:szCs w:val="24"/>
        </w:rPr>
        <w:t xml:space="preserve">D.5 Practice-Specific Tool Inventory</w:t>
      </w:r>
    </w:p>
    <w:p>
      <w:pPr>
        <w:spacing w:after="140"/>
      </w:pPr>
      <w:r>
        <w:rPr>
          <w:b/>
          <w:bCs/>
        </w:rPr>
        <w:t xml:space="preserve">RC domain MCPs:</w:t>
      </w:r>
      <w:r>
        <w:t xml:space="preserve"> 28 tools total</w:t>
      </w:r>
    </w:p>
    <w:p>
      <w:pPr>
        <w:pStyle w:val="ListParagraph"/>
        <w:numPr>
          <w:ilvl w:val="0"/>
          <w:numId w:val="1"/>
        </w:numPr>
        <w:spacing w:after="60"/>
      </w:pPr>
      <w:r>
        <w:t xml:space="preserve">scml-mcp: 9 read/query tools</w:t>
      </w:r>
    </w:p>
    <w:p>
      <w:pPr>
        <w:pStyle w:val="ListParagraph"/>
        <w:numPr>
          <w:ilvl w:val="0"/>
          <w:numId w:val="1"/>
        </w:numPr>
        <w:spacing w:after="60"/>
      </w:pPr>
      <w:r>
        <w:t xml:space="preserve">merml-mcp: 11 read/query tools</w:t>
      </w:r>
    </w:p>
    <w:p>
      <w:pPr>
        <w:pStyle w:val="ListParagraph"/>
        <w:numPr>
          <w:ilvl w:val="0"/>
          <w:numId w:val="1"/>
        </w:numPr>
        <w:spacing w:after="60"/>
      </w:pPr>
      <w:r>
        <w:t xml:space="preserve">cxml-mcp: 8 read/query tools</w:t>
      </w:r>
    </w:p>
    <w:p>
      <w:pPr>
        <w:spacing w:after="140"/>
      </w:pPr>
      <w:r>
        <w:rPr>
          <w:b/>
          <w:bCs/>
        </w:rPr>
        <w:t xml:space="preserve">HLS domain MCPs:</w:t>
      </w:r>
      <w:r>
        <w:t xml:space="preserve"> 24 tools total</w:t>
      </w:r>
    </w:p>
    <w:p>
      <w:pPr>
        <w:pStyle w:val="ListParagraph"/>
        <w:numPr>
          <w:ilvl w:val="0"/>
          <w:numId w:val="1"/>
        </w:numPr>
        <w:spacing w:after="60"/>
      </w:pPr>
      <w:r>
        <w:t xml:space="preserve">hlscml-mcp: 18 tools (PHI-tokenised reads across clinical entities)</w:t>
      </w:r>
    </w:p>
    <w:p>
      <w:pPr>
        <w:pStyle w:val="ListParagraph"/>
        <w:numPr>
          <w:ilvl w:val="0"/>
          <w:numId w:val="1"/>
        </w:numPr>
        <w:spacing w:after="60"/>
      </w:pPr>
      <w:r>
        <w:t xml:space="preserve">Shared scml-mcp subset: 6 tools (for pharmacy supply + recall services)</w:t>
      </w:r>
    </w:p>
    <w:p>
      <w:pPr>
        <w:spacing w:after="140"/>
      </w:pPr>
      <w:r>
        <w:rPr>
          <w:b/>
          <w:bCs/>
        </w:rPr>
        <w:t xml:space="preserve">ER domain MCPs:</w:t>
      </w:r>
      <w:r>
        <w:t xml:space="preserve"> 18 tools total</w:t>
      </w:r>
    </w:p>
    <w:p>
      <w:pPr>
        <w:pStyle w:val="ListParagraph"/>
        <w:numPr>
          <w:ilvl w:val="0"/>
          <w:numId w:val="1"/>
        </w:numPr>
        <w:spacing w:after="60"/>
      </w:pPr>
      <w:r>
        <w:t xml:space="preserve">ercml-mcp: 18 read/query/grid-state tools</w:t>
      </w:r>
    </w:p>
    <w:p>
      <w:pPr>
        <w:spacing w:after="140"/>
      </w:pPr>
      <w:r>
        <w:rPr>
          <w:b/>
          <w:bCs/>
        </w:rPr>
        <w:t xml:space="preserve">AXLE domain MCPs:</w:t>
      </w:r>
      <w:r>
        <w:t xml:space="preserve"> 14 tools total</w:t>
      </w:r>
    </w:p>
    <w:p>
      <w:pPr>
        <w:pStyle w:val="ListParagraph"/>
        <w:numPr>
          <w:ilvl w:val="0"/>
          <w:numId w:val="1"/>
        </w:numPr>
        <w:spacing w:after="60"/>
      </w:pPr>
      <w:r>
        <w:t xml:space="preserve">axlecml-mcp: 14 read/query tools</w:t>
      </w:r>
    </w:p>
    <w:p>
      <w:pPr>
        <w:spacing w:after="140"/>
      </w:pPr>
      <w:r>
        <w:rPr>
          <w:b/>
          <w:bCs/>
        </w:rPr>
        <w:t xml:space="preserve">TMT domain MCPs (preview):</w:t>
      </w:r>
      <w:r>
        <w:t xml:space="preserve"> 20 tools drafted across tmtml-mcp </w:t>
      </w:r>
      <w:r>
        <w:rPr>
          <w:b/>
          <w:bCs/>
        </w:rPr>
        <w:t xml:space="preserve">TH domain MCPs (preview):</w:t>
      </w:r>
      <w:r>
        <w:t xml:space="preserve"> 16 tools drafted across thml-mcp </w:t>
      </w:r>
      <w:r>
        <w:rPr>
          <w:b/>
          <w:bCs/>
        </w:rPr>
        <w:t xml:space="preserve">ICE domain MCPs (preview):</w:t>
      </w:r>
      <w:r>
        <w:t xml:space="preserve"> 15 tools drafted across iceml-mcp (many shared with axlecml and ercml)</w:t>
      </w:r>
    </w:p>
    <w:p>
      <w:pPr>
        <w:spacing w:after="140"/>
      </w:pPr>
      <w:r>
        <w:t xml:space="preserve">Total APEX tool catalogue: ~135 domain tools + 30+ utility and external tools = </w:t>
      </w:r>
      <w:r>
        <w:rPr>
          <w:b/>
          <w:bCs/>
        </w:rPr>
        <w:t xml:space="preserve">~165 MCP tools</w:t>
      </w:r>
      <w:r>
        <w:t xml:space="preserve"> across the platform.</w:t>
      </w:r>
    </w:p>
    <w:p>
      <w:pPr>
        <w:pStyle w:val="Heading3"/>
        <w:spacing w:after="120" w:before="260"/>
      </w:pPr>
      <w:r>
        <w:rPr>
          <w:rFonts w:ascii="Aptos" w:cs="Aptos" w:eastAsia="Aptos" w:hAnsi="Aptos"/>
          <w:b/>
          <w:bCs/>
          <w:color w:val="0B111E"/>
          <w:sz w:val="24"/>
          <w:szCs w:val="24"/>
        </w:rPr>
        <w:t xml:space="preserve">E.6 Exhaustive Tool Catalog — Domain MCP Servers</w:t>
      </w:r>
    </w:p>
    <w:p>
      <w:pPr>
        <w:spacing w:after="140"/>
      </w:pPr>
      <w:r>
        <w:t xml:space="preserve">This section enumerates every tool exposed by each domain MCP server, with input parameters, output shape, typical latency, and key error codes. The catalog is the normative reference consulted during agent-manifest authoring (determining </w:t>
      </w:r>
      <w:r>
        <w:rPr>
          <w:rFonts w:ascii="Cascadia Mono" w:cs="Cascadia Mono" w:eastAsia="Cascadia Mono" w:hAnsi="Cascadia Mono"/>
          <w:color w:val="2B2B2B"/>
          <w:sz w:val="18"/>
          <w:szCs w:val="18"/>
        </w:rPr>
        <w:t xml:space="preserve">mcp_tools_allowed</w:t>
      </w:r>
      <w:r>
        <w:t xml:space="preserve">) and during security reviews (scoping permission grants).</w:t>
      </w:r>
    </w:p>
    <w:p>
      <w:pPr>
        <w:pStyle w:val="Heading4"/>
        <w:spacing w:after="100" w:before="220"/>
      </w:pPr>
      <w:r>
        <w:rPr>
          <w:rFonts w:ascii="Aptos" w:cs="Aptos" w:eastAsia="Aptos" w:hAnsi="Aptos"/>
          <w:b/>
          <w:bCs/>
          <w:color w:val="0B111E"/>
          <w:sz w:val="20"/>
          <w:szCs w:val="20"/>
        </w:rPr>
        <w:t xml:space="preserve">scml-mcp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read_cold_chain_telemetry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Readings since timestamp for a store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since: ISO-8601, store_id: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TelemetryReading[]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r>
              <w:t xml:space="preserve"> bad store_id · </w:t>
            </w:r>
            <w:r>
              <w:rPr>
                <w:rFonts w:ascii="Cascadia Mono" w:cs="Cascadia Mono" w:eastAsia="Cascadia Mono" w:hAnsi="Cascadia Mono"/>
                <w:color w:val="2B2B2B"/>
                <w:sz w:val="18"/>
                <w:szCs w:val="18"/>
              </w:rPr>
              <w:t xml:space="preserve">-32001</w:t>
            </w:r>
            <w:r>
              <w:t xml:space="preserve"> fabric transient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read_excursion_events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Classified excursions within 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ExcursionEvent[]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read_lot_trace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Forward/backward trace for a lot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lot_id: str, direction: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TraceResult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r>
              <w:t xml:space="preserve"> lot not found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read_asn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ASN record by id or PO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asn_id?: str, po_number?: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AdvanceShipNotice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read_receiving_variance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Variance records for store/window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ReceivingDiscrepancy[]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read_recall_notice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Active recall by lot or FDA ref</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lot_id?: str, fda_ref?: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read_dsd_invoice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DSD invoice records + vendor 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vendor_id: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DsdInvoiceRecord[]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read_lot_expiration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Expiry candidates per store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days_ahead: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LotExpirationState[]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trace_forward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 trace forward (E2E)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supplier_lot_id: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ProductTimelineRows[]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r>
              <w:t xml:space="preserve"> · </w:t>
            </w:r>
            <w:r>
              <w:rPr>
                <w:rFonts w:ascii="Cascadia Mono" w:cs="Cascadia Mono" w:eastAsia="Cascadia Mono" w:hAnsi="Cascadia Mono"/>
                <w:color w:val="2B2B2B"/>
                <w:sz w:val="18"/>
                <w:szCs w:val="18"/>
              </w:rPr>
              <w:t xml:space="preserve">-32001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trace_backward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 trace backward from unit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unit_id?, pos_txn_id?, incident_id?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ProductTimeline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r>
              <w:t xml:space="preserve"> · </w:t>
            </w: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trace_lateral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Sibling lots from supplier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supplier_id: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LotGroup[]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trace_point_in_time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 state at historical moment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trace_key: obj, timestamp: ISO-8601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5–15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merml-mcp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read_store_inventory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Current inventory per SKU</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sku_filter?: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InventoryPosition[]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read_price_record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Scheduled + effective price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sku?: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PriceRecord[]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read_tag_status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 gateway + per-tag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gateway_id?: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TagStatus[]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read_promotion_activation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Promo schedule vs observed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promo_id?: str, store_id?: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PromotionState[]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read_osa_event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Phantom-OOS detections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OsaEvent[]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read_pos_void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Void records with anomaly scoring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PosVoidRecord[]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read_shrink_event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Correlated shrink patterns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category?: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ShrinkEvent[]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read_cycle_count_variance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Variance records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category?: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CycleCountVariance[]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read_markdown_event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Markdown records with disposition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MarkdownEvent[]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read_waste_event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Destroyed/expired 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WasteEvent[]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read_vendor_pattern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90-day vendor variance score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vendor_id: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VendorPatternScore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cxml-mcp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read_fulfillment_order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Order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order_id: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FulfillmentOrder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read_pick_exception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Pick exception records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PickException[]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read_substitution_event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Substitution candidates + outcomes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order_id?: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SubstitutionEvent[]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read_loyalty_state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Tokenised customer loyalty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-32000</w:t>
            </w:r>
            <w:r>
              <w:t xml:space="preserve"> scope · </w:t>
            </w: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read_customer_incident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Active incidents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store_id?: str, tier?: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read_interaction_history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Interaction log (tokenised)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InteractionRecord[]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search_cross_store_pattern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Cross-store lot-level 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CrossStoreMatch[]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read_substitution_candidates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Scored substitutes for SKU</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sku: str, customer_segment?: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SubstitutionCandidate[]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hlscml-mcp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read_patient_encounter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Encounter record (PHI-tokenised)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patient_id_tkn: str, encounter_id?: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PatientEncounter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-32000</w:t>
            </w:r>
            <w:r>
              <w:t xml:space="preserve"> scope · </w:t>
            </w: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read_clinical_observation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Structured observations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encounter_id: str, obs_type?: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ClinicalObservation[]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read_care_plan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Care-plan milestones + orders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encounter_id: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CarePlanRecord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read_vitals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Vitals stream (latest/window)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encounter_id: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VitalsSeries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read_lab_result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Lab results for encounter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encounter_id: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LabResult[]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read_claim_denial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Denial records with payer reason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provider_id: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ClaimDenial[]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read_coding_record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ICD/CPT/HCPCS coding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encounter_id: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CodingRecord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search_denial_pattern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Payer denial-type pattern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payer_id: str, denial_class: enum,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DenialPattern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read_trial_protocol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 eligibility details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TrialProtocol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read_eligibility_criteria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Structured inclusion/exclusion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EligibilityCriteria[]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match_patient_to_trials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Reasoning-tier eligibility scoring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patient_id_tkn: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TrialMatch[]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read_patient_safety_event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Safety events with severity 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unit?: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PatientSafetyEvent[]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read_incident_classification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Regulatory-reportability 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incident_id: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IncidentClassification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read_lot_expiration_pharmacy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expiry candidates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facility_id: str, days_ahead: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LotExpirationState[]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check_recall_intersection_pharmacy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recall intersection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InventoryIntersection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ercml-mcp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read_meter_reading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AMI reads for meter/window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MeterReading[]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read_outage_event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Outage records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OutageEvent[]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read_grid_anomaly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SCADA-derived anomalies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substation_id?: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read_scada_telemetry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Real-time substation 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substation_id: str, since: ISO-8601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ScadaTelemetry[]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ms (KQL)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read_customer_service_state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energisation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read_billing_exception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anomalies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account_id_tkn?: str, class?: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BillingException[]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read_rate_schedule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Current + scheduled rate structures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rate_class: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RateSchedule[]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read_work_order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work orders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crew_id?: str, status?: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read_crew_state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Crew location + certifications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CrewState[]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read_asset_health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Distribution asset condition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asset_id?: str, feeder_id?: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AssetHealthSignal[]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read_regulatory_event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FERC/PUC reportable events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read_reliability_metric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SAIDI/SAIFI/CAIDI records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period: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ReliabilityMetric[]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match_crew_to_workorder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Crew-skills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work_order_id: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CrewRecommendation[]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forecast_load_shape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Load-shape predictions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feeder_id: str, horizon_hours: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LoadShapeForecast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axlecml-mcp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read_production_event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Production events for line/window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ProductionEvent[]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read_asset_health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Equipment health signals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line_id?: str, asset_id?: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AssetHealthSignal[]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read_material_flow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Material arrival/consumption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MaterialFlowEvent[]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read_quality_excursion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SPC excursions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line_id: str, window_hours: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QualityExcursion[]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read_genealogy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Forward/backward part genealogy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unit_id: str, direction: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GenealogyRecord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read_product_lot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 records + material traceability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lot_id: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ProductLot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-32002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read_supplier_event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Supplier disruption records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supplier_id?: str,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SupplierEvent[]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read_purchase_order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po_id?: str, supplier_id?: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PurchaseOrder[]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read_inventory_position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Per-location 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location_id: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InventoryPosition[]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read_recall_notice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Active recalls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recall_id?: str, status?: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RecallNotice[]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read_shipment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Outbound shipment tracking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shipment_id?: str, lot_id?: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Shipment[]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read_kpi_snapshot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OEE/yield/scrap rollups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period: enum, line_id?: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KpiSnapshot[]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-32602</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E.7 Exhaustive Tool Catalog — Utility MCP Servers</w:t>
      </w:r>
    </w:p>
    <w:p>
      <w:pPr>
        <w:pStyle w:val="Heading4"/>
        <w:spacing w:after="100" w:before="220"/>
      </w:pPr>
      <w:r>
        <w:rPr>
          <w:rFonts w:ascii="Aptos" w:cs="Aptos" w:eastAsia="Aptos" w:hAnsi="Aptos"/>
          <w:b/>
          <w:bCs/>
          <w:color w:val="0B111E"/>
          <w:sz w:val="20"/>
          <w:szCs w:val="20"/>
        </w:rPr>
        <w:t xml:space="preserve">fabric-mcp — Gold-View Gateway</w:t>
      </w:r>
    </w:p>
    <w:p>
      <w:pPr>
        <w:spacing w:after="140"/>
      </w:pPr>
      <w:r>
        <w:t xml:space="preserve">Beyond the domain-specific tools above (which all route through fabric-mcp physically), this server also exposes cross-schema utility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gold_view_read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Direct Gold view read with RLS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view_name: str, predicate?: SqlFilter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RowSet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silver_read_with_scope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Rare Silver direct read (audit-flagged)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table: str, key_filter: obj</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RowSet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schema_inventory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List available Gold views + columns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SchemaInventory</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policy-mcp — Gate Resolution &amp; Access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resolve_gate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Bump-class → gate kind per tenant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service_id, bump_class, tenant_id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GateKind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get_upgrade_policy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Tenant's upgrade policy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tenant_id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UpgradePolicy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verify_tenant_access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Managed-identity scope check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caller_identity, tenant_id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AccessGrant/Denial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check_persona_authority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Is persona authorised for this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persona_id, gate_kind, service_id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AuthorityResult</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telemetry-mcp — Trace &amp; Audit Emission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emit_trace_event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Span under agent operation_Id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operation_id, event_type, attrs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emit_decision_audit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audit row write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operation_id, audit_row: DecisionAuditRecord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emit_drift_alert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Flag manifest or data 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manifest_version, drift_detail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emit_security_event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Security-relevant event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severity, event_type, detail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approvals-mcp — Human Approval Orchestration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send_card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Teams adaptive card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recipient_group, card: AdaptiveCard, timeout_min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ApprovalHandle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poll_decision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Poll decision state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handle: ApprovalHandle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Decision/Pending/Timeout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escalate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Elevate to escalation path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handle, escalation_reason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send_ack_notification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Non-blocking ACK_ONLY notify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recipient_group, summary: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get_decision_history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Historical decisions for operator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operator_oid, window_days: 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DecisionHistoryRecord[]</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tokenizer-mcp — PII Tokenisation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tokenize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Cleartext → token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cleartext: str, category: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reverse_tokenize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 → cleartext (audit-logged)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 str, purpose: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CleartextResult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lookup_consent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 flags for customer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purpose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ConsentRecord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consent_check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ALLOW/DENY decision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data_class, purpose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ConsentResult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bulk_tokenize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Batch tokenisation for Silver transforms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cleartext_batch: str[], category: str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rotate_tokens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 rotation for right-to-erasure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new_scope_spec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RotationResult</w:t>
            </w:r>
          </w:p>
        </w:tc>
      </w:tr>
    </w:tbl>
    <w:p>
      <w:pPr>
        <w:spacing w:after="120"/>
      </w:pPr>
      <w:r>
        <w:t xml:space="preserve"/>
      </w:r>
    </w:p>
    <w:p>
      <w:pPr>
        <w:pStyle w:val="Heading4"/>
        <w:spacing w:after="100" w:before="220"/>
      </w:pPr>
      <w:r>
        <w:rPr>
          <w:rFonts w:ascii="Aptos" w:cs="Aptos" w:eastAsia="Aptos" w:hAnsi="Aptos"/>
          <w:b/>
          <w:bCs/>
          <w:color w:val="0B111E"/>
          <w:sz w:val="20"/>
          <w:szCs w:val="20"/>
        </w:rPr>
        <w:t xml:space="preserve">ledger-mcp — Write-Back Staging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stage_writeoff</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Stage inventory write-off</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event_id, amount_usd, category, justification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LedgerEntryId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stage_credit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Stage customer credit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customer_id_tkn, amount_usd, reason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LedgerEntryId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stage_correction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Stage price/inventory correction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correction: CorrectionSpec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LedgerEntryId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stage_dispute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Stage vendor dispute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vendor_id, dispute: DisputeSpec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LedgerEntryId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promote_staged_entry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Promote post-HITL approval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ledger_entry_id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PromotionResult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unstage_entry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Cancel staged entry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ledger_entry_id, reason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E.8 Exhaustive Tool Catalog — External MCP Servers</w:t>
      </w:r>
    </w:p>
    <w:p>
      <w:pPr>
        <w:spacing w:after="140"/>
      </w:pPr>
      <w:r>
        <w:t xml:space="preserve">External MCPs wrap third-party / regulatory / partner systems. Each exposes a small focused tool-set.</w:t>
      </w:r>
    </w:p>
    <w:p>
      <w:pPr>
        <w:spacing w:after="140"/>
      </w:pPr>
      <w:r>
        <w:rPr>
          <w:b/>
          <w:bCs/>
        </w:rPr>
        <w:t xml:space="preserve">`fda-mcp`:</w:t>
      </w:r>
      <w:r>
        <w:t xml:space="preserve"> </w:t>
      </w:r>
      <w:r>
        <w:rPr>
          <w:rFonts w:ascii="Cascadia Mono" w:cs="Cascadia Mono" w:eastAsia="Cascadia Mono" w:hAnsi="Cascadia Mono"/>
          <w:color w:val="2B2B2B"/>
          <w:sz w:val="18"/>
          <w:szCs w:val="18"/>
        </w:rPr>
        <w:t xml:space="preserve">lookup_threshold</w:t>
      </w:r>
      <w:r>
        <w:t xml:space="preserve">, </w:t>
      </w:r>
      <w:r>
        <w:rPr>
          <w:rFonts w:ascii="Cascadia Mono" w:cs="Cascadia Mono" w:eastAsia="Cascadia Mono" w:hAnsi="Cascadia Mono"/>
          <w:color w:val="2B2B2B"/>
          <w:sz w:val="18"/>
          <w:szCs w:val="18"/>
        </w:rPr>
        <w:t xml:space="preserve">check_recall_match</w:t>
      </w:r>
      <w:r>
        <w:t xml:space="preserve">, </w:t>
      </w:r>
      <w:r>
        <w:rPr>
          <w:rFonts w:ascii="Cascadia Mono" w:cs="Cascadia Mono" w:eastAsia="Cascadia Mono" w:hAnsi="Cascadia Mono"/>
          <w:color w:val="2B2B2B"/>
          <w:sz w:val="18"/>
          <w:szCs w:val="18"/>
        </w:rPr>
        <w:t xml:space="preserve">search_active_recalls</w:t>
      </w:r>
      <w:r>
        <w:t xml:space="preserve">, </w:t>
      </w:r>
      <w:r>
        <w:rPr>
          <w:rFonts w:ascii="Cascadia Mono" w:cs="Cascadia Mono" w:eastAsia="Cascadia Mono" w:hAnsi="Cascadia Mono"/>
          <w:color w:val="2B2B2B"/>
          <w:sz w:val="18"/>
          <w:szCs w:val="18"/>
        </w:rPr>
        <w:t xml:space="preserve">get_recall_details</w:t>
      </w:r>
      <w:r>
        <w:t xml:space="preserve">, </w:t>
      </w:r>
      <w:r>
        <w:rPr>
          <w:rFonts w:ascii="Cascadia Mono" w:cs="Cascadia Mono" w:eastAsia="Cascadia Mono" w:hAnsi="Cascadia Mono"/>
          <w:color w:val="2B2B2B"/>
          <w:sz w:val="18"/>
          <w:szCs w:val="18"/>
        </w:rPr>
        <w:t xml:space="preserve">subscribe_recall_feed</w:t>
      </w:r>
      <w:r>
        <w:t xml:space="preserve">.</w:t>
      </w:r>
    </w:p>
    <w:p>
      <w:pPr>
        <w:spacing w:after="140"/>
      </w:pPr>
      <w:r>
        <w:rPr>
          <w:b/>
          <w:bCs/>
        </w:rPr>
        <w:t xml:space="preserve">`ferc-mcp`:</w:t>
      </w:r>
      <w:r>
        <w:t xml:space="preserve"> </w:t>
      </w:r>
      <w:r>
        <w:rPr>
          <w:rFonts w:ascii="Cascadia Mono" w:cs="Cascadia Mono" w:eastAsia="Cascadia Mono" w:hAnsi="Cascadia Mono"/>
          <w:color w:val="2B2B2B"/>
          <w:sz w:val="18"/>
          <w:szCs w:val="18"/>
        </w:rPr>
        <w:t xml:space="preserve">lookup_reporting_obligation</w:t>
      </w:r>
      <w:r>
        <w:t xml:space="preserve">, </w:t>
      </w:r>
      <w:r>
        <w:rPr>
          <w:rFonts w:ascii="Cascadia Mono" w:cs="Cascadia Mono" w:eastAsia="Cascadia Mono" w:hAnsi="Cascadia Mono"/>
          <w:color w:val="2B2B2B"/>
          <w:sz w:val="18"/>
          <w:szCs w:val="18"/>
        </w:rPr>
        <w:t xml:space="preserve">get_filing_template</w:t>
      </w:r>
      <w:r>
        <w:t xml:space="preserve">, </w:t>
      </w:r>
      <w:r>
        <w:rPr>
          <w:rFonts w:ascii="Cascadia Mono" w:cs="Cascadia Mono" w:eastAsia="Cascadia Mono" w:hAnsi="Cascadia Mono"/>
          <w:color w:val="2B2B2B"/>
          <w:sz w:val="18"/>
          <w:szCs w:val="18"/>
        </w:rPr>
        <w:t xml:space="preserve">submit_filing_draft</w:t>
      </w:r>
      <w:r>
        <w:t xml:space="preserve">, </w:t>
      </w:r>
      <w:r>
        <w:rPr>
          <w:rFonts w:ascii="Cascadia Mono" w:cs="Cascadia Mono" w:eastAsia="Cascadia Mono" w:hAnsi="Cascadia Mono"/>
          <w:color w:val="2B2B2B"/>
          <w:sz w:val="18"/>
          <w:szCs w:val="18"/>
        </w:rPr>
        <w:t xml:space="preserve">get_filing_status</w:t>
      </w:r>
      <w:r>
        <w:t xml:space="preserve">.</w:t>
      </w:r>
    </w:p>
    <w:p>
      <w:pPr>
        <w:spacing w:after="140"/>
      </w:pPr>
      <w:r>
        <w:rPr>
          <w:b/>
          <w:bCs/>
        </w:rPr>
        <w:t xml:space="preserve">`edi-mcp`:</w:t>
      </w:r>
      <w:r>
        <w:t xml:space="preserve"> </w:t>
      </w:r>
      <w:r>
        <w:rPr>
          <w:rFonts w:ascii="Cascadia Mono" w:cs="Cascadia Mono" w:eastAsia="Cascadia Mono" w:hAnsi="Cascadia Mono"/>
          <w:color w:val="2B2B2B"/>
          <w:sz w:val="18"/>
          <w:szCs w:val="18"/>
        </w:rPr>
        <w:t xml:space="preserve">parse_856</w:t>
      </w:r>
      <w:r>
        <w:t xml:space="preserve">, </w:t>
      </w:r>
      <w:r>
        <w:rPr>
          <w:rFonts w:ascii="Cascadia Mono" w:cs="Cascadia Mono" w:eastAsia="Cascadia Mono" w:hAnsi="Cascadia Mono"/>
          <w:color w:val="2B2B2B"/>
          <w:sz w:val="18"/>
          <w:szCs w:val="18"/>
        </w:rPr>
        <w:t xml:space="preserve">parse_850</w:t>
      </w:r>
      <w:r>
        <w:t xml:space="preserve">, </w:t>
      </w:r>
      <w:r>
        <w:rPr>
          <w:rFonts w:ascii="Cascadia Mono" w:cs="Cascadia Mono" w:eastAsia="Cascadia Mono" w:hAnsi="Cascadia Mono"/>
          <w:color w:val="2B2B2B"/>
          <w:sz w:val="18"/>
          <w:szCs w:val="18"/>
        </w:rPr>
        <w:t xml:space="preserve">parse_810</w:t>
      </w:r>
      <w:r>
        <w:t xml:space="preserve">, </w:t>
      </w:r>
      <w:r>
        <w:rPr>
          <w:rFonts w:ascii="Cascadia Mono" w:cs="Cascadia Mono" w:eastAsia="Cascadia Mono" w:hAnsi="Cascadia Mono"/>
          <w:color w:val="2B2B2B"/>
          <w:sz w:val="18"/>
          <w:szCs w:val="18"/>
        </w:rPr>
        <w:t xml:space="preserve">send_dispute_812</w:t>
      </w:r>
      <w:r>
        <w:t xml:space="preserve">, </w:t>
      </w:r>
      <w:r>
        <w:rPr>
          <w:rFonts w:ascii="Cascadia Mono" w:cs="Cascadia Mono" w:eastAsia="Cascadia Mono" w:hAnsi="Cascadia Mono"/>
          <w:color w:val="2B2B2B"/>
          <w:sz w:val="18"/>
          <w:szCs w:val="18"/>
        </w:rPr>
        <w:t xml:space="preserve">get_interchange_status</w:t>
      </w:r>
      <w:r>
        <w:t xml:space="preserve">.</w:t>
      </w:r>
    </w:p>
    <w:p>
      <w:pPr>
        <w:spacing w:after="140"/>
      </w:pPr>
      <w:r>
        <w:rPr>
          <w:b/>
          <w:bCs/>
        </w:rPr>
        <w:t xml:space="preserve">`pharma-recall-mcp`:</w:t>
      </w:r>
      <w:r>
        <w:t xml:space="preserve"> </w:t>
      </w:r>
      <w:r>
        <w:rPr>
          <w:rFonts w:ascii="Cascadia Mono" w:cs="Cascadia Mono" w:eastAsia="Cascadia Mono" w:hAnsi="Cascadia Mono"/>
          <w:color w:val="2B2B2B"/>
          <w:sz w:val="18"/>
          <w:szCs w:val="18"/>
        </w:rPr>
        <w:t xml:space="preserve">lookup_pharma_recall</w:t>
      </w:r>
      <w:r>
        <w:t xml:space="preserve">, </w:t>
      </w:r>
      <w:r>
        <w:rPr>
          <w:rFonts w:ascii="Cascadia Mono" w:cs="Cascadia Mono" w:eastAsia="Cascadia Mono" w:hAnsi="Cascadia Mono"/>
          <w:color w:val="2B2B2B"/>
          <w:sz w:val="18"/>
          <w:szCs w:val="18"/>
        </w:rPr>
        <w:t xml:space="preserve">check_lot_match</w:t>
      </w:r>
      <w:r>
        <w:t xml:space="preserve">, </w:t>
      </w:r>
      <w:r>
        <w:rPr>
          <w:rFonts w:ascii="Cascadia Mono" w:cs="Cascadia Mono" w:eastAsia="Cascadia Mono" w:hAnsi="Cascadia Mono"/>
          <w:color w:val="2B2B2B"/>
          <w:sz w:val="18"/>
          <w:szCs w:val="18"/>
        </w:rPr>
        <w:t xml:space="preserve">subscribe_pharma_feed</w:t>
      </w:r>
      <w:r>
        <w:t xml:space="preserve">.</w:t>
      </w:r>
    </w:p>
    <w:p>
      <w:pPr>
        <w:spacing w:after="140"/>
      </w:pPr>
      <w:r>
        <w:rPr>
          <w:b/>
          <w:bCs/>
        </w:rPr>
        <w:t xml:space="preserve">`trials-registry-mcp`:</w:t>
      </w:r>
      <w:r>
        <w:t xml:space="preserve"> </w:t>
      </w:r>
      <w:r>
        <w:rPr>
          <w:rFonts w:ascii="Cascadia Mono" w:cs="Cascadia Mono" w:eastAsia="Cascadia Mono" w:hAnsi="Cascadia Mono"/>
          <w:color w:val="2B2B2B"/>
          <w:sz w:val="18"/>
          <w:szCs w:val="18"/>
        </w:rPr>
        <w:t xml:space="preserve">search_open_trials</w:t>
      </w:r>
      <w:r>
        <w:t xml:space="preserve">, </w:t>
      </w:r>
      <w:r>
        <w:rPr>
          <w:rFonts w:ascii="Cascadia Mono" w:cs="Cascadia Mono" w:eastAsia="Cascadia Mono" w:hAnsi="Cascadia Mono"/>
          <w:color w:val="2B2B2B"/>
          <w:sz w:val="18"/>
          <w:szCs w:val="18"/>
        </w:rPr>
        <w:t xml:space="preserve">get_trial_detail</w:t>
      </w:r>
      <w:r>
        <w:t xml:space="preserve">, </w:t>
      </w:r>
      <w:r>
        <w:rPr>
          <w:rFonts w:ascii="Cascadia Mono" w:cs="Cascadia Mono" w:eastAsia="Cascadia Mono" w:hAnsi="Cascadia Mono"/>
          <w:color w:val="2B2B2B"/>
          <w:sz w:val="18"/>
          <w:szCs w:val="18"/>
        </w:rPr>
        <w:t xml:space="preserve">get_site_activation_status</w:t>
      </w:r>
      <w:r>
        <w:t xml:space="preserve">.</w:t>
      </w:r>
    </w:p>
    <w:p>
      <w:pPr>
        <w:spacing w:after="140"/>
      </w:pPr>
      <w:r>
        <w:rPr>
          <w:b/>
          <w:bCs/>
        </w:rPr>
        <w:t xml:space="preserve">`nhtsa-mcp`:</w:t>
      </w:r>
      <w:r>
        <w:t xml:space="preserve"> </w:t>
      </w:r>
      <w:r>
        <w:rPr>
          <w:rFonts w:ascii="Cascadia Mono" w:cs="Cascadia Mono" w:eastAsia="Cascadia Mono" w:hAnsi="Cascadia Mono"/>
          <w:color w:val="2B2B2B"/>
          <w:sz w:val="18"/>
          <w:szCs w:val="18"/>
        </w:rPr>
        <w:t xml:space="preserve">lookup_safety_recall</w:t>
      </w:r>
      <w:r>
        <w:t xml:space="preserve">, </w:t>
      </w:r>
      <w:r>
        <w:rPr>
          <w:rFonts w:ascii="Cascadia Mono" w:cs="Cascadia Mono" w:eastAsia="Cascadia Mono" w:hAnsi="Cascadia Mono"/>
          <w:color w:val="2B2B2B"/>
          <w:sz w:val="18"/>
          <w:szCs w:val="18"/>
        </w:rPr>
        <w:t xml:space="preserve">submit_recall_notification</w:t>
      </w:r>
      <w:r>
        <w:t xml:space="preserve">, </w:t>
      </w:r>
      <w:r>
        <w:rPr>
          <w:rFonts w:ascii="Cascadia Mono" w:cs="Cascadia Mono" w:eastAsia="Cascadia Mono" w:hAnsi="Cascadia Mono"/>
          <w:color w:val="2B2B2B"/>
          <w:sz w:val="18"/>
          <w:szCs w:val="18"/>
        </w:rPr>
        <w:t xml:space="preserve">get_investigation_status</w:t>
      </w:r>
      <w:r>
        <w:t xml:space="preserve">.</w:t>
      </w:r>
    </w:p>
    <w:p>
      <w:pPr>
        <w:spacing w:after="140"/>
      </w:pPr>
      <w:r>
        <w:rPr>
          <w:b/>
          <w:bCs/>
        </w:rPr>
        <w:t xml:space="preserve">`scada-mcp`:</w:t>
      </w:r>
      <w:r>
        <w:t xml:space="preserve"> </w:t>
      </w:r>
      <w:r>
        <w:rPr>
          <w:rFonts w:ascii="Cascadia Mono" w:cs="Cascadia Mono" w:eastAsia="Cascadia Mono" w:hAnsi="Cascadia Mono"/>
          <w:color w:val="2B2B2B"/>
          <w:sz w:val="18"/>
          <w:szCs w:val="18"/>
        </w:rPr>
        <w:t xml:space="preserve">subscribe_feeder_telemetry</w:t>
      </w:r>
      <w:r>
        <w:t xml:space="preserve">, </w:t>
      </w:r>
      <w:r>
        <w:rPr>
          <w:rFonts w:ascii="Cascadia Mono" w:cs="Cascadia Mono" w:eastAsia="Cascadia Mono" w:hAnsi="Cascadia Mono"/>
          <w:color w:val="2B2B2B"/>
          <w:sz w:val="18"/>
          <w:szCs w:val="18"/>
        </w:rPr>
        <w:t xml:space="preserve">issue_operator_command</w:t>
      </w:r>
      <w:r>
        <w:t xml:space="preserve">, </w:t>
      </w:r>
      <w:r>
        <w:rPr>
          <w:rFonts w:ascii="Cascadia Mono" w:cs="Cascadia Mono" w:eastAsia="Cascadia Mono" w:hAnsi="Cascadia Mono"/>
          <w:color w:val="2B2B2B"/>
          <w:sz w:val="18"/>
          <w:szCs w:val="18"/>
        </w:rPr>
        <w:t xml:space="preserve">get_topology_snapshot</w:t>
      </w:r>
      <w:r>
        <w:t xml:space="preserve">.</w:t>
      </w:r>
    </w:p>
    <w:p>
      <w:pPr>
        <w:spacing w:after="140"/>
      </w:pPr>
      <w:r>
        <w:rPr>
          <w:b/>
          <w:bCs/>
        </w:rPr>
        <w:t xml:space="preserve">`sap-qm-mcp`:</w:t>
      </w:r>
      <w:r>
        <w:t xml:space="preserve"> </w:t>
      </w:r>
      <w:r>
        <w:rPr>
          <w:rFonts w:ascii="Cascadia Mono" w:cs="Cascadia Mono" w:eastAsia="Cascadia Mono" w:hAnsi="Cascadia Mono"/>
          <w:color w:val="2B2B2B"/>
          <w:sz w:val="18"/>
          <w:szCs w:val="18"/>
        </w:rPr>
        <w:t xml:space="preserve">read_quality_notification</w:t>
      </w:r>
      <w:r>
        <w:t xml:space="preserve">, </w:t>
      </w:r>
      <w:r>
        <w:rPr>
          <w:rFonts w:ascii="Cascadia Mono" w:cs="Cascadia Mono" w:eastAsia="Cascadia Mono" w:hAnsi="Cascadia Mono"/>
          <w:color w:val="2B2B2B"/>
          <w:sz w:val="18"/>
          <w:szCs w:val="18"/>
        </w:rPr>
        <w:t xml:space="preserve">read_inspection_lot</w:t>
      </w:r>
      <w:r>
        <w:t xml:space="preserve">, </w:t>
      </w:r>
      <w:r>
        <w:rPr>
          <w:rFonts w:ascii="Cascadia Mono" w:cs="Cascadia Mono" w:eastAsia="Cascadia Mono" w:hAnsi="Cascadia Mono"/>
          <w:color w:val="2B2B2B"/>
          <w:sz w:val="18"/>
          <w:szCs w:val="18"/>
        </w:rPr>
        <w:t xml:space="preserve">create_capa</w:t>
      </w:r>
      <w:r>
        <w:t xml:space="preserve">.</w:t>
      </w:r>
    </w:p>
    <w:p>
      <w:pPr>
        <w:spacing w:after="140"/>
      </w:pPr>
      <w:r>
        <w:rPr>
          <w:b/>
          <w:bCs/>
        </w:rPr>
        <w:t xml:space="preserve">`vendor-portal-mcp`:</w:t>
      </w:r>
      <w:r>
        <w:t xml:space="preserve"> </w:t>
      </w:r>
      <w:r>
        <w:rPr>
          <w:rFonts w:ascii="Cascadia Mono" w:cs="Cascadia Mono" w:eastAsia="Cascadia Mono" w:hAnsi="Cascadia Mono"/>
          <w:color w:val="2B2B2B"/>
          <w:sz w:val="18"/>
          <w:szCs w:val="18"/>
        </w:rPr>
        <w:t xml:space="preserve">get_supplier_status</w:t>
      </w:r>
      <w:r>
        <w:t xml:space="preserve">, </w:t>
      </w:r>
      <w:r>
        <w:rPr>
          <w:rFonts w:ascii="Cascadia Mono" w:cs="Cascadia Mono" w:eastAsia="Cascadia Mono" w:hAnsi="Cascadia Mono"/>
          <w:color w:val="2B2B2B"/>
          <w:sz w:val="18"/>
          <w:szCs w:val="18"/>
        </w:rPr>
        <w:t xml:space="preserve">send_asn_query</w:t>
      </w:r>
      <w:r>
        <w:t xml:space="preserve">, </w:t>
      </w:r>
      <w:r>
        <w:rPr>
          <w:rFonts w:ascii="Cascadia Mono" w:cs="Cascadia Mono" w:eastAsia="Cascadia Mono" w:hAnsi="Cascadia Mono"/>
          <w:color w:val="2B2B2B"/>
          <w:sz w:val="18"/>
          <w:szCs w:val="18"/>
        </w:rPr>
        <w:t xml:space="preserve">read_po_acknowledgment</w:t>
      </w:r>
      <w:r>
        <w:t xml:space="preserve">.</w:t>
      </w:r>
    </w:p>
    <w:p>
      <w:pPr>
        <w:spacing w:after="140"/>
      </w:pPr>
      <w:r>
        <w:rPr>
          <w:b/>
          <w:bCs/>
        </w:rPr>
        <w:t xml:space="preserve">`comms-mcp`:</w:t>
      </w:r>
      <w:r>
        <w:t xml:space="preserve"> </w:t>
      </w:r>
      <w:r>
        <w:rPr>
          <w:rFonts w:ascii="Cascadia Mono" w:cs="Cascadia Mono" w:eastAsia="Cascadia Mono" w:hAnsi="Cascadia Mono"/>
          <w:color w:val="2B2B2B"/>
          <w:sz w:val="18"/>
          <w:szCs w:val="18"/>
        </w:rPr>
        <w:t xml:space="preserve">send_sms</w:t>
      </w:r>
      <w:r>
        <w:t xml:space="preserve">, </w:t>
      </w:r>
      <w:r>
        <w:rPr>
          <w:rFonts w:ascii="Cascadia Mono" w:cs="Cascadia Mono" w:eastAsia="Cascadia Mono" w:hAnsi="Cascadia Mono"/>
          <w:color w:val="2B2B2B"/>
          <w:sz w:val="18"/>
          <w:szCs w:val="18"/>
        </w:rPr>
        <w:t xml:space="preserve">send_email</w:t>
      </w:r>
      <w:r>
        <w:t xml:space="preserve">, </w:t>
      </w:r>
      <w:r>
        <w:rPr>
          <w:rFonts w:ascii="Cascadia Mono" w:cs="Cascadia Mono" w:eastAsia="Cascadia Mono" w:hAnsi="Cascadia Mono"/>
          <w:color w:val="2B2B2B"/>
          <w:sz w:val="18"/>
          <w:szCs w:val="18"/>
        </w:rPr>
        <w:t xml:space="preserve">send_voice_callout</w:t>
      </w:r>
      <w:r>
        <w:t xml:space="preserve">, </w:t>
      </w:r>
      <w:r>
        <w:rPr>
          <w:rFonts w:ascii="Cascadia Mono" w:cs="Cascadia Mono" w:eastAsia="Cascadia Mono" w:hAnsi="Cascadia Mono"/>
          <w:color w:val="2B2B2B"/>
          <w:sz w:val="18"/>
          <w:szCs w:val="18"/>
        </w:rPr>
        <w:t xml:space="preserve">get_delivery_status</w:t>
      </w:r>
      <w:r>
        <w:t xml:space="preserve"> (all consent-gated).</w:t>
      </w:r>
    </w:p>
    <w:p>
      <w:pPr>
        <w:pStyle w:val="Heading3"/>
        <w:spacing w:after="120" w:before="260"/>
      </w:pPr>
      <w:r>
        <w:rPr>
          <w:rFonts w:ascii="Aptos" w:cs="Aptos" w:eastAsia="Aptos" w:hAnsi="Aptos"/>
          <w:b/>
          <w:bCs/>
          <w:color w:val="0B111E"/>
          <w:sz w:val="24"/>
          <w:szCs w:val="24"/>
        </w:rPr>
        <w:t xml:space="preserve">E.9 Per-Tool SLO Reference</w:t>
      </w:r>
    </w:p>
    <w:p>
      <w:pPr>
        <w:spacing w:after="140"/>
      </w:pPr>
      <w:r>
        <w:t xml:space="preserve">Every tool ships with a defined SLO. Bucket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Domain reads (hot path, Gold-backed)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Domain reads (warm path, Silver with scope)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500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Reasoning-tier queries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Utility: policy / telemetry / approvals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100 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99.95%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Utility: tokeniser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50 ms (cached) / ≤ 500 ms (cold)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99.99%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External: public feed pulls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2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External: regulatory filings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 30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99%</w:t>
            </w:r>
          </w:p>
        </w:tc>
      </w:tr>
    </w:tbl>
    <w:p>
      <w:pPr>
        <w:spacing w:after="120"/>
      </w:pPr>
      <w:r>
        <w:t xml:space="preserve"/>
      </w:r>
    </w:p>
    <w:p>
      <w:pPr>
        <w:spacing w:after="140"/>
      </w:pPr>
      <w:r>
        <w:t xml:space="preserve">Availability targets above 99.9% are only achieved in Enterprise-tier deployments with redundant Container App replicas and cross-region failover; Essentials/Pro tiers target 99.5% with single-region deployment.</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F: Microsoft Product &amp; SKU Reference</w:t>
      </w:r>
    </w:p>
    <w:p>
      <w:pPr>
        <w:spacing w:after="140"/>
      </w:pPr>
      <w:r>
        <w:t xml:space="preserve">APEX consumes the following Microsoft products. Each client deployment is sized based on the services subscribed.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Fabric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plane (OneLake, Lakehouse, Warehouse, 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F8 entry · F16 common · F32 for high-volume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AI Foundry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authoring + AI Search + embeddings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Pay-as-you-go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AI Agent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runtime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Pay-as-you-go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OpenAI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Foundation models (gpt-4.1 / reasoning 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Pay-per-token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Standard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Declarative orchestrations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Standard plan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 Functions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Stateful orchestrations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Elastic Premium for reliability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server hosting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Consumption or dedicated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ID P2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Identity, managed identity, conditional access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Per-user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Purview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Lineage, DLP, sensitivity labels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Per-capacity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Defender for Cloud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Security posture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Per-resource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Monitor / App Insights / Log Analytics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Observability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Pay-per-GB</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Teams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approval UI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M365 E5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Power Platform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Dashboards, approval flows, admin tools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Per-app or per-user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Copilot Studio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Optional conversational surfaces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Per-environment</w:t>
            </w:r>
          </w:p>
        </w:tc>
      </w:tr>
    </w:tbl>
    <w:p>
      <w:pPr>
        <w:spacing w:after="120"/>
      </w:pPr>
      <w:r>
        <w:t xml:space="preserve"/>
      </w:r>
    </w:p>
    <w:p>
      <w:pPr>
        <w:spacing w:after="140"/>
      </w:pPr>
      <w:r>
        <w:t xml:space="preserve">Most clients can map APEX consumption onto an existing Microsoft EA without net-new licensing beyond the Fabric capacity and the pay-as-you-go AI spend.</w:t>
      </w:r>
    </w:p>
    <w:p>
      <w:pPr>
        <w:pStyle w:val="Heading3"/>
        <w:spacing w:after="120" w:before="260"/>
      </w:pPr>
      <w:r>
        <w:rPr>
          <w:rFonts w:ascii="Aptos" w:cs="Aptos" w:eastAsia="Aptos" w:hAnsi="Aptos"/>
          <w:b/>
          <w:bCs/>
          <w:color w:val="0B111E"/>
          <w:sz w:val="24"/>
          <w:szCs w:val="24"/>
        </w:rPr>
        <w:t xml:space="preserve">E.1 Microsoft Fabric — Detailed Role</w:t>
      </w:r>
    </w:p>
    <w:p>
      <w:pPr>
        <w:spacing w:after="140"/>
      </w:pPr>
      <w:r>
        <w:rPr>
          <w:b/>
          <w:bCs/>
        </w:rPr>
        <w:t xml:space="preserve">Fabric Capacity.</w:t>
      </w:r>
      <w:r>
        <w:t xml:space="preserve"> APEX sizes capacity on concurrent agent invocations and data volume, not on user count. A 25-store RC deployment with Cold Chain + Receiving services active typically needs F8 (continuous) with F16 bursting during morning shift-change. A 250-hospital HLS system with four services active needs F32 baseline with F64 bursting.</w:t>
      </w:r>
    </w:p>
    <w:p>
      <w:pPr>
        <w:spacing w:after="140"/>
      </w:pPr>
      <w:r>
        <w:rPr>
          <w:b/>
          <w:bCs/>
        </w:rPr>
        <w:t xml:space="preserve">OneLake Shortcuts.</w:t>
      </w:r>
      <w:r>
        <w:t xml:space="preserve"> APEX uses shortcuts extensively — both to cross-reference between a Practice's reference tables and its tenants, and to enable cross-practice data views without duplication. Shortcut discipline is an ARB-reviewed concern: shortcuts across trust boundaries require explicit RLS or tenant-scoping enforcement.</w:t>
      </w:r>
    </w:p>
    <w:p>
      <w:pPr>
        <w:spacing w:after="140"/>
      </w:pPr>
      <w:r>
        <w:rPr>
          <w:b/>
          <w:bCs/>
        </w:rPr>
        <w:t xml:space="preserve">Lakehouse vs. Warehouse.</w:t>
      </w:r>
      <w:r>
        <w:t xml:space="preserve"> APEX's Bronze and Silver live in Lakehouses (Delta tables, PySpark-readable). APEX's Gold lives in Warehouses (T-SQL-readable, tuned for agent-read latency). Agents reach Gold through the SQL endpoint via </w:t>
      </w:r>
      <w:r>
        <w:rPr>
          <w:rFonts w:ascii="Cascadia Mono" w:cs="Cascadia Mono" w:eastAsia="Cascadia Mono" w:hAnsi="Cascadia Mono"/>
          <w:color w:val="2B2B2B"/>
          <w:sz w:val="18"/>
          <w:szCs w:val="18"/>
        </w:rPr>
        <w:t xml:space="preserve">fabric-mcp</w:t>
      </w:r>
      <w:r>
        <w:t xml:space="preserve">. The separation is pragmatic — PySpark notebooks for transforms, T-SQL views for agent reads.</w:t>
      </w:r>
    </w:p>
    <w:p>
      <w:pPr>
        <w:spacing w:after="140"/>
      </w:pPr>
      <w:r>
        <w:rPr>
          <w:b/>
          <w:bCs/>
        </w:rPr>
        <w:t xml:space="preserve">Eventstream.</w:t>
      </w:r>
      <w:r>
        <w:t xml:space="preserve"> Real-time ingest for telemetry-heavy services (Cold Chain, Grid Anomaly, Line-Down). The eventstream sinks to Bronze Delta with ~30s floor latency. For sub-30s requirements APEX has experimental Kafka-direct ingestion to Delta via Fabric's streaming endpoints.</w:t>
      </w:r>
    </w:p>
    <w:p>
      <w:pPr>
        <w:spacing w:after="140"/>
      </w:pPr>
      <w:r>
        <w:rPr>
          <w:b/>
          <w:bCs/>
        </w:rPr>
        <w:t xml:space="preserve">Mirrored Databases.</w:t>
      </w:r>
      <w:r>
        <w:t xml:space="preserve"> The preferred CDC path for transactional SORs (Manhattan WMS, SAP ISU, Epic Clarity). Latency typically 60-180 seconds; very low engineering cost because Fabric manages the mirroring.</w:t>
      </w:r>
    </w:p>
    <w:p>
      <w:pPr>
        <w:pStyle w:val="Heading3"/>
        <w:spacing w:after="120" w:before="260"/>
      </w:pPr>
      <w:r>
        <w:rPr>
          <w:rFonts w:ascii="Aptos" w:cs="Aptos" w:eastAsia="Aptos" w:hAnsi="Aptos"/>
          <w:b/>
          <w:bCs/>
          <w:color w:val="0B111E"/>
          <w:sz w:val="24"/>
          <w:szCs w:val="24"/>
        </w:rPr>
        <w:t xml:space="preserve">E.2 Azure AI Agent Service — Detailed Role</w:t>
      </w:r>
    </w:p>
    <w:p>
      <w:pPr>
        <w:spacing w:after="140"/>
      </w:pPr>
      <w:r>
        <w:rPr>
          <w:b/>
          <w:bCs/>
        </w:rPr>
        <w:t xml:space="preserve">Agent registration.</w:t>
      </w:r>
      <w:r>
        <w:t xml:space="preserve"> Every APEX agent is registered in Agent Service with its manifest, MCP tool allow-list, and model pin. Agent Service handles token budgeting, rate limiting, and canary weighting.</w:t>
      </w:r>
    </w:p>
    <w:p>
      <w:pPr>
        <w:spacing w:after="140"/>
      </w:pPr>
      <w:r>
        <w:rPr>
          <w:b/>
          <w:bCs/>
        </w:rPr>
        <w:t xml:space="preserve">Model selection.</w:t>
      </w:r>
      <w:r>
        <w:t xml:space="preserve"> APEX runs a three-tier model strategy:</w:t>
      </w:r>
    </w:p>
    <w:p>
      <w:pPr>
        <w:pStyle w:val="ListParagraph"/>
        <w:numPr>
          <w:ilvl w:val="0"/>
          <w:numId w:val="1"/>
        </w:numPr>
        <w:spacing w:after="60"/>
      </w:pPr>
      <w:r>
        <w:rPr>
          <w:b/>
          <w:bCs/>
        </w:rPr>
        <w:t xml:space="preserve">Standard (gpt-4.1 family)</w:t>
      </w:r>
      <w:r>
        <w:t xml:space="preserve"> — the default for monitors, classifiers, structured-output generators (~85% of agents)</w:t>
      </w:r>
    </w:p>
    <w:p>
      <w:pPr>
        <w:pStyle w:val="ListParagraph"/>
        <w:numPr>
          <w:ilvl w:val="0"/>
          <w:numId w:val="1"/>
        </w:numPr>
        <w:spacing w:after="60"/>
      </w:pPr>
      <w:r>
        <w:rPr>
          <w:b/>
          <w:bCs/>
        </w:rPr>
        <w:t xml:space="preserve">Reasoning (o-family)</w:t>
      </w:r>
      <w:r>
        <w:t xml:space="preserve"> — used for agents that evaluate causality, cross-system correlation, or build case files (~10% of agents)</w:t>
      </w:r>
    </w:p>
    <w:p>
      <w:pPr>
        <w:pStyle w:val="ListParagraph"/>
        <w:numPr>
          <w:ilvl w:val="0"/>
          <w:numId w:val="1"/>
        </w:numPr>
        <w:spacing w:after="60"/>
      </w:pPr>
      <w:r>
        <w:rPr>
          <w:b/>
          <w:bCs/>
        </w:rPr>
        <w:t xml:space="preserve">Lightweight (gpt-4o-mini)</w:t>
      </w:r>
      <w:r>
        <w:t xml:space="preserve"> — used for high-volume narrow binary classifiers (~5%)</w:t>
      </w:r>
    </w:p>
    <w:p>
      <w:pPr>
        <w:spacing w:after="140"/>
      </w:pPr>
      <w:r>
        <w:t xml:space="preserve">Each tier has different pricing. Cost forecasting is a service-level discipline; the ARB reviews token-cost envelopes per service at GA review.</w:t>
      </w:r>
    </w:p>
    <w:p>
      <w:pPr>
        <w:spacing w:after="140"/>
      </w:pPr>
      <w:r>
        <w:rPr>
          <w:b/>
          <w:bCs/>
        </w:rPr>
        <w:t xml:space="preserve">Canary.</w:t>
      </w:r>
      <w:r>
        <w:t xml:space="preserve"> 5% / 72h canary standard, with automatic rollback on SLO burn. Deeper detail in Chapter 4 of the companion Developer Implementation Guide.</w:t>
      </w:r>
    </w:p>
    <w:p>
      <w:pPr>
        <w:pStyle w:val="Heading3"/>
        <w:spacing w:after="120" w:before="260"/>
      </w:pPr>
      <w:r>
        <w:rPr>
          <w:rFonts w:ascii="Aptos" w:cs="Aptos" w:eastAsia="Aptos" w:hAnsi="Aptos"/>
          <w:b/>
          <w:bCs/>
          <w:color w:val="0B111E"/>
          <w:sz w:val="24"/>
          <w:szCs w:val="24"/>
        </w:rPr>
        <w:t xml:space="preserve">E.3 Logic Apps and Durable Functions — Detailed Role</w:t>
      </w:r>
    </w:p>
    <w:p>
      <w:pPr>
        <w:spacing w:after="140"/>
      </w:pPr>
      <w:r>
        <w:rPr>
          <w:b/>
          <w:bCs/>
        </w:rPr>
        <w:t xml:space="preserve">Logic Apps Standard</w:t>
      </w:r>
      <w:r>
        <w:t xml:space="preserve"> is the default for orchestrations that complete in under five minutes and have linear-or-simple-fan-out topology. Visual designer; declarative JSON definitions; good for operational visibility.</w:t>
      </w:r>
    </w:p>
    <w:p>
      <w:pPr>
        <w:spacing w:after="140"/>
      </w:pPr>
      <w:r>
        <w:rPr>
          <w:b/>
          <w:bCs/>
        </w:rPr>
        <w:t xml:space="preserve">Durable Functions</w:t>
      </w:r>
      <w:r>
        <w:t xml:space="preserve"> handles long-running orchestrations (recall traceability, trial matching, patient-safety-incident workflows) where state must survive minutes to days and where complex compensation logic is needed. Python and C# flavours both supported; APEX includes templates for both.</w:t>
      </w:r>
    </w:p>
    <w:p>
      <w:pPr>
        <w:spacing w:after="140"/>
      </w:pPr>
      <w:r>
        <w:rPr>
          <w:b/>
          <w:bCs/>
        </w:rPr>
        <w:t xml:space="preserve">Choice criteria.</w:t>
      </w:r>
      <w:r>
        <w:t xml:space="preserve"> The ARB reviews every new orchestration against the choice criteria — if it can fit in Logic Apps cleanly, it goes there; Durable is the fallback when state or duration requires it.</w:t>
      </w:r>
    </w:p>
    <w:p>
      <w:pPr>
        <w:pStyle w:val="Heading3"/>
        <w:spacing w:after="120" w:before="260"/>
      </w:pPr>
      <w:r>
        <w:rPr>
          <w:rFonts w:ascii="Aptos" w:cs="Aptos" w:eastAsia="Aptos" w:hAnsi="Aptos"/>
          <w:b/>
          <w:bCs/>
          <w:color w:val="0B111E"/>
          <w:sz w:val="24"/>
          <w:szCs w:val="24"/>
        </w:rPr>
        <w:t xml:space="preserve">E.4 Microsoft Purview — Detailed Role</w:t>
      </w:r>
    </w:p>
    <w:p>
      <w:pPr>
        <w:spacing w:after="140"/>
      </w:pPr>
      <w:r>
        <w:rPr>
          <w:b/>
          <w:bCs/>
        </w:rPr>
        <w:t xml:space="preserve">Data lineage.</w:t>
      </w:r>
      <w:r>
        <w:t xml:space="preserve"> Purview captures lineage from SOR through Bronze → Silver → Gold → MCP tool → agent. This is essential for the decision-audit reconstruction story.</w:t>
      </w:r>
    </w:p>
    <w:p>
      <w:pPr>
        <w:spacing w:after="140"/>
      </w:pPr>
      <w:r>
        <w:rPr>
          <w:b/>
          <w:bCs/>
        </w:rPr>
        <w:t xml:space="preserve">Sensitivity labels.</w:t>
      </w:r>
      <w:r>
        <w:t xml:space="preserve"> Applied at Silver write-time via the </w:t>
      </w:r>
      <w:r>
        <w:rPr>
          <w:rFonts w:ascii="Cascadia Mono" w:cs="Cascadia Mono" w:eastAsia="Cascadia Mono" w:hAnsi="Cascadia Mono"/>
          <w:color w:val="2B2B2B"/>
          <w:sz w:val="18"/>
          <w:szCs w:val="18"/>
        </w:rPr>
        <w:t xml:space="preserve">apex_purview.label_table</w:t>
      </w:r>
      <w:r>
        <w:t xml:space="preserve"> helper. Labels drive DLP policy on outbound agent responses.</w:t>
      </w:r>
    </w:p>
    <w:p>
      <w:pPr>
        <w:spacing w:after="140"/>
      </w:pPr>
      <w:r>
        <w:rPr>
          <w:b/>
          <w:bCs/>
        </w:rPr>
        <w:t xml:space="preserve">DLP on outbound.</w:t>
      </w:r>
      <w:r>
        <w:t xml:space="preserve"> When an agent produces an output that includes sensitivity-labelled fields, Purview DLP inspects the output and either permits, redacts, or blocks. APEX's cleanest pattern is to tokenise upstream and include only tokens in agent output — cleartext never touches the agent's reasoning context.</w:t>
      </w:r>
    </w:p>
    <w:p>
      <w:pPr>
        <w:pStyle w:val="Heading3"/>
        <w:spacing w:after="120" w:before="260"/>
      </w:pPr>
      <w:r>
        <w:rPr>
          <w:rFonts w:ascii="Aptos" w:cs="Aptos" w:eastAsia="Aptos" w:hAnsi="Aptos"/>
          <w:b/>
          <w:bCs/>
          <w:color w:val="0B111E"/>
          <w:sz w:val="24"/>
          <w:szCs w:val="24"/>
        </w:rPr>
        <w:t xml:space="preserve">E.5 Microsoft Teams + Power Automate — HITL Surface</w:t>
      </w:r>
    </w:p>
    <w:p>
      <w:pPr>
        <w:spacing w:after="140"/>
      </w:pPr>
      <w:r>
        <w:t xml:space="preserve">Teams is the HITL card delivery mechanism. Power Automate flows handle more complex approval routing (e.g., multi-approver scenarios, sequential approvers, escalation-after-timeout trees). The </w:t>
      </w:r>
      <w:r>
        <w:rPr>
          <w:rFonts w:ascii="Cascadia Mono" w:cs="Cascadia Mono" w:eastAsia="Cascadia Mono" w:hAnsi="Cascadia Mono"/>
          <w:color w:val="2B2B2B"/>
          <w:sz w:val="18"/>
          <w:szCs w:val="18"/>
        </w:rPr>
        <w:t xml:space="preserve">approvals-mcp</w:t>
      </w:r>
      <w:r>
        <w:t xml:space="preserve"> utility server wraps both so the orchestration doesn't care which one delivers the card.</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G: Partner Ecosystem</w:t>
      </w:r>
    </w:p>
    <w:p>
      <w:pPr>
        <w:spacing w:after="140"/>
      </w:pPr>
      <w:r>
        <w:t xml:space="preserve">APEX is delivered as a Deloitte-Microsoft joint offering. Third-party partners extend specific Practices:</w:t>
      </w:r>
    </w:p>
    <w:p>
      <w:pPr>
        <w:pStyle w:val="ListParagraph"/>
        <w:numPr>
          <w:ilvl w:val="0"/>
          <w:numId w:val="1"/>
        </w:numPr>
        <w:spacing w:after="60"/>
      </w:pPr>
      <w:r>
        <w:rPr>
          <w:b/>
          <w:bCs/>
        </w:rPr>
        <w:t xml:space="preserve">RC</w:t>
      </w:r>
      <w:r>
        <w:t xml:space="preserve">: Manhattan Associates (WMS), Coca-Cola Beverages (DSD reference integration), Monnit (IoT), Honeywell-Vocollect (voice-pick integration optional)</w:t>
      </w:r>
    </w:p>
    <w:p>
      <w:pPr>
        <w:pStyle w:val="ListParagraph"/>
        <w:numPr>
          <w:ilvl w:val="0"/>
          <w:numId w:val="1"/>
        </w:numPr>
        <w:spacing w:after="60"/>
      </w:pPr>
      <w:r>
        <w:rPr>
          <w:b/>
          <w:bCs/>
        </w:rPr>
        <w:t xml:space="preserve">HLS</w:t>
      </w:r>
      <w:r>
        <w:t xml:space="preserve">: Epic, Oracle Health (Cerner), Infor Lawson (rev-cycle), IQVIA (trials registry)</w:t>
      </w:r>
    </w:p>
    <w:p>
      <w:pPr>
        <w:pStyle w:val="ListParagraph"/>
        <w:numPr>
          <w:ilvl w:val="0"/>
          <w:numId w:val="1"/>
        </w:numPr>
        <w:spacing w:after="60"/>
      </w:pPr>
      <w:r>
        <w:rPr>
          <w:b/>
          <w:bCs/>
        </w:rPr>
        <w:t xml:space="preserve">ER</w:t>
      </w:r>
      <w:r>
        <w:t xml:space="preserve">: SAP ISU, OSIsoft PI, GE GridOS, Itron (AMI)</w:t>
      </w:r>
    </w:p>
    <w:p>
      <w:pPr>
        <w:pStyle w:val="ListParagraph"/>
        <w:numPr>
          <w:ilvl w:val="0"/>
          <w:numId w:val="1"/>
        </w:numPr>
        <w:spacing w:after="60"/>
      </w:pPr>
      <w:r>
        <w:rPr>
          <w:b/>
          <w:bCs/>
        </w:rPr>
        <w:t xml:space="preserve">AXLE</w:t>
      </w:r>
      <w:r>
        <w:t xml:space="preserve">: Rockwell FactoryTalk, PTC ThingWorx, Siemens Opcenter, Plex MES</w:t>
      </w:r>
    </w:p>
    <w:p>
      <w:pPr>
        <w:spacing w:after="140"/>
      </w:pPr>
      <w:r>
        <w:t xml:space="preserve">Partner integrations land at the Bronze ingest layer via the matching Mirrored Database, Eventstream, or Pipeline pattern. None of them influence the Silver canonical contract.</w:t>
      </w:r>
    </w:p>
    <w:p>
      <w:pPr>
        <w:pStyle w:val="Heading3"/>
        <w:spacing w:after="120" w:before="260"/>
      </w:pPr>
      <w:r>
        <w:rPr>
          <w:rFonts w:ascii="Aptos" w:cs="Aptos" w:eastAsia="Aptos" w:hAnsi="Aptos"/>
          <w:b/>
          <w:bCs/>
          <w:color w:val="0B111E"/>
          <w:sz w:val="24"/>
          <w:szCs w:val="24"/>
        </w:rPr>
        <w:t xml:space="preserve">F.1 RC Partner Ecosystem Detail</w:t>
      </w:r>
    </w:p>
    <w:p>
      <w:pPr>
        <w:spacing w:after="140"/>
      </w:pPr>
      <w:r>
        <w:rPr>
          <w:b/>
          <w:bCs/>
        </w:rPr>
        <w:t xml:space="preserve">Manhattan Associates WMS.</w:t>
      </w:r>
      <w:r>
        <w:t xml:space="preserve"> APEX's primary retail WMS integration. Bronze ingest via Mirrored Database (SQL Server CDC on Manhattan's warehousing tables). Silver mapping transforms Manhattan's warehouse-inventory model into MERML.STORE_INVENTORY_POSITION and SCML.STORE_RECEIVING_EVENT. Covers nearly all of the RC services' inventory and receiving signals.</w:t>
      </w:r>
    </w:p>
    <w:p>
      <w:pPr>
        <w:spacing w:after="140"/>
      </w:pPr>
      <w:r>
        <w:rPr>
          <w:b/>
          <w:bCs/>
        </w:rPr>
        <w:t xml:space="preserve">Monnit IoT.</w:t>
      </w:r>
      <w:r>
        <w:t xml:space="preserve"> Retail refrigeration telemetry. Eventstream ingest from Monnit's cloud gateway. Silver mapping to SCML.COLD_CHAIN_TELEMETRY. Single primary source for CXP-01.</w:t>
      </w:r>
    </w:p>
    <w:p>
      <w:pPr>
        <w:spacing w:after="140"/>
      </w:pPr>
      <w:r>
        <w:rPr>
          <w:b/>
          <w:bCs/>
        </w:rPr>
        <w:t xml:space="preserve">POS systems.</w:t>
      </w:r>
      <w:r>
        <w:t xml:space="preserve"> APEX is POS-vendor-agnostic at Silver level. Bronze ingest varies (NCR, Toshiba, Oracle Retail); Silver targets MERML.POS_VOID and related entities. All major POS vendors supported via SDK adapters maintained in </w:t>
      </w:r>
      <w:r>
        <w:rPr>
          <w:rFonts w:ascii="Cascadia Mono" w:cs="Cascadia Mono" w:eastAsia="Cascadia Mono" w:hAnsi="Cascadia Mono"/>
          <w:color w:val="2B2B2B"/>
          <w:sz w:val="18"/>
          <w:szCs w:val="18"/>
        </w:rPr>
        <w:t xml:space="preserve">apex-rc/mcp/pos-adapters/</w:t>
      </w:r>
      <w:r>
        <w:t xml:space="preserve">.</w:t>
      </w:r>
    </w:p>
    <w:p>
      <w:pPr>
        <w:spacing w:after="140"/>
      </w:pPr>
      <w:r>
        <w:rPr>
          <w:b/>
          <w:bCs/>
        </w:rPr>
        <w:t xml:space="preserve">ESL Gateway.</w:t>
      </w:r>
      <w:r>
        <w:t xml:space="preserve"> Electronic shelf label integrations (Hanshow, SES-imagotag). Bronze ingest via vendor-specific REST pulls; Silver targets MERML.PRICE_TAG_STATUS.</w:t>
      </w:r>
    </w:p>
    <w:p>
      <w:pPr>
        <w:spacing w:after="140"/>
      </w:pPr>
      <w:r>
        <w:rPr>
          <w:b/>
          <w:bCs/>
        </w:rPr>
        <w:t xml:space="preserve">FDA recall feed.</w:t>
      </w:r>
      <w:r>
        <w:t xml:space="preserve"> Public data; scheduled pull via Dataflow Gen2 to Bronze. Silver targets SCML.RECALL_NOTICE.</w:t>
      </w:r>
    </w:p>
    <w:p>
      <w:pPr>
        <w:pStyle w:val="Heading3"/>
        <w:spacing w:after="120" w:before="260"/>
      </w:pPr>
      <w:r>
        <w:rPr>
          <w:rFonts w:ascii="Aptos" w:cs="Aptos" w:eastAsia="Aptos" w:hAnsi="Aptos"/>
          <w:b/>
          <w:bCs/>
          <w:color w:val="0B111E"/>
          <w:sz w:val="24"/>
          <w:szCs w:val="24"/>
        </w:rPr>
        <w:t xml:space="preserve">F.2 HLS Partner Ecosystem Detail</w:t>
      </w:r>
    </w:p>
    <w:p>
      <w:pPr>
        <w:spacing w:after="140"/>
      </w:pPr>
      <w:r>
        <w:rPr>
          <w:b/>
          <w:bCs/>
        </w:rPr>
        <w:t xml:space="preserve">Epic EHR.</w:t>
      </w:r>
      <w:r>
        <w:t xml:space="preserve"> APEX's primary HLS integration. Two paths:</w:t>
      </w:r>
    </w:p>
    <w:p>
      <w:pPr>
        <w:pStyle w:val="ListParagraph"/>
        <w:numPr>
          <w:ilvl w:val="0"/>
          <w:numId w:val="1"/>
        </w:numPr>
        <w:spacing w:after="60"/>
      </w:pPr>
      <w:r>
        <w:t xml:space="preserve">Clarity / Caboodle CDC via Mirrored Database → Bronze — covers encounter, diagnosis, orders, coding, claims</w:t>
      </w:r>
    </w:p>
    <w:p>
      <w:pPr>
        <w:pStyle w:val="ListParagraph"/>
        <w:numPr>
          <w:ilvl w:val="0"/>
          <w:numId w:val="1"/>
        </w:numPr>
        <w:spacing w:after="60"/>
      </w:pPr>
      <w:r>
        <w:t xml:space="preserve">ADT real-time stream → Bronze (Eventstream) — for near-real-time encounter state (admit/discharge/transfer)</w:t>
      </w:r>
    </w:p>
    <w:p>
      <w:pPr>
        <w:pStyle w:val="ListParagraph"/>
        <w:numPr>
          <w:ilvl w:val="0"/>
          <w:numId w:val="1"/>
        </w:numPr>
        <w:spacing w:after="60"/>
      </w:pPr>
      <w:r>
        <w:t xml:space="preserve">FHIR API pull for vitals and labs — Dataflow Gen2</w:t>
      </w:r>
    </w:p>
    <w:p>
      <w:pPr>
        <w:spacing w:after="140"/>
      </w:pPr>
      <w:r>
        <w:rPr>
          <w:b/>
          <w:bCs/>
        </w:rPr>
        <w:t xml:space="preserve">Oracle Health (Cerner).</w:t>
      </w:r>
      <w:r>
        <w:t xml:space="preserve"> Analogous to Epic; APEX ships per-vendor Silver transforms that land at the same HLSCML canonical schema.</w:t>
      </w:r>
    </w:p>
    <w:p>
      <w:pPr>
        <w:spacing w:after="140"/>
      </w:pPr>
      <w:r>
        <w:rPr>
          <w:b/>
          <w:bCs/>
        </w:rPr>
        <w:t xml:space="preserve">Denial/837/835 feed.</w:t>
      </w:r>
      <w:r>
        <w:t xml:space="preserve"> Payer-side claim feeds in standard X12 format. Bronze ingest via SFTP + Data Pipeline; Silver targets HLSCML.CLAIM_DENIAL.</w:t>
      </w:r>
    </w:p>
    <w:p>
      <w:pPr>
        <w:spacing w:after="140"/>
      </w:pPr>
      <w:r>
        <w:rPr>
          <w:b/>
          <w:bCs/>
        </w:rPr>
        <w:t xml:space="preserve">ClinicalTrials.gov + institutional trials registry.</w:t>
      </w:r>
      <w:r>
        <w:t xml:space="preserve"> Scheduled pull + institutional CRIS integration. Silver targets HLSCML.TRIAL_PROTOCOL and ELIGIBILITY_CRITERIA.</w:t>
      </w:r>
    </w:p>
    <w:p>
      <w:pPr>
        <w:spacing w:after="140"/>
      </w:pPr>
      <w:r>
        <w:rPr>
          <w:b/>
          <w:bCs/>
        </w:rPr>
        <w:t xml:space="preserve">Pharmacy inventory systems (Omnicell, Pyxis, institutional).</w:t>
      </w:r>
      <w:r>
        <w:t xml:space="preserve"> Bronze via SFTP or native API depending on vendor.</w:t>
      </w:r>
    </w:p>
    <w:p>
      <w:pPr>
        <w:pStyle w:val="Heading3"/>
        <w:spacing w:after="120" w:before="260"/>
      </w:pPr>
      <w:r>
        <w:rPr>
          <w:rFonts w:ascii="Aptos" w:cs="Aptos" w:eastAsia="Aptos" w:hAnsi="Aptos"/>
          <w:b/>
          <w:bCs/>
          <w:color w:val="0B111E"/>
          <w:sz w:val="24"/>
          <w:szCs w:val="24"/>
        </w:rPr>
        <w:t xml:space="preserve">F.3 ER Partner Ecosystem Detail</w:t>
      </w:r>
    </w:p>
    <w:p>
      <w:pPr>
        <w:spacing w:after="140"/>
      </w:pPr>
      <w:r>
        <w:rPr>
          <w:b/>
          <w:bCs/>
        </w:rPr>
        <w:t xml:space="preserve">SAP ISU.</w:t>
      </w:r>
      <w:r>
        <w:t xml:space="preserve"> Primary utility billing/CIS SOR. Bronze via Mirrored Database; Silver targets ERCML.METER_READING and BILLING_EXCEPTION.</w:t>
      </w:r>
    </w:p>
    <w:p>
      <w:pPr>
        <w:spacing w:after="140"/>
      </w:pPr>
      <w:r>
        <w:rPr>
          <w:b/>
          <w:bCs/>
        </w:rPr>
        <w:t xml:space="preserve">SCADA systems.</w:t>
      </w:r>
      <w:r>
        <w:t xml:space="preserve"> Real-time grid telemetry. Bronze via Eventstream; Silver targets ERCML.SCADA_TELEMETRY and GRID_ANOMALY.</w:t>
      </w:r>
    </w:p>
    <w:p>
      <w:pPr>
        <w:spacing w:after="140"/>
      </w:pPr>
      <w:r>
        <w:rPr>
          <w:b/>
          <w:bCs/>
        </w:rPr>
        <w:t xml:space="preserve">AMI head-end (Itron, Landis+Gyr).</w:t>
      </w:r>
      <w:r>
        <w:t xml:space="preserve"> Advanced metering infrastructure. Bronze via SFTP or native API.</w:t>
      </w:r>
    </w:p>
    <w:p>
      <w:pPr>
        <w:spacing w:after="140"/>
      </w:pPr>
      <w:r>
        <w:rPr>
          <w:b/>
          <w:bCs/>
        </w:rPr>
        <w:t xml:space="preserve">OMS/DMS (GE, Oracle, Schneider).</w:t>
      </w:r>
      <w:r>
        <w:t xml:space="preserve"> Outage management and distribution management systems. Bronze via native API integration.</w:t>
      </w:r>
    </w:p>
    <w:p>
      <w:pPr>
        <w:spacing w:after="140"/>
      </w:pPr>
      <w:r>
        <w:rPr>
          <w:b/>
          <w:bCs/>
        </w:rPr>
        <w:t xml:space="preserve">FERC feed + state PUC portals.</w:t>
      </w:r>
      <w:r>
        <w:t xml:space="preserve"> Regulatory feeds. Scheduled Dataflow Gen2 pulls.</w:t>
      </w:r>
    </w:p>
    <w:p>
      <w:pPr>
        <w:spacing w:after="140"/>
      </w:pPr>
      <w:r>
        <w:rPr>
          <w:b/>
          <w:bCs/>
        </w:rPr>
        <w:t xml:space="preserve">MS Field Service.</w:t>
      </w:r>
      <w:r>
        <w:t xml:space="preserve"> Dynamics 365 Field Service for crew dispatch. Native Dataverse integration into Bronze.</w:t>
      </w:r>
    </w:p>
    <w:p>
      <w:pPr>
        <w:pStyle w:val="Heading3"/>
        <w:spacing w:after="120" w:before="260"/>
      </w:pPr>
      <w:r>
        <w:rPr>
          <w:rFonts w:ascii="Aptos" w:cs="Aptos" w:eastAsia="Aptos" w:hAnsi="Aptos"/>
          <w:b/>
          <w:bCs/>
          <w:color w:val="0B111E"/>
          <w:sz w:val="24"/>
          <w:szCs w:val="24"/>
        </w:rPr>
        <w:t xml:space="preserve">F.4 AXLE Partner Ecosystem Detail</w:t>
      </w:r>
    </w:p>
    <w:p>
      <w:pPr>
        <w:spacing w:after="140"/>
      </w:pPr>
      <w:r>
        <w:rPr>
          <w:b/>
          <w:bCs/>
        </w:rPr>
        <w:t xml:space="preserve">Plex MES.</w:t>
      </w:r>
      <w:r>
        <w:t xml:space="preserve"> Cloud MES for production events. Bronze via Eventstream (Plex publishes events); Silver targets AXLECML.PRODUCTION_EVENT.</w:t>
      </w:r>
    </w:p>
    <w:p>
      <w:pPr>
        <w:spacing w:after="140"/>
      </w:pPr>
      <w:r>
        <w:rPr>
          <w:b/>
          <w:bCs/>
        </w:rPr>
        <w:t xml:space="preserve">SAP QM.</w:t>
      </w:r>
      <w:r>
        <w:t xml:space="preserve"> Quality management. Bronze via Mirrored Database; Silver targets AXLECML.QUALITY_EXCURSION and GENEALOGY.</w:t>
      </w:r>
    </w:p>
    <w:p>
      <w:pPr>
        <w:spacing w:after="140"/>
      </w:pPr>
      <w:r>
        <w:rPr>
          <w:b/>
          <w:bCs/>
        </w:rPr>
        <w:t xml:space="preserve">SAP SCM + Supplier portals + EDI.</w:t>
      </w:r>
      <w:r>
        <w:t xml:space="preserve"> Supply-chain SORs. Bronze via EDI gateway + vendor portal APIs.</w:t>
      </w:r>
    </w:p>
    <w:p>
      <w:pPr>
        <w:spacing w:after="140"/>
      </w:pPr>
      <w:r>
        <w:rPr>
          <w:b/>
          <w:bCs/>
        </w:rPr>
        <w:t xml:space="preserve">Rockwell FactoryTalk, PTC ThingWorx, Siemens Opcenter.</w:t>
      </w:r>
      <w:r>
        <w:t xml:space="preserve"> Shop-floor asset integrations. Bronze via OPC UA adapters maintained in </w:t>
      </w:r>
      <w:r>
        <w:rPr>
          <w:rFonts w:ascii="Cascadia Mono" w:cs="Cascadia Mono" w:eastAsia="Cascadia Mono" w:hAnsi="Cascadia Mono"/>
          <w:color w:val="2B2B2B"/>
          <w:sz w:val="18"/>
          <w:szCs w:val="18"/>
        </w:rPr>
        <w:t xml:space="preserve">apex-axle/mcp/shopfloor-adapters/</w:t>
      </w:r>
      <w:r>
        <w:t xml:space="preserve">.</w:t>
      </w:r>
    </w:p>
    <w:p>
      <w:pPr>
        <w:spacing w:after="140"/>
      </w:pPr>
      <w:r>
        <w:rPr>
          <w:b/>
          <w:bCs/>
        </w:rPr>
        <w:t xml:space="preserve">NHTSA / regulator feeds.</w:t>
      </w:r>
      <w:r>
        <w:t xml:space="preserve"> Scheduled pull; Silver targets AXLECML.RECALL_NOTICE.</w:t>
      </w:r>
    </w:p>
    <w:p>
      <w:pPr>
        <w:pStyle w:val="Heading3"/>
        <w:spacing w:after="120" w:before="260"/>
      </w:pPr>
      <w:r>
        <w:rPr>
          <w:rFonts w:ascii="Aptos" w:cs="Aptos" w:eastAsia="Aptos" w:hAnsi="Aptos"/>
          <w:b/>
          <w:bCs/>
          <w:color w:val="0B111E"/>
          <w:sz w:val="24"/>
          <w:szCs w:val="24"/>
        </w:rPr>
        <w:t xml:space="preserve">F.5 Microsoft as a Partner</w:t>
      </w:r>
    </w:p>
    <w:p>
      <w:pPr>
        <w:spacing w:after="140"/>
      </w:pPr>
      <w:r>
        <w:t xml:space="preserve">Microsoft is the platform vendor, not just a product vendor. Deloitte-Microsoft joint GTM for APEX includes co-selling, co-delivery patterns, and shared case studies. Microsoft's Industry Solutions team has cross-referenceability on APEX engagements for Industry Solution Accelerators (ISAs) — existing Microsoft industry content that APEX subsumes or complements.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H: Glossary</w:t>
      </w:r>
    </w:p>
    <w:p>
      <w:pPr>
        <w:spacing w:after="140"/>
      </w:pPr>
      <w:r>
        <w:rPr>
          <w:b/>
          <w:bCs/>
        </w:rPr>
        <w:t xml:space="preserve">Agent.</w:t>
      </w:r>
      <w:r>
        <w:t xml:space="preserve"> A reasoning component that runs in Azure AI Agent Service. Has a system prompt, tool allow-list, model, and manifest.</w:t>
      </w:r>
    </w:p>
    <w:p>
      <w:pPr>
        <w:spacing w:after="140"/>
      </w:pPr>
      <w:r>
        <w:rPr>
          <w:b/>
          <w:bCs/>
        </w:rPr>
        <w:t xml:space="preserve">ACK_ONLY.</w:t>
      </w:r>
      <w:r>
        <w:t xml:space="preserve"> A HITL gate kind meaning "notify + auto-apply." Default for MINOR bumps.</w:t>
      </w:r>
    </w:p>
    <w:p>
      <w:pPr>
        <w:spacing w:after="140"/>
      </w:pPr>
      <w:r>
        <w:rPr>
          <w:b/>
          <w:bCs/>
        </w:rPr>
        <w:t xml:space="preserve">Bronze.</w:t>
      </w:r>
      <w:r>
        <w:t xml:space="preserve"> The Medallion layer where SOR data lands in SOR-native shape. Read-only for Silver transforms.</w:t>
      </w:r>
    </w:p>
    <w:p>
      <w:pPr>
        <w:spacing w:after="140"/>
      </w:pPr>
      <w:r>
        <w:rPr>
          <w:b/>
          <w:bCs/>
        </w:rPr>
        <w:t xml:space="preserve">Canonical envelope.</w:t>
      </w:r>
      <w:r>
        <w:t xml:space="preserve"> Five universal fields on every Silver row: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w:t>
      </w:r>
    </w:p>
    <w:p>
      <w:pPr>
        <w:spacing w:after="140"/>
      </w:pPr>
      <w:r>
        <w:rPr>
          <w:b/>
          <w:bCs/>
        </w:rPr>
        <w:t xml:space="preserve">Classify-bump.</w:t>
      </w:r>
      <w:r>
        <w:t xml:space="preserve"> The deterministic SemVer classifier at </w:t>
      </w:r>
      <w:r>
        <w:rPr>
          <w:rFonts w:ascii="Cascadia Mono" w:cs="Cascadia Mono" w:eastAsia="Cascadia Mono" w:hAnsi="Cascadia Mono"/>
          <w:color w:val="2B2B2B"/>
          <w:sz w:val="18"/>
          <w:szCs w:val="18"/>
        </w:rPr>
        <w:t xml:space="preserve">apex-core/tools/classify-bump.js</w:t>
      </w:r>
      <w:r>
        <w:t xml:space="preserve">. Returns MAJOR / MINOR / PATCH given before-and-after manifest state.</w:t>
      </w:r>
    </w:p>
    <w:p>
      <w:pPr>
        <w:spacing w:after="140"/>
      </w:pPr>
      <w:r>
        <w:rPr>
          <w:b/>
          <w:bCs/>
        </w:rPr>
        <w:t xml:space="preserve">Contract (L1).</w:t>
      </w:r>
      <w:r>
        <w:t xml:space="preserve"> The normative apex-core specification.</w:t>
      </w:r>
    </w:p>
    <w:p>
      <w:pPr>
        <w:spacing w:after="140"/>
      </w:pPr>
      <w:r>
        <w:rPr>
          <w:b/>
          <w:bCs/>
        </w:rPr>
        <w:t xml:space="preserve">Decision audit row.</w:t>
      </w:r>
      <w:r>
        <w:t xml:space="preserve"> Append-only Silver row capturing every HITL decision, its inputs, outputs, approver, rationale, and rollback pointer.</w:t>
      </w:r>
    </w:p>
    <w:p>
      <w:pPr>
        <w:spacing w:after="140"/>
      </w:pPr>
      <w:r>
        <w:rPr>
          <w:b/>
          <w:bCs/>
        </w:rPr>
        <w:t xml:space="preserve">Durable Functions.</w:t>
      </w:r>
      <w:r>
        <w:t xml:space="preserve"> Azure's stateful orchestrator runtime. APEX uses it for long-running orchestrations.</w:t>
      </w:r>
    </w:p>
    <w:p>
      <w:pPr>
        <w:spacing w:after="140"/>
      </w:pPr>
      <w:r>
        <w:rPr>
          <w:b/>
          <w:bCs/>
        </w:rPr>
        <w:t xml:space="preserve">Edition (L2).</w:t>
      </w:r>
      <w:r>
        <w:t xml:space="preserve"> A versioned release of Core.</w:t>
      </w:r>
    </w:p>
    <w:p>
      <w:pPr>
        <w:spacing w:after="140"/>
      </w:pPr>
      <w:r>
        <w:rPr>
          <w:b/>
          <w:bCs/>
        </w:rPr>
        <w:t xml:space="preserve">Entra ID.</w:t>
      </w:r>
      <w:r>
        <w:t xml:space="preserve"> Microsoft's identity platform (formerly Azure AD).</w:t>
      </w:r>
    </w:p>
    <w:p>
      <w:pPr>
        <w:spacing w:after="140"/>
      </w:pPr>
      <w:r>
        <w:rPr>
          <w:b/>
          <w:bCs/>
        </w:rPr>
        <w:t xml:space="preserve">ESCALATION.</w:t>
      </w:r>
      <w:r>
        <w:t xml:space="preserve"> A HITL gate kind meaning "route to a cross-functional owner."</w:t>
      </w:r>
    </w:p>
    <w:p>
      <w:pPr>
        <w:spacing w:after="140"/>
      </w:pPr>
      <w:r>
        <w:rPr>
          <w:b/>
          <w:bCs/>
        </w:rPr>
        <w:t xml:space="preserve">Eventstream.</w:t>
      </w:r>
      <w:r>
        <w:t xml:space="preserve"> Fabric's real-time ingest item. Sink target is Bronze Delta.</w:t>
      </w:r>
    </w:p>
    <w:p>
      <w:pPr>
        <w:spacing w:after="140"/>
      </w:pPr>
      <w:r>
        <w:rPr>
          <w:b/>
          <w:bCs/>
        </w:rPr>
        <w:t xml:space="preserve">Fabric.</w:t>
      </w:r>
      <w:r>
        <w:t xml:space="preserve"> Microsoft's unified SaaS data platform. APEX's data plane.</w:t>
      </w:r>
    </w:p>
    <w:p>
      <w:pPr>
        <w:spacing w:after="140"/>
      </w:pPr>
      <w:r>
        <w:rPr>
          <w:b/>
          <w:bCs/>
        </w:rPr>
        <w:t xml:space="preserve">Fleet.</w:t>
      </w:r>
      <w:r>
        <w:t xml:space="preserve"> Deprecated — see </w:t>
      </w:r>
      <w:r>
        <w:rPr>
          <w:i/>
          <w:iCs/>
        </w:rPr>
        <w:t xml:space="preserve">Practice</w:t>
      </w:r>
      <w:r>
        <w:t xml:space="preserve">. </w:t>
      </w:r>
      <w:r>
        <w:rPr>
          <w:rFonts w:ascii="Cascadia Mono" w:cs="Cascadia Mono" w:eastAsia="Cascadia Mono" w:hAnsi="Cascadia Mono"/>
          <w:color w:val="2B2B2B"/>
          <w:sz w:val="18"/>
          <w:szCs w:val="18"/>
        </w:rPr>
        <w:t xml:space="preserve">validate-fleet.js</w:t>
      </w:r>
      <w:r>
        <w:t xml:space="preserve"> is a backward-compat shim retained through Core v1.2.x.</w:t>
      </w:r>
    </w:p>
    <w:p>
      <w:pPr>
        <w:spacing w:after="140"/>
      </w:pPr>
      <w:r>
        <w:rPr>
          <w:b/>
          <w:bCs/>
        </w:rPr>
        <w:t xml:space="preserve">Gold.</w:t>
      </w:r>
      <w:r>
        <w:t xml:space="preserve"> The Medallion layer with materialised feature views read by agents via MCP.</w:t>
      </w:r>
    </w:p>
    <w:p>
      <w:pPr>
        <w:spacing w:after="140"/>
      </w:pPr>
      <w:r>
        <w:rPr>
          <w:b/>
          <w:bCs/>
        </w:rPr>
        <w:t xml:space="preserve">HITL.</w:t>
      </w:r>
      <w:r>
        <w:t xml:space="preserve"> Human-in-the-Loop. The gate kind requiring human approval.</w:t>
      </w:r>
    </w:p>
    <w:p>
      <w:pPr>
        <w:spacing w:after="140"/>
      </w:pPr>
      <w:r>
        <w:rPr>
          <w:b/>
          <w:bCs/>
        </w:rPr>
        <w:t xml:space="preserve">L1 / L2 / L3 / L4.</w:t>
      </w:r>
      <w:r>
        <w:t xml:space="preserve"> The four APEX lifecycle layers — Contract, Edition, Practice, Tenant.</w:t>
      </w:r>
    </w:p>
    <w:p>
      <w:pPr>
        <w:spacing w:after="140"/>
      </w:pPr>
      <w:r>
        <w:rPr>
          <w:b/>
          <w:bCs/>
        </w:rPr>
        <w:t xml:space="preserve">Logic Apps.</w:t>
      </w:r>
      <w:r>
        <w:t xml:space="preserve"> Azure's declarative orchestration runtime. APEX uses it for short-running orchestrations.</w:t>
      </w:r>
    </w:p>
    <w:p>
      <w:pPr>
        <w:spacing w:after="140"/>
      </w:pPr>
      <w:r>
        <w:rPr>
          <w:b/>
          <w:bCs/>
        </w:rPr>
        <w:t xml:space="preserve">Managed identity.</w:t>
      </w:r>
      <w:r>
        <w:t xml:space="preserve"> An Azure-managed service principal tied to a resource. Used for service-to-service auth without secrets.</w:t>
      </w:r>
    </w:p>
    <w:p>
      <w:pPr>
        <w:spacing w:after="140"/>
      </w:pPr>
      <w:r>
        <w:rPr>
          <w:b/>
          <w:bCs/>
        </w:rPr>
        <w:t xml:space="preserve">Manifest.</w:t>
      </w:r>
      <w:r>
        <w:t xml:space="preserve"> A JSON document declaring the shape/version/content of an APEX artifact.</w:t>
      </w:r>
    </w:p>
    <w:p>
      <w:pPr>
        <w:spacing w:after="140"/>
      </w:pPr>
      <w:r>
        <w:rPr>
          <w:b/>
          <w:bCs/>
        </w:rPr>
        <w:t xml:space="preserve">MCP.</w:t>
      </w:r>
      <w:r>
        <w:t xml:space="preserve"> Model Context Protocol. The open standard for typed agent-tool contracts.</w:t>
      </w:r>
    </w:p>
    <w:p>
      <w:pPr>
        <w:spacing w:after="140"/>
      </w:pPr>
      <w:r>
        <w:rPr>
          <w:b/>
          <w:bCs/>
        </w:rPr>
        <w:t xml:space="preserve">Medallion.</w:t>
      </w:r>
      <w:r>
        <w:t xml:space="preserve"> The Bronze/Silver/Gold data architecture APEX uses in Fabric.</w:t>
      </w:r>
    </w:p>
    <w:p>
      <w:pPr>
        <w:spacing w:after="140"/>
      </w:pPr>
      <w:r>
        <w:rPr>
          <w:b/>
          <w:bCs/>
        </w:rPr>
        <w:t xml:space="preserve">OneLake.</w:t>
      </w:r>
      <w:r>
        <w:t xml:space="preserve"> Fabric's cross-workspace storage layer.</w:t>
      </w:r>
    </w:p>
    <w:p>
      <w:pPr>
        <w:spacing w:after="140"/>
      </w:pPr>
      <w:r>
        <w:rPr>
          <w:b/>
          <w:bCs/>
        </w:rPr>
        <w:t xml:space="preserve">Orchestration.</w:t>
      </w:r>
      <w:r>
        <w:t xml:space="preserve"> A DAG of agent calls with a HITL gate at the decision. Named </w:t>
      </w:r>
      <w:r>
        <w:rPr>
          <w:rFonts w:ascii="Cascadia Mono" w:cs="Cascadia Mono" w:eastAsia="Cascadia Mono" w:hAnsi="Cascadia Mono"/>
          <w:color w:val="2B2B2B"/>
          <w:sz w:val="18"/>
          <w:szCs w:val="18"/>
        </w:rPr>
        <w:t xml:space="preserve">ORCH-nn</w:t>
      </w:r>
      <w:r>
        <w:t xml:space="preserve">.</w:t>
      </w:r>
    </w:p>
    <w:p>
      <w:pPr>
        <w:spacing w:after="140"/>
      </w:pPr>
      <w:r>
        <w:rPr>
          <w:b/>
          <w:bCs/>
        </w:rPr>
        <w:t xml:space="preserve">Persona.</w:t>
      </w:r>
      <w:r>
        <w:t xml:space="preserve"> A role that interacts with an APEX service. Catalogued in </w:t>
      </w:r>
      <w:r>
        <w:rPr>
          <w:rFonts w:ascii="Cascadia Mono" w:cs="Cascadia Mono" w:eastAsia="Cascadia Mono" w:hAnsi="Cascadia Mono"/>
          <w:color w:val="2B2B2B"/>
          <w:sz w:val="18"/>
          <w:szCs w:val="18"/>
        </w:rPr>
        <w:t xml:space="preserve">persona-catalog.json</w:t>
      </w:r>
      <w:r>
        <w:t xml:space="preserve">.</w:t>
      </w:r>
    </w:p>
    <w:p>
      <w:pPr>
        <w:spacing w:after="140"/>
      </w:pPr>
      <w:r>
        <w:rPr>
          <w:b/>
          <w:bCs/>
        </w:rPr>
        <w:t xml:space="preserve">Practice (L3).</w:t>
      </w:r>
      <w:r>
        <w:t xml:space="preserve"> An industry-specific bundle of schemas + agents + MCP tools + orchestrations + gates + services + personas + KPIs. Renamed from "Fleet" in Core v1.2.1.</w:t>
      </w:r>
    </w:p>
    <w:p>
      <w:pPr>
        <w:spacing w:after="140"/>
      </w:pPr>
      <w:r>
        <w:rPr>
          <w:b/>
          <w:bCs/>
        </w:rPr>
        <w:t xml:space="preserve">Purview.</w:t>
      </w:r>
      <w:r>
        <w:t xml:space="preserve"> Microsoft's data governance product. Used for lineage, DLP, labels.</w:t>
      </w:r>
    </w:p>
    <w:p>
      <w:pPr>
        <w:spacing w:after="140"/>
      </w:pPr>
      <w:r>
        <w:rPr>
          <w:b/>
          <w:bCs/>
        </w:rPr>
        <w:t xml:space="preserve">SCD2.</w:t>
      </w:r>
      <w:r>
        <w:t xml:space="preserve"> Slowly Changing Dimension Type 2 — historical-record pattern.</w:t>
      </w:r>
    </w:p>
    <w:p>
      <w:pPr>
        <w:spacing w:after="140"/>
      </w:pPr>
      <w:r>
        <w:rPr>
          <w:b/>
          <w:bCs/>
        </w:rPr>
        <w:t xml:space="preserve">Service.</w:t>
      </w:r>
      <w:r>
        <w:t xml:space="preserve"> A subscribable SKU. Bundles schemas, agents, MCP tools, orchestration, and a gate. ID format </w:t>
      </w:r>
      <w:r>
        <w:rPr>
          <w:rFonts w:ascii="Cascadia Mono" w:cs="Cascadia Mono" w:eastAsia="Cascadia Mono" w:hAnsi="Cascadia Mono"/>
          <w:color w:val="2B2B2B"/>
          <w:sz w:val="18"/>
          <w:szCs w:val="18"/>
        </w:rPr>
        <w:t xml:space="preserve">APEX-&lt;practice&gt;-&lt;domain&gt;-&lt;nn&gt;</w:t>
      </w:r>
      <w:r>
        <w:t xml:space="preserve">.</w:t>
      </w:r>
    </w:p>
    <w:p>
      <w:pPr>
        <w:spacing w:after="140"/>
      </w:pPr>
      <w:r>
        <w:rPr>
          <w:b/>
          <w:bCs/>
        </w:rPr>
        <w:t xml:space="preserve">Silver.</w:t>
      </w:r>
      <w:r>
        <w:t xml:space="preserve"> The Medallion layer holding canonicalised, tokenised, contract-compliant data.</w:t>
      </w:r>
    </w:p>
    <w:p>
      <w:pPr>
        <w:spacing w:after="140"/>
      </w:pPr>
      <w:r>
        <w:rPr>
          <w:b/>
          <w:bCs/>
        </w:rPr>
        <w:t xml:space="preserve">SLO.</w:t>
      </w:r>
      <w:r>
        <w:t xml:space="preserve"> Service Level Objective. APEX-standard keys: </w:t>
      </w:r>
      <w:r>
        <w:rPr>
          <w:rFonts w:ascii="Cascadia Mono" w:cs="Cascadia Mono" w:eastAsia="Cascadia Mono" w:hAnsi="Cascadia Mono"/>
          <w:color w:val="2B2B2B"/>
          <w:sz w:val="18"/>
          <w:szCs w:val="18"/>
        </w:rPr>
        <w:t xml:space="preserve">detection_p95_sec</w:t>
      </w:r>
      <w:r>
        <w:t xml:space="preserve">, </w:t>
      </w:r>
      <w:r>
        <w:rPr>
          <w:rFonts w:ascii="Cascadia Mono" w:cs="Cascadia Mono" w:eastAsia="Cascadia Mono" w:hAnsi="Cascadia Mono"/>
          <w:color w:val="2B2B2B"/>
          <w:sz w:val="18"/>
          <w:szCs w:val="18"/>
        </w:rPr>
        <w:t xml:space="preserve">decision_p95_min</w:t>
      </w:r>
      <w:r>
        <w:t xml:space="preserve">, </w:t>
      </w:r>
      <w:r>
        <w:rPr>
          <w:rFonts w:ascii="Cascadia Mono" w:cs="Cascadia Mono" w:eastAsia="Cascadia Mono" w:hAnsi="Cascadia Mono"/>
          <w:color w:val="2B2B2B"/>
          <w:sz w:val="18"/>
          <w:szCs w:val="18"/>
        </w:rPr>
        <w:t xml:space="preserve">false_positive_rate</w:t>
      </w:r>
      <w:r>
        <w:t xml:space="preserve">, </w:t>
      </w:r>
      <w:r>
        <w:rPr>
          <w:rFonts w:ascii="Cascadia Mono" w:cs="Cascadia Mono" w:eastAsia="Cascadia Mono" w:hAnsi="Cascadia Mono"/>
          <w:color w:val="2B2B2B"/>
          <w:sz w:val="18"/>
          <w:szCs w:val="18"/>
        </w:rPr>
        <w:t xml:space="preserve">availability_pct</w:t>
      </w:r>
      <w:r>
        <w:t xml:space="preserve">.</w:t>
      </w:r>
    </w:p>
    <w:p>
      <w:pPr>
        <w:spacing w:after="140"/>
      </w:pPr>
      <w:r>
        <w:rPr>
          <w:b/>
          <w:bCs/>
        </w:rPr>
        <w:t xml:space="preserve">SOR.</w:t>
      </w:r>
      <w:r>
        <w:t xml:space="preserve"> System of Record.</w:t>
      </w:r>
    </w:p>
    <w:p>
      <w:pPr>
        <w:spacing w:after="140"/>
      </w:pPr>
      <w:r>
        <w:rPr>
          <w:b/>
          <w:bCs/>
        </w:rPr>
        <w:t xml:space="preserve">Tenant (L4).</w:t>
      </w:r>
      <w:r>
        <w:t xml:space="preserve"> A client's APEX instance.</w:t>
      </w:r>
    </w:p>
    <w:p>
      <w:pPr>
        <w:spacing w:after="140"/>
      </w:pPr>
      <w:r>
        <w:rPr>
          <w:b/>
          <w:bCs/>
        </w:rPr>
        <w:t xml:space="preserve">Tokenisation.</w:t>
      </w:r>
      <w:r>
        <w:t xml:space="preserve"> Replacement of a PII value with a stable opaque token at the Silver boundary.</w:t>
      </w:r>
    </w:p>
    <w:p>
      <w:pPr>
        <w:spacing w:after="140"/>
      </w:pPr>
      <w:r>
        <w:rPr>
          <w:b/>
          <w:bCs/>
        </w:rPr>
        <w:t xml:space="preserve">Trace.</w:t>
      </w:r>
      <w:r>
        <w:t xml:space="preserve"> An App Insights operation chain stitching every downstream event under one operation_Id.</w:t>
      </w:r>
    </w:p>
    <w:p>
      <w:pPr>
        <w:spacing w:after="140"/>
      </w:pPr>
      <w:r>
        <w:rPr>
          <w:b/>
          <w:bCs/>
        </w:rPr>
        <w:t xml:space="preserve">Workspace.</w:t>
      </w:r>
      <w:r>
        <w:t xml:space="preserve"> A Fabric organisational unit. APEX uses per-Practice and per-Tenant workspaces.</w:t>
      </w:r>
    </w:p>
    <w:p>
      <w:pPr>
        <w:spacing w:after="140"/>
      </w:pPr>
      <w:r>
        <w:rPr>
          <w:b/>
          <w:bCs/>
        </w:rPr>
        <w:t xml:space="preserve">ZERO_TOUCH.</w:t>
      </w:r>
      <w:r>
        <w:t xml:space="preserve"> A HITL gate kind meaning "apply silently." Default for PATCH bumps.</w:t>
      </w:r>
    </w:p>
    <w:p>
      <w:pPr>
        <w:pStyle w:val="Heading3"/>
        <w:spacing w:after="120" w:before="260"/>
      </w:pPr>
      <w:r>
        <w:rPr>
          <w:rFonts w:ascii="Aptos" w:cs="Aptos" w:eastAsia="Aptos" w:hAnsi="Aptos"/>
          <w:b/>
          <w:bCs/>
          <w:color w:val="0B111E"/>
          <w:sz w:val="24"/>
          <w:szCs w:val="24"/>
        </w:rPr>
        <w:t xml:space="preserve">G.1 APEX-Specific Terms (Extended)</w:t>
      </w:r>
    </w:p>
    <w:p>
      <w:pPr>
        <w:spacing w:after="140"/>
      </w:pPr>
      <w:r>
        <w:rPr>
          <w:b/>
          <w:bCs/>
        </w:rPr>
        <w:t xml:space="preserve">Agent manifest.</w:t>
      </w:r>
      <w:r>
        <w:t xml:space="preserve"> JSON describing an agent's id, name, version, schemas_read, mcp_tools_allowed, model selection, orchestration role, HITL gate, telemetry context, and list of services it ships in.</w:t>
      </w:r>
    </w:p>
    <w:p>
      <w:pPr>
        <w:spacing w:after="140"/>
      </w:pPr>
      <w:r>
        <w:rPr>
          <w:b/>
          <w:bCs/>
        </w:rPr>
        <w:t xml:space="preserve">Agentic AI.</w:t>
      </w:r>
      <w:r>
        <w:t xml:space="preserve"> AI systems where a language model acts as a reasoning engine with tool-use, memory, and bounded autonomy. Distinguished from generative AI (which produces text without action) and predictive ML (which classifies or forecasts without reasoning).</w:t>
      </w:r>
    </w:p>
    <w:p>
      <w:pPr>
        <w:spacing w:after="140"/>
      </w:pPr>
      <w:r>
        <w:rPr>
          <w:b/>
          <w:bCs/>
        </w:rPr>
        <w:t xml:space="preserve">APEX Core.</w:t>
      </w:r>
      <w:r>
        <w:t xml:space="preserve"> The normative specification at </w:t>
      </w:r>
      <w:r>
        <w:rPr>
          <w:rFonts w:ascii="Cascadia Mono" w:cs="Cascadia Mono" w:eastAsia="Cascadia Mono" w:hAnsi="Cascadia Mono"/>
          <w:color w:val="2B2B2B"/>
          <w:sz w:val="18"/>
          <w:szCs w:val="18"/>
        </w:rPr>
        <w:t xml:space="preserve">apex-core/</w:t>
      </w:r>
      <w:r>
        <w:t xml:space="preserve">, including JSON contracts for every manifest type, validation tooling, and the prose build specs.</w:t>
      </w:r>
    </w:p>
    <w:p>
      <w:pPr>
        <w:spacing w:after="140"/>
      </w:pPr>
      <w:r>
        <w:rPr>
          <w:b/>
          <w:bCs/>
        </w:rPr>
        <w:t xml:space="preserve">Blast radius.</w:t>
      </w:r>
      <w:r>
        <w:t xml:space="preserve"> In APEX context, the scope of consumers (schemas, services, tenants) affected by a specific change. Measured programmatically by </w:t>
      </w:r>
      <w:r>
        <w:rPr>
          <w:rFonts w:ascii="Cascadia Mono" w:cs="Cascadia Mono" w:eastAsia="Cascadia Mono" w:hAnsi="Cascadia Mono"/>
          <w:color w:val="2B2B2B"/>
          <w:sz w:val="18"/>
          <w:szCs w:val="18"/>
        </w:rPr>
        <w:t xml:space="preserve">classify-bump</w:t>
      </w:r>
      <w:r>
        <w:t xml:space="preserve"> and the dependency graph.</w:t>
      </w:r>
    </w:p>
    <w:p>
      <w:pPr>
        <w:spacing w:after="140"/>
      </w:pPr>
      <w:r>
        <w:rPr>
          <w:b/>
          <w:bCs/>
        </w:rPr>
        <w:t xml:space="preserve">Bronze/Silver/Gold.</w:t>
      </w:r>
      <w:r>
        <w:t xml:space="preserve"> The three-layer Medallion data architecture. Bronze = SOR-native landed data; Silver = canonicalised, tokenised; Gold = materialised agent-read views.</w:t>
      </w:r>
    </w:p>
    <w:p>
      <w:pPr>
        <w:spacing w:after="140"/>
      </w:pPr>
      <w:r>
        <w:rPr>
          <w:b/>
          <w:bCs/>
        </w:rPr>
        <w:t xml:space="preserve">Canary release.</w:t>
      </w:r>
      <w:r>
        <w:t xml:space="preserve"> A staged release where a new version takes a small percentage of traffic (APEX default 5%) for a fixed duration (APEX default 72 hours) before full cutover. SLO-burn auto-rollback.</w:t>
      </w:r>
    </w:p>
    <w:p>
      <w:pPr>
        <w:spacing w:after="140"/>
      </w:pPr>
      <w:r>
        <w:rPr>
          <w:b/>
          <w:bCs/>
        </w:rPr>
        <w:t xml:space="preserve">Canonical envelope.</w:t>
      </w:r>
      <w:r>
        <w:t xml:space="preserve"> The five universal fields every Silver row carries. See Appendix A.1.</w:t>
      </w:r>
    </w:p>
    <w:p>
      <w:pPr>
        <w:spacing w:after="140"/>
      </w:pPr>
      <w:r>
        <w:rPr>
          <w:b/>
          <w:bCs/>
        </w:rPr>
        <w:t xml:space="preserve">Contract preamble.</w:t>
      </w:r>
      <w:r>
        <w:t xml:space="preserve"> The fixed opening sections of every APEX agent's system prompt: CONTRACT, REASONING STYLE, SCENARIO CONTEXT, INSTRUCTIONS. The preamble defines the boundary; the body is task-specific.</w:t>
      </w:r>
    </w:p>
    <w:p>
      <w:pPr>
        <w:spacing w:after="140"/>
      </w:pPr>
      <w:r>
        <w:rPr>
          <w:b/>
          <w:bCs/>
        </w:rPr>
        <w:t xml:space="preserve">CXML / MERML / SCML / HLSCML / ERCML / AXLECML.</w:t>
      </w:r>
      <w:r>
        <w:t xml:space="preserve"> Canonical schema family names. See Appendix A.</w:t>
      </w:r>
    </w:p>
    <w:p>
      <w:pPr>
        <w:spacing w:after="140"/>
      </w:pPr>
      <w:r>
        <w:rPr>
          <w:b/>
          <w:bCs/>
        </w:rPr>
        <w:t xml:space="preserve">Decision audit row.</w:t>
      </w:r>
      <w:r>
        <w:t xml:space="preserve"> An append-only row in </w:t>
      </w:r>
      <w:r>
        <w:rPr>
          <w:rFonts w:ascii="Cascadia Mono" w:cs="Cascadia Mono" w:eastAsia="Cascadia Mono" w:hAnsi="Cascadia Mono"/>
          <w:color w:val="2B2B2B"/>
          <w:sz w:val="18"/>
          <w:szCs w:val="18"/>
        </w:rPr>
        <w:t xml:space="preserve">silver_decision_audit</w:t>
      </w:r>
      <w:r>
        <w:t xml:space="preserve"> capturing every HITL decision with operation_Id, input_hash, output_hash, decider_oid, rationale, and rollback pointer. The platform's single source of truth for regulatory reconstruction.</w:t>
      </w:r>
    </w:p>
    <w:p>
      <w:pPr>
        <w:spacing w:after="140"/>
      </w:pPr>
      <w:r>
        <w:rPr>
          <w:b/>
          <w:bCs/>
        </w:rPr>
        <w:t xml:space="preserve">Decision latency.</w:t>
      </w:r>
      <w:r>
        <w:t xml:space="preserve"> Time from triggering event to decision committed. Measured per-service with p50/p95/p99 percentiles.</w:t>
      </w:r>
    </w:p>
    <w:p>
      <w:pPr>
        <w:spacing w:after="140"/>
      </w:pPr>
      <w:r>
        <w:rPr>
          <w:b/>
          <w:bCs/>
        </w:rPr>
        <w:t xml:space="preserve">Edition (L2).</w:t>
      </w:r>
      <w:r>
        <w:t xml:space="preserve"> A versioned release of APEX Core — e.g., Core v1.2.0. Downstream manifests pin the edition they require.</w:t>
      </w:r>
    </w:p>
    <w:p>
      <w:pPr>
        <w:spacing w:after="140"/>
      </w:pPr>
      <w:r>
        <w:rPr>
          <w:b/>
          <w:bCs/>
        </w:rPr>
        <w:t xml:space="preserve">Fixture replay.</w:t>
      </w:r>
      <w:r>
        <w:t xml:space="preserve"> A test discipline where a set of canonical anonymised events is replayed through a candidate agent/orchestration change; outputs are compared to the prior-version outputs. Used for prompt-change regression testing.</w:t>
      </w:r>
    </w:p>
    <w:p>
      <w:pPr>
        <w:spacing w:after="140"/>
      </w:pPr>
      <w:r>
        <w:rPr>
          <w:b/>
          <w:bCs/>
        </w:rPr>
        <w:t xml:space="preserve">HITL.</w:t>
      </w:r>
      <w:r>
        <w:t xml:space="preserve"> Human-in-the-Loop. The gate kind requiring human approval. Also used colloquially to describe the entire APEX interaction pattern.</w:t>
      </w:r>
    </w:p>
    <w:p>
      <w:pPr>
        <w:spacing w:after="140"/>
      </w:pPr>
      <w:r>
        <w:rPr>
          <w:b/>
          <w:bCs/>
        </w:rPr>
        <w:t xml:space="preserve">L1 / L2 / L3 / L4.</w:t>
      </w:r>
      <w:r>
        <w:t xml:space="preserve"> The four APEX lifecycle layers: Contract, Edition, Practice, Tenant.</w:t>
      </w:r>
    </w:p>
    <w:p>
      <w:pPr>
        <w:spacing w:after="140"/>
      </w:pPr>
      <w:r>
        <w:rPr>
          <w:b/>
          <w:bCs/>
        </w:rPr>
        <w:t xml:space="preserve">Manifest-driven.</w:t>
      </w:r>
      <w:r>
        <w:t xml:space="preserve"> APEX's governing discipline: every change is expressed as a manifest diff; every manifest is validated by contract; every diff is classified by SemVer bump rules; every classification maps to a gate.</w:t>
      </w:r>
    </w:p>
    <w:p>
      <w:pPr>
        <w:spacing w:after="140"/>
      </w:pPr>
      <w:r>
        <w:rPr>
          <w:b/>
          <w:bCs/>
        </w:rPr>
        <w:t xml:space="preserve">MCP.</w:t>
      </w:r>
      <w:r>
        <w:t xml:space="preserve"> Model Context Protocol. Open standard for typed agent-tool contracts. See Companion 03 of the Developer Implementation Guide for deep detail.</w:t>
      </w:r>
    </w:p>
    <w:p>
      <w:pPr>
        <w:spacing w:after="140"/>
      </w:pPr>
      <w:r>
        <w:rPr>
          <w:b/>
          <w:bCs/>
        </w:rPr>
        <w:t xml:space="preserve">Operation_Id.</w:t>
      </w:r>
      <w:r>
        <w:t xml:space="preserve"> App Insights identifier that threads every child span of a single logical operation. In APEX, a single triggering event yields one operation_Id that covers all downstream processing.</w:t>
      </w:r>
    </w:p>
    <w:p>
      <w:pPr>
        <w:spacing w:after="140"/>
      </w:pPr>
      <w:r>
        <w:rPr>
          <w:b/>
          <w:bCs/>
        </w:rPr>
        <w:t xml:space="preserve">Operator.</w:t>
      </w:r>
      <w:r>
        <w:t xml:space="preserve"> Colloquial term for the human persona operating on APEX decisions — store MOD, charge nurse, grid-ops engineer, plant supervisor, etc. Sometimes "resolver."</w:t>
      </w:r>
    </w:p>
    <w:p>
      <w:pPr>
        <w:spacing w:after="140"/>
      </w:pPr>
      <w:r>
        <w:rPr>
          <w:b/>
          <w:bCs/>
        </w:rPr>
        <w:t xml:space="preserve">Practice (L3).</w:t>
      </w:r>
      <w:r>
        <w:t xml:space="preserve"> An industry-specific bundle of schemas + agents + MCP tools + orchestrations + gates + services + personas + KPIs. Renamed from "Fleet" in Core v1.2.1. APEX ships four Practices today: RC, HLS, ER, AXLE.</w:t>
      </w:r>
    </w:p>
    <w:p>
      <w:pPr>
        <w:spacing w:after="140"/>
      </w:pPr>
      <w:r>
        <w:rPr>
          <w:b/>
          <w:bCs/>
        </w:rPr>
        <w:t xml:space="preserve">Practice pin.</w:t>
      </w:r>
      <w:r>
        <w:t xml:space="preserve"> The version of a Practice that a Tenant is running. Expressed as </w:t>
      </w:r>
      <w:r>
        <w:rPr>
          <w:rFonts w:ascii="Cascadia Mono" w:cs="Cascadia Mono" w:eastAsia="Cascadia Mono" w:hAnsi="Cascadia Mono"/>
          <w:color w:val="2B2B2B"/>
          <w:sz w:val="18"/>
          <w:szCs w:val="18"/>
        </w:rPr>
        <w:t xml:space="preserve">practice_pinned_version</w:t>
      </w:r>
      <w:r>
        <w:t xml:space="preserve"> in the tenant manifest.</w:t>
      </w:r>
    </w:p>
    <w:p>
      <w:pPr>
        <w:spacing w:after="140"/>
      </w:pPr>
      <w:r>
        <w:rPr>
          <w:b/>
          <w:bCs/>
        </w:rPr>
        <w:t xml:space="preserve">Rollback pointer.</w:t>
      </w:r>
      <w:r>
        <w:t xml:space="preserve"> A reference in </w:t>
      </w:r>
      <w:r>
        <w:rPr>
          <w:rFonts w:ascii="Cascadia Mono" w:cs="Cascadia Mono" w:eastAsia="Cascadia Mono" w:hAnsi="Cascadia Mono"/>
          <w:color w:val="2B2B2B"/>
          <w:sz w:val="18"/>
          <w:szCs w:val="18"/>
        </w:rPr>
        <w:t xml:space="preserve">silver_decision_audit</w:t>
      </w:r>
      <w:r>
        <w:t xml:space="preserve"> that points to the compensating orchestration which, if executed, would reverse the effect of the original decision. Not every decision has a non-trivial rollback; those that do (ledger writes, outbound communications) record it.</w:t>
      </w:r>
    </w:p>
    <w:p>
      <w:pPr>
        <w:spacing w:after="140"/>
      </w:pPr>
      <w:r>
        <w:rPr>
          <w:b/>
          <w:bCs/>
        </w:rPr>
        <w:t xml:space="preserve">Service.</w:t>
      </w:r>
      <w:r>
        <w:t xml:space="preserve"> A subscribable SKU. Bundles schemas + agents + MCP tools + orchestration + HITL gate + prerequisites + commercial terms. One service = one measurable business outcome.</w:t>
      </w:r>
    </w:p>
    <w:p>
      <w:pPr>
        <w:spacing w:after="140"/>
      </w:pPr>
      <w:r>
        <w:rPr>
          <w:b/>
          <w:bCs/>
        </w:rPr>
        <w:t xml:space="preserve">Service-manifest.</w:t>
      </w:r>
      <w:r>
        <w:t xml:space="preserve"> The JSON description of a service, validated by </w:t>
      </w:r>
      <w:r>
        <w:rPr>
          <w:rFonts w:ascii="Cascadia Mono" w:cs="Cascadia Mono" w:eastAsia="Cascadia Mono" w:hAnsi="Cascadia Mono"/>
          <w:color w:val="2B2B2B"/>
          <w:sz w:val="18"/>
          <w:szCs w:val="18"/>
        </w:rPr>
        <w:t xml:space="preserve">service-manifest-contract.json</w:t>
      </w:r>
      <w:r>
        <w:t xml:space="preserve">.</w:t>
      </w:r>
    </w:p>
    <w:p>
      <w:pPr>
        <w:spacing w:after="140"/>
      </w:pPr>
      <w:r>
        <w:rPr>
          <w:b/>
          <w:bCs/>
        </w:rPr>
        <w:t xml:space="preserve">Shadow mode.</w:t>
      </w:r>
      <w:r>
        <w:t xml:space="preserve"> Running a service with decisions generated and logged but not actually acted on. Used during onboarding (week 5 of 6) to calibrate thresholds before go-live.</w:t>
      </w:r>
    </w:p>
    <w:p>
      <w:pPr>
        <w:spacing w:after="140"/>
      </w:pPr>
      <w:r>
        <w:rPr>
          <w:b/>
          <w:bCs/>
        </w:rPr>
        <w:t xml:space="preserve">Silver canonical contract.</w:t>
      </w:r>
      <w:r>
        <w:t xml:space="preserve"> The contract enforced at the Bronze→Silver boundary. Every Silver row matches its schema manifest; PII is tokenised; envelope fields are present; SCD2 state is maintained where applicable.</w:t>
      </w:r>
    </w:p>
    <w:p>
      <w:pPr>
        <w:spacing w:after="140"/>
      </w:pPr>
      <w:r>
        <w:rPr>
          <w:b/>
          <w:bCs/>
        </w:rPr>
        <w:t xml:space="preserve">Shim (the fleet shim).</w:t>
      </w:r>
      <w:r>
        <w:t xml:space="preserve"> </w:t>
      </w:r>
      <w:r>
        <w:rPr>
          <w:rFonts w:ascii="Cascadia Mono" w:cs="Cascadia Mono" w:eastAsia="Cascadia Mono" w:hAnsi="Cascadia Mono"/>
          <w:color w:val="2B2B2B"/>
          <w:sz w:val="18"/>
          <w:szCs w:val="18"/>
        </w:rPr>
        <w:t xml:space="preserve">apex-core/tools/validate-fleet.js</w:t>
      </w:r>
      <w:r>
        <w:t xml:space="preserve">. A backward-compat wrapper retained through Core v1.2.x.</w:t>
      </w:r>
    </w:p>
    <w:p>
      <w:pPr>
        <w:spacing w:after="140"/>
      </w:pPr>
      <w:r>
        <w:rPr>
          <w:b/>
          <w:bCs/>
        </w:rPr>
        <w:t xml:space="preserve">SLO burn.</w:t>
      </w:r>
      <w:r>
        <w:t xml:space="preserve"> The rate at which a service is consuming its error budget. Measured against rolling windows.</w:t>
      </w:r>
    </w:p>
    <w:p>
      <w:pPr>
        <w:spacing w:after="140"/>
      </w:pPr>
      <w:r>
        <w:rPr>
          <w:b/>
          <w:bCs/>
        </w:rPr>
        <w:t xml:space="preserve">System prompt.</w:t>
      </w:r>
      <w:r>
        <w:t xml:space="preserve"> The fixed text supplied to an agent's model at every invocation. In APEX, composed of the contract preamble plus task-specific instructions.</w:t>
      </w:r>
    </w:p>
    <w:p>
      <w:pPr>
        <w:spacing w:after="140"/>
      </w:pPr>
      <w:r>
        <w:rPr>
          <w:b/>
          <w:bCs/>
        </w:rPr>
        <w:t xml:space="preserve">Tenant (L4).</w:t>
      </w:r>
      <w:r>
        <w:t xml:space="preserve"> A client's APEX instance. One client may have multiple tenants (e.g., different banners of a retailer, different health systems in an IDN).</w:t>
      </w:r>
    </w:p>
    <w:p>
      <w:pPr>
        <w:spacing w:after="140"/>
      </w:pPr>
      <w:r>
        <w:rPr>
          <w:b/>
          <w:bCs/>
        </w:rPr>
        <w:t xml:space="preserve">Tokenisation.</w:t>
      </w:r>
      <w:r>
        <w:t xml:space="preserve"> Replacement of PII values with stable opaque tokens at the Silver boundary. Reversible only via </w:t>
      </w:r>
      <w:r>
        <w:rPr>
          <w:rFonts w:ascii="Cascadia Mono" w:cs="Cascadia Mono" w:eastAsia="Cascadia Mono" w:hAnsi="Cascadia Mono"/>
          <w:color w:val="2B2B2B"/>
          <w:sz w:val="18"/>
          <w:szCs w:val="18"/>
        </w:rPr>
        <w:t xml:space="preserve">tokenizer-mcp.reverse_tokenize</w:t>
      </w:r>
      <w:r>
        <w:t xml:space="preserve"> with audit-row-before-call discipline.</w:t>
      </w:r>
    </w:p>
    <w:p>
      <w:pPr>
        <w:spacing w:after="140"/>
      </w:pPr>
      <w:r>
        <w:rPr>
          <w:b/>
          <w:bCs/>
        </w:rPr>
        <w:t xml:space="preserve">Tool allow-list.</w:t>
      </w:r>
      <w:r>
        <w:t xml:space="preserve"> The specific MCP tools an agent's manifest permits. Enforced at runtime by Agent Service.</w:t>
      </w:r>
    </w:p>
    <w:p>
      <w:pPr>
        <w:pStyle w:val="Heading3"/>
        <w:spacing w:after="120" w:before="260"/>
      </w:pPr>
      <w:r>
        <w:rPr>
          <w:rFonts w:ascii="Aptos" w:cs="Aptos" w:eastAsia="Aptos" w:hAnsi="Aptos"/>
          <w:b/>
          <w:bCs/>
          <w:color w:val="0B111E"/>
          <w:sz w:val="24"/>
          <w:szCs w:val="24"/>
        </w:rPr>
        <w:t xml:space="preserve">G.2 Microsoft Platform Terms</w:t>
      </w:r>
    </w:p>
    <w:p>
      <w:pPr>
        <w:spacing w:after="140"/>
      </w:pPr>
      <w:r>
        <w:rPr>
          <w:b/>
          <w:bCs/>
        </w:rPr>
        <w:t xml:space="preserve">App Insights.</w:t>
      </w:r>
      <w:r>
        <w:t xml:space="preserve"> Application Performance Monitoring service within Azure Monitor. APEX threads every agent invocation through App Insights operation_Ids.</w:t>
      </w:r>
    </w:p>
    <w:p>
      <w:pPr>
        <w:spacing w:after="140"/>
      </w:pPr>
      <w:r>
        <w:rPr>
          <w:b/>
          <w:bCs/>
        </w:rPr>
        <w:t xml:space="preserve">Azure AI Agent Service.</w:t>
      </w:r>
      <w:r>
        <w:t xml:space="preserve"> The runtime where APEX agents live. Handles agent registration, tool catalog binding, token budgeting, canary weighting.</w:t>
      </w:r>
    </w:p>
    <w:p>
      <w:pPr>
        <w:spacing w:after="140"/>
      </w:pPr>
      <w:r>
        <w:rPr>
          <w:b/>
          <w:bCs/>
        </w:rPr>
        <w:t xml:space="preserve">Azure AI Foundry.</w:t>
      </w:r>
      <w:r>
        <w:t xml:space="preserve"> Agent authoring experience. Playground for iteration; code-first SDK for committing.</w:t>
      </w:r>
    </w:p>
    <w:p>
      <w:pPr>
        <w:spacing w:after="140"/>
      </w:pPr>
      <w:r>
        <w:rPr>
          <w:b/>
          <w:bCs/>
        </w:rPr>
        <w:t xml:space="preserve">Cascadia Mono.</w:t>
      </w:r>
      <w:r>
        <w:t xml:space="preserve"> Microsoft's open-source monospace font. Used by APEX documents including this one.</w:t>
      </w:r>
    </w:p>
    <w:p>
      <w:pPr>
        <w:spacing w:after="140"/>
      </w:pPr>
      <w:r>
        <w:rPr>
          <w:b/>
          <w:bCs/>
        </w:rPr>
        <w:t xml:space="preserve">Copilot Studio.</w:t>
      </w:r>
      <w:r>
        <w:t xml:space="preserve"> Low-code Copilot authoring. APEX optionally surfaces agent interactions through Copilot Studio front-ends for conversational personas.</w:t>
      </w:r>
    </w:p>
    <w:p>
      <w:pPr>
        <w:spacing w:after="140"/>
      </w:pPr>
      <w:r>
        <w:rPr>
          <w:b/>
          <w:bCs/>
        </w:rPr>
        <w:t xml:space="preserve">Dataflow Gen2.</w:t>
      </w:r>
      <w:r>
        <w:t xml:space="preserve"> Fabric's pull-based ingest tool. Used for REST-API-sourced Bronze ingestion.</w:t>
      </w:r>
    </w:p>
    <w:p>
      <w:pPr>
        <w:spacing w:after="140"/>
      </w:pPr>
      <w:r>
        <w:rPr>
          <w:b/>
          <w:bCs/>
        </w:rPr>
        <w:t xml:space="preserve">Dataverse.</w:t>
      </w:r>
      <w:r>
        <w:t xml:space="preserve"> Power Platform's data service. APEX uses it selectively for Power Apps/Automate-facing state.</w:t>
      </w:r>
    </w:p>
    <w:p>
      <w:pPr>
        <w:spacing w:after="140"/>
      </w:pPr>
      <w:r>
        <w:rPr>
          <w:b/>
          <w:bCs/>
        </w:rPr>
        <w:t xml:space="preserve">Durable Functions.</w:t>
      </w:r>
      <w:r>
        <w:t xml:space="preserve"> Azure's stateful serverless orchestrator. APEX's long-running orchestration runtime.</w:t>
      </w:r>
    </w:p>
    <w:p>
      <w:pPr>
        <w:spacing w:after="140"/>
      </w:pPr>
      <w:r>
        <w:rPr>
          <w:b/>
          <w:bCs/>
        </w:rPr>
        <w:t xml:space="preserve">Entra ID.</w:t>
      </w:r>
      <w:r>
        <w:t xml:space="preserve"> Microsoft's identity platform (formerly Azure AD). The identity substrate for everything APEX does.</w:t>
      </w:r>
    </w:p>
    <w:p>
      <w:pPr>
        <w:spacing w:after="140"/>
      </w:pPr>
      <w:r>
        <w:rPr>
          <w:b/>
          <w:bCs/>
        </w:rPr>
        <w:t xml:space="preserve">Eventstream.</w:t>
      </w:r>
      <w:r>
        <w:t xml:space="preserve"> Fabric's real-time ingest item. Used for telemetry and event-streaming SORs.</w:t>
      </w:r>
    </w:p>
    <w:p>
      <w:pPr>
        <w:spacing w:after="140"/>
      </w:pPr>
      <w:r>
        <w:rPr>
          <w:b/>
          <w:bCs/>
        </w:rPr>
        <w:t xml:space="preserve">Fabric.</w:t>
      </w:r>
      <w:r>
        <w:t xml:space="preserve"> Microsoft's unified SaaS data platform. APEX's data plane.</w:t>
      </w:r>
    </w:p>
    <w:p>
      <w:pPr>
        <w:spacing w:after="140"/>
      </w:pPr>
      <w:r>
        <w:rPr>
          <w:b/>
          <w:bCs/>
        </w:rPr>
        <w:t xml:space="preserve">Lakehouse.</w:t>
      </w:r>
      <w:r>
        <w:t xml:space="preserve"> Fabric item unifying Delta storage with a T-SQL endpoint. APEX's Bronze and Silver live here.</w:t>
      </w:r>
    </w:p>
    <w:p>
      <w:pPr>
        <w:spacing w:after="140"/>
      </w:pPr>
      <w:r>
        <w:rPr>
          <w:b/>
          <w:bCs/>
        </w:rPr>
        <w:t xml:space="preserve">Logic Apps.</w:t>
      </w:r>
      <w:r>
        <w:t xml:space="preserve"> Azure's declarative workflow runtime. APEX's short-running orchestration runtime.</w:t>
      </w:r>
    </w:p>
    <w:p>
      <w:pPr>
        <w:spacing w:after="140"/>
      </w:pPr>
      <w:r>
        <w:rPr>
          <w:b/>
          <w:bCs/>
        </w:rPr>
        <w:t xml:space="preserve">Managed identity.</w:t>
      </w:r>
      <w:r>
        <w:t xml:space="preserve"> Azure's identity mechanism where a resource (function, container app) is issued a token tied to its own identity, used for secret-less service-to-service auth.</w:t>
      </w:r>
    </w:p>
    <w:p>
      <w:pPr>
        <w:spacing w:after="140"/>
      </w:pPr>
      <w:r>
        <w:rPr>
          <w:b/>
          <w:bCs/>
        </w:rPr>
        <w:t xml:space="preserve">Mirrored Database.</w:t>
      </w:r>
      <w:r>
        <w:t xml:space="preserve"> Fabric's CDC ingestion item. Covers SQL Server, Cosmos DB, Snowflake, soon more.</w:t>
      </w:r>
    </w:p>
    <w:p>
      <w:pPr>
        <w:spacing w:after="140"/>
      </w:pPr>
      <w:r>
        <w:rPr>
          <w:b/>
          <w:bCs/>
        </w:rPr>
        <w:t xml:space="preserve">OneLake.</w:t>
      </w:r>
      <w:r>
        <w:t xml:space="preserve"> Fabric's unified storage substrate.</w:t>
      </w:r>
    </w:p>
    <w:p>
      <w:pPr>
        <w:spacing w:after="140"/>
      </w:pPr>
      <w:r>
        <w:rPr>
          <w:b/>
          <w:bCs/>
        </w:rPr>
        <w:t xml:space="preserve">Purview.</w:t>
      </w:r>
      <w:r>
        <w:t xml:space="preserve"> Microsoft's data governance product. APEX uses it for lineage, labels, DLP.</w:t>
      </w:r>
    </w:p>
    <w:p>
      <w:pPr>
        <w:spacing w:after="140"/>
      </w:pPr>
      <w:r>
        <w:rPr>
          <w:b/>
          <w:bCs/>
        </w:rPr>
        <w:t xml:space="preserve">Warehouse.</w:t>
      </w:r>
      <w:r>
        <w:t xml:space="preserve"> Fabric item with T-SQL endpoint. APEX's Gold views live here for agent-read-latency purposes.</w:t>
      </w:r>
    </w:p>
    <w:p>
      <w:pPr>
        <w:pStyle w:val="Heading3"/>
        <w:spacing w:after="120" w:before="260"/>
      </w:pPr>
      <w:r>
        <w:rPr>
          <w:rFonts w:ascii="Aptos" w:cs="Aptos" w:eastAsia="Aptos" w:hAnsi="Aptos"/>
          <w:b/>
          <w:bCs/>
          <w:color w:val="0B111E"/>
          <w:sz w:val="24"/>
          <w:szCs w:val="24"/>
        </w:rPr>
        <w:t xml:space="preserve">G.3 Regulatory Terms</w:t>
      </w:r>
    </w:p>
    <w:p>
      <w:pPr>
        <w:spacing w:after="140"/>
      </w:pPr>
      <w:r>
        <w:rPr>
          <w:b/>
          <w:bCs/>
        </w:rPr>
        <w:t xml:space="preserve">21 CFR Part 11.</w:t>
      </w:r>
      <w:r>
        <w:t xml:space="preserve"> FDA rule governing electronic records and signatures. Required for HLS clinical applications and recall-adjacent services in RC.</w:t>
      </w:r>
    </w:p>
    <w:p>
      <w:pPr>
        <w:spacing w:after="140"/>
      </w:pPr>
      <w:r>
        <w:rPr>
          <w:b/>
          <w:bCs/>
        </w:rPr>
        <w:t xml:space="preserve">CCPA.</w:t>
      </w:r>
      <w:r>
        <w:t xml:space="preserve"> California Consumer Privacy Act. APEX's right-to-erasure and consent-gate pattern are designed for CCPA alignment.</w:t>
      </w:r>
    </w:p>
    <w:p>
      <w:pPr>
        <w:spacing w:after="140"/>
      </w:pPr>
      <w:r>
        <w:rPr>
          <w:b/>
          <w:bCs/>
        </w:rPr>
        <w:t xml:space="preserve">FDA recall classes.</w:t>
      </w:r>
      <w:r>
        <w:t xml:space="preserve"> Class I (likely to cause serious harm), Class II (temporary or reversible harm), Class III (unlikely to cause harm). APEX recall orchestration's timeline scales with class.</w:t>
      </w:r>
    </w:p>
    <w:p>
      <w:pPr>
        <w:spacing w:after="140"/>
      </w:pPr>
      <w:r>
        <w:rPr>
          <w:b/>
          <w:bCs/>
        </w:rPr>
        <w:t xml:space="preserve">FERC.</w:t>
      </w:r>
      <w:r>
        <w:t xml:space="preserve"> Federal Energy Regulatory Commission. U.S. regulator of interstate electric transmission. APEX ER-GRD-02 and ER-REG-05 are designed around FERC reliability standards.</w:t>
      </w:r>
    </w:p>
    <w:p>
      <w:pPr>
        <w:spacing w:after="140"/>
      </w:pPr>
      <w:r>
        <w:rPr>
          <w:b/>
          <w:bCs/>
        </w:rPr>
        <w:t xml:space="preserve">GDPR.</w:t>
      </w:r>
      <w:r>
        <w:t xml:space="preserve"> European General Data Protection Regulation. Every APEX Practice supports GDPR via tokenisation, consent, and right-to-erasure.</w:t>
      </w:r>
    </w:p>
    <w:p>
      <w:pPr>
        <w:spacing w:after="140"/>
      </w:pPr>
      <w:r>
        <w:rPr>
          <w:b/>
          <w:bCs/>
        </w:rPr>
        <w:t xml:space="preserve">HIPAA.</w:t>
      </w:r>
      <w:r>
        <w:t xml:space="preserve"> Health Insurance Portability and Accountability Act. APEX HLS Practice's default posture.</w:t>
      </w:r>
    </w:p>
    <w:p>
      <w:pPr>
        <w:spacing w:after="140"/>
      </w:pPr>
      <w:r>
        <w:rPr>
          <w:b/>
          <w:bCs/>
        </w:rPr>
        <w:t xml:space="preserve">ISO 27001.</w:t>
      </w:r>
      <w:r>
        <w:t xml:space="preserve"> Information security management standard. APEX's default security posture is ISO 27001-aligned.</w:t>
      </w:r>
    </w:p>
    <w:p>
      <w:pPr>
        <w:spacing w:after="140"/>
      </w:pPr>
      <w:r>
        <w:rPr>
          <w:b/>
          <w:bCs/>
        </w:rPr>
        <w:t xml:space="preserve">NERC.</w:t>
      </w:r>
      <w:r>
        <w:t xml:space="preserve"> North American Electric Reliability Corporation. Complement to FERC for reliability standards.</w:t>
      </w:r>
    </w:p>
    <w:p>
      <w:pPr>
        <w:spacing w:after="140"/>
      </w:pPr>
      <w:r>
        <w:rPr>
          <w:b/>
          <w:bCs/>
        </w:rPr>
        <w:t xml:space="preserve">PCI DSS.</w:t>
      </w:r>
      <w:r>
        <w:t xml:space="preserve"> Payment Card Industry Data Security Standard. APEX forbids card data from entering any Practice's canonical schema; card data stays in a PCI enclave at the client.</w:t>
      </w:r>
    </w:p>
    <w:p>
      <w:pPr>
        <w:spacing w:after="140"/>
      </w:pPr>
      <w:r>
        <w:rPr>
          <w:b/>
          <w:bCs/>
        </w:rPr>
        <w:t xml:space="preserve">Purdue Model.</w:t>
      </w:r>
      <w:r>
        <w:t xml:space="preserve"> Reference architecture for operational-technology network segmentation. AXLE Practice's shop-floor connections are Purdue-aware.</w:t>
      </w:r>
    </w:p>
    <w:p>
      <w:pPr>
        <w:spacing w:after="140"/>
      </w:pPr>
      <w:r>
        <w:rPr>
          <w:b/>
          <w:bCs/>
        </w:rPr>
        <w:t xml:space="preserve">SOC 2 Type II.</w:t>
      </w:r>
      <w:r>
        <w:t xml:space="preserve"> American Institute of CPAs controls standard. Relevant for B2B trust representations.</w:t>
      </w:r>
    </w:p>
    <w:p>
      <w:pPr>
        <w:spacing w:after="140"/>
      </w:pPr>
      <w:r>
        <w:rPr>
          <w:b/>
          <w:bCs/>
        </w:rPr>
        <w:t xml:space="preserve">SOX.</w:t>
      </w:r>
      <w:r>
        <w:t xml:space="preserve"> Sarbanes-Oxley Act. APEX HLS revenue-cycle and ER billing services carry SOX audit discipline.</w:t>
      </w:r>
    </w:p>
    <w:p>
      <w:pPr>
        <w:pBdr>
          <w:bottom w:val="single" w:color="C0C0C5" w:sz="6" w:space="1"/>
        </w:pBdr>
        <w:spacing w:after="120" w:before="120"/>
      </w:pPr>
      <w:r>
        <w:t xml:space="preserve"/>
      </w:r>
    </w:p>
    <w:p>
      <w:pPr>
        <w:spacing w:after="140"/>
      </w:pPr>
      <w:r>
        <w:rPr>
          <w:i/>
          <w:iCs/>
        </w:rPr>
        <w:t xml:space="preserve">End of APEX Comprehensive Solutions Reference v1.0.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APEX Core v1.2 · Reference v1.0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APEX Comprehensive Solutions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Aptos" w:cs="Aptos" w:eastAsia="Aptos" w:hAnsi="Aptos"/>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cbedeae3c0921dcbda9877bf386de43cf46187.png"/><Relationship Id="rId10" Type="http://schemas.openxmlformats.org/officeDocument/2006/relationships/image" Target="media/845e0a27ede9fa312c61ed30c01ac0e5467821e5.png"/><Relationship Id="rId11" Type="http://schemas.openxmlformats.org/officeDocument/2006/relationships/image" Target="media/59dbba599a537788ffe7db6500e830a650aa36d7.png"/><Relationship Id="rId12" Type="http://schemas.openxmlformats.org/officeDocument/2006/relationships/image" Target="media/b078f72e3f99c04d839d1ce4b50346165171d5ef.png"/><Relationship Id="rId13" Type="http://schemas.openxmlformats.org/officeDocument/2006/relationships/image" Target="media/b6085abf998230d52674e4c8c4b2f547ac82ecaf.png"/><Relationship Id="rId14" Type="http://schemas.openxmlformats.org/officeDocument/2006/relationships/image" Target="media/c49d86b0d71e9ef834a7547d0bb1bbfacb0b2bcc.png"/><Relationship Id="rId15" Type="http://schemas.openxmlformats.org/officeDocument/2006/relationships/image" Target="media/9356307cb03c97dcfbb92012dd556c4366405a8e.png"/><Relationship Id="rId16" Type="http://schemas.openxmlformats.org/officeDocument/2006/relationships/image" Target="media/84ad8caef72ce39685bcc8603cfe94514d590e6d.png"/><Relationship Id="rId17" Type="http://schemas.openxmlformats.org/officeDocument/2006/relationships/image" Target="media/558c4d69b15249c066b83dc9249d516b5d32e8f8.png"/><Relationship Id="rId18" Type="http://schemas.openxmlformats.org/officeDocument/2006/relationships/image" Target="media/c382e6bd87e922fbe11c0e2e8bc8996dd58a48fd.png"/><Relationship Id="rId19" Type="http://schemas.openxmlformats.org/officeDocument/2006/relationships/image" Target="media/38ffd84f285f70cf015c9d718c3782c7a2218c46.png"/><Relationship Id="rId20" Type="http://schemas.openxmlformats.org/officeDocument/2006/relationships/image" Target="media/e281841895e79f0e9fcd1b1555a6c2109552f7ba.png"/><Relationship Id="rId21" Type="http://schemas.openxmlformats.org/officeDocument/2006/relationships/image" Target="media/3e7c78212acde72899805f43fa57e5b0f28f74b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Comprehensive Solutions Reference</dc:title>
  <dc:creator>APEX Core</dc:creator>
  <dc:description>APEX Comprehensive Solutions Reference</dc:description>
  <cp:lastModifiedBy>Un-named</cp:lastModifiedBy>
  <cp:revision>1</cp:revision>
  <dcterms:created xsi:type="dcterms:W3CDTF">2026-04-18T22:07:34.130Z</dcterms:created>
  <dcterms:modified xsi:type="dcterms:W3CDTF">2026-04-18T22:07:34.132Z</dcterms:modified>
</cp:coreProperties>
</file>

<file path=docProps/custom.xml><?xml version="1.0" encoding="utf-8"?>
<Properties xmlns="http://schemas.openxmlformats.org/officeDocument/2006/custom-properties" xmlns:vt="http://schemas.openxmlformats.org/officeDocument/2006/docPropsVTypes"/>
</file>